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AAB73" w14:textId="1B96A5EC" w:rsidR="00C961AF" w:rsidRPr="005C5299" w:rsidRDefault="00DE42D6" w:rsidP="00DE42D6">
      <w:pPr>
        <w:wordWrap w:val="0"/>
        <w:jc w:val="right"/>
        <w:rPr>
          <w:rFonts w:asciiTheme="majorEastAsia" w:eastAsiaTheme="majorEastAsia" w:hAnsiTheme="majorEastAsia"/>
          <w:b/>
          <w:szCs w:val="21"/>
          <w:bdr w:val="single" w:sz="4" w:space="0" w:color="auto"/>
        </w:rPr>
      </w:pPr>
      <w:r>
        <w:rPr>
          <w:rFonts w:asciiTheme="majorEastAsia" w:eastAsiaTheme="majorEastAsia" w:hAnsiTheme="majorEastAsia" w:hint="eastAsia"/>
          <w:szCs w:val="21"/>
          <w:bdr w:val="single" w:sz="4" w:space="0" w:color="auto"/>
        </w:rPr>
        <w:t xml:space="preserve">　</w:t>
      </w:r>
      <w:r w:rsidR="00C961AF" w:rsidRPr="005C5299">
        <w:rPr>
          <w:rFonts w:asciiTheme="majorEastAsia" w:eastAsiaTheme="majorEastAsia" w:hAnsiTheme="majorEastAsia" w:hint="eastAsia"/>
          <w:b/>
          <w:szCs w:val="21"/>
          <w:bdr w:val="single" w:sz="4" w:space="0" w:color="auto"/>
        </w:rPr>
        <w:t>資料</w:t>
      </w:r>
      <w:r w:rsidR="008607DE" w:rsidRPr="005C5299">
        <w:rPr>
          <w:rFonts w:asciiTheme="majorEastAsia" w:eastAsiaTheme="majorEastAsia" w:hAnsiTheme="majorEastAsia" w:hint="eastAsia"/>
          <w:b/>
          <w:szCs w:val="21"/>
          <w:bdr w:val="single" w:sz="4" w:space="0" w:color="auto"/>
        </w:rPr>
        <w:t>２－</w:t>
      </w:r>
      <w:r w:rsidR="00C961AF" w:rsidRPr="005C5299">
        <w:rPr>
          <w:rFonts w:asciiTheme="majorEastAsia" w:eastAsiaTheme="majorEastAsia" w:hAnsiTheme="majorEastAsia" w:hint="eastAsia"/>
          <w:b/>
          <w:szCs w:val="21"/>
          <w:bdr w:val="single" w:sz="4" w:space="0" w:color="auto"/>
        </w:rPr>
        <w:t>１</w:t>
      </w:r>
      <w:r w:rsidRPr="005C5299">
        <w:rPr>
          <w:rFonts w:asciiTheme="majorEastAsia" w:eastAsiaTheme="majorEastAsia" w:hAnsiTheme="majorEastAsia" w:hint="eastAsia"/>
          <w:b/>
          <w:szCs w:val="21"/>
          <w:bdr w:val="single" w:sz="4" w:space="0" w:color="auto"/>
        </w:rPr>
        <w:t xml:space="preserve">　</w:t>
      </w:r>
    </w:p>
    <w:p w14:paraId="3B97617B" w14:textId="0267F60A" w:rsidR="0081709D" w:rsidRPr="00E63FDF" w:rsidRDefault="008607DE" w:rsidP="00615BFD">
      <w:pPr>
        <w:jc w:val="center"/>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公立大学法人</w:t>
      </w:r>
      <w:r w:rsidR="00D81F60" w:rsidRPr="00E63FDF">
        <w:rPr>
          <w:rFonts w:asciiTheme="majorEastAsia" w:eastAsiaTheme="majorEastAsia" w:hAnsiTheme="majorEastAsia" w:hint="eastAsia"/>
          <w:b/>
          <w:bCs/>
          <w:sz w:val="30"/>
          <w:szCs w:val="30"/>
        </w:rPr>
        <w:t>の</w:t>
      </w:r>
      <w:r w:rsidR="0015477E" w:rsidRPr="00E63FDF">
        <w:rPr>
          <w:rFonts w:asciiTheme="majorEastAsia" w:eastAsiaTheme="majorEastAsia" w:hAnsiTheme="majorEastAsia" w:hint="eastAsia"/>
          <w:b/>
          <w:bCs/>
          <w:sz w:val="30"/>
          <w:szCs w:val="30"/>
        </w:rPr>
        <w:t>業務実績</w:t>
      </w:r>
      <w:r w:rsidR="00D81F60" w:rsidRPr="00E63FDF">
        <w:rPr>
          <w:rFonts w:asciiTheme="majorEastAsia" w:eastAsiaTheme="majorEastAsia" w:hAnsiTheme="majorEastAsia" w:hint="eastAsia"/>
          <w:b/>
          <w:bCs/>
          <w:sz w:val="30"/>
          <w:szCs w:val="30"/>
        </w:rPr>
        <w:t>に関する</w:t>
      </w:r>
      <w:r w:rsidR="0015477E" w:rsidRPr="00E63FDF">
        <w:rPr>
          <w:rFonts w:asciiTheme="majorEastAsia" w:eastAsiaTheme="majorEastAsia" w:hAnsiTheme="majorEastAsia" w:hint="eastAsia"/>
          <w:b/>
          <w:bCs/>
          <w:sz w:val="30"/>
          <w:szCs w:val="30"/>
        </w:rPr>
        <w:t>評価について</w:t>
      </w:r>
      <w:bookmarkStart w:id="0" w:name="_GoBack"/>
      <w:bookmarkEnd w:id="0"/>
    </w:p>
    <w:p w14:paraId="39838AEB" w14:textId="28708876" w:rsidR="004525E9" w:rsidRDefault="004525E9" w:rsidP="00615BFD">
      <w:pPr>
        <w:jc w:val="center"/>
        <w:rPr>
          <w:rFonts w:asciiTheme="majorEastAsia" w:eastAsiaTheme="majorEastAsia" w:hAnsiTheme="majorEastAsia"/>
          <w:sz w:val="30"/>
          <w:szCs w:val="30"/>
        </w:rPr>
      </w:pPr>
    </w:p>
    <w:p w14:paraId="06752E0B" w14:textId="79D5E3D1" w:rsidR="004525E9" w:rsidRPr="005707C9" w:rsidRDefault="00DD490F" w:rsidP="00DD490F">
      <w:pPr>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地方独立行政法人法第78条の２第１項第１号</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sz w:val="24"/>
          <w:szCs w:val="24"/>
          <w:u w:val="single"/>
        </w:rPr>
        <w:t>公立大学法人は、毎事業年度の終了後、当該事業年度における業務の実績について、評価委員会の評価を受けなければならない</w:t>
      </w:r>
      <w:r w:rsidR="004525E9" w:rsidRPr="005707C9">
        <w:rPr>
          <w:rFonts w:asciiTheme="minorEastAsia" w:hAnsiTheme="minorEastAsia" w:hint="eastAsia"/>
          <w:sz w:val="24"/>
          <w:szCs w:val="24"/>
        </w:rPr>
        <w:t>とされて</w:t>
      </w:r>
      <w:r w:rsidR="00283CC6" w:rsidRPr="005707C9">
        <w:rPr>
          <w:rFonts w:asciiTheme="minorEastAsia" w:hAnsiTheme="minorEastAsia" w:hint="eastAsia"/>
          <w:sz w:val="24"/>
          <w:szCs w:val="24"/>
        </w:rPr>
        <w:t>いる。</w:t>
      </w:r>
    </w:p>
    <w:p w14:paraId="3982D0B4" w14:textId="588D9892" w:rsidR="00283CC6" w:rsidRPr="005707C9" w:rsidRDefault="004525E9" w:rsidP="004525E9">
      <w:pPr>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また、同法第</w:t>
      </w:r>
      <w:r w:rsidR="00283CC6" w:rsidRPr="005707C9">
        <w:rPr>
          <w:rFonts w:asciiTheme="minorEastAsia" w:hAnsiTheme="minorEastAsia" w:hint="eastAsia"/>
          <w:sz w:val="24"/>
          <w:szCs w:val="24"/>
        </w:rPr>
        <w:t>78</w:t>
      </w:r>
      <w:r w:rsidRPr="005707C9">
        <w:rPr>
          <w:rFonts w:asciiTheme="minorEastAsia" w:hAnsiTheme="minorEastAsia" w:hint="eastAsia"/>
          <w:sz w:val="24"/>
          <w:szCs w:val="24"/>
        </w:rPr>
        <w:t>条第</w:t>
      </w:r>
      <w:r w:rsidR="00283CC6" w:rsidRPr="005707C9">
        <w:rPr>
          <w:rFonts w:asciiTheme="minorEastAsia" w:hAnsiTheme="minorEastAsia" w:hint="eastAsia"/>
          <w:sz w:val="24"/>
          <w:szCs w:val="24"/>
        </w:rPr>
        <w:t>４</w:t>
      </w:r>
      <w:r w:rsidRPr="005707C9">
        <w:rPr>
          <w:rFonts w:asciiTheme="minorEastAsia" w:hAnsiTheme="minorEastAsia" w:hint="eastAsia"/>
          <w:sz w:val="24"/>
          <w:szCs w:val="24"/>
        </w:rPr>
        <w:t>項</w:t>
      </w:r>
      <w:r w:rsidR="00DB3192" w:rsidRPr="005707C9">
        <w:rPr>
          <w:rFonts w:asciiTheme="minorEastAsia" w:hAnsiTheme="minorEastAsia" w:hint="eastAsia"/>
          <w:sz w:val="24"/>
          <w:szCs w:val="24"/>
        </w:rPr>
        <w:t>及び第５項</w:t>
      </w:r>
      <w:r w:rsidRPr="005707C9">
        <w:rPr>
          <w:rFonts w:asciiTheme="minorEastAsia" w:hAnsiTheme="minorEastAsia" w:hint="eastAsia"/>
          <w:sz w:val="24"/>
          <w:szCs w:val="24"/>
        </w:rPr>
        <w:t>の規定により、</w:t>
      </w:r>
      <w:r w:rsidR="00283CC6" w:rsidRPr="005707C9">
        <w:rPr>
          <w:rFonts w:asciiTheme="minorEastAsia" w:hAnsiTheme="minorEastAsia" w:hint="eastAsia"/>
          <w:b/>
          <w:bCs/>
          <w:sz w:val="24"/>
          <w:szCs w:val="24"/>
          <w:u w:val="single"/>
        </w:rPr>
        <w:t>評価委員会は評価を行ったとき</w:t>
      </w:r>
      <w:r w:rsidR="00283CC6" w:rsidRPr="005707C9">
        <w:rPr>
          <w:rFonts w:asciiTheme="minorEastAsia" w:hAnsiTheme="minorEastAsia" w:hint="eastAsia"/>
          <w:sz w:val="24"/>
          <w:szCs w:val="24"/>
        </w:rPr>
        <w:t>は、</w:t>
      </w:r>
      <w:r w:rsidR="00283CC6" w:rsidRPr="005707C9">
        <w:rPr>
          <w:rFonts w:asciiTheme="minorEastAsia" w:hAnsiTheme="minorEastAsia" w:hint="eastAsia"/>
          <w:b/>
          <w:bCs/>
          <w:sz w:val="24"/>
          <w:szCs w:val="24"/>
          <w:u w:val="single"/>
        </w:rPr>
        <w:t>当該公立大学法人に対して、評価結果</w:t>
      </w:r>
      <w:r w:rsidR="00F91982" w:rsidRPr="005707C9">
        <w:rPr>
          <w:rFonts w:asciiTheme="minorEastAsia" w:hAnsiTheme="minorEastAsia" w:hint="eastAsia"/>
          <w:b/>
          <w:bCs/>
          <w:sz w:val="24"/>
          <w:szCs w:val="24"/>
          <w:u w:val="single"/>
        </w:rPr>
        <w:t>を</w:t>
      </w:r>
      <w:r w:rsidR="00283CC6" w:rsidRPr="005707C9">
        <w:rPr>
          <w:rFonts w:asciiTheme="minorEastAsia" w:hAnsiTheme="minorEastAsia" w:hint="eastAsia"/>
          <w:b/>
          <w:bCs/>
          <w:sz w:val="24"/>
          <w:szCs w:val="24"/>
          <w:u w:val="single"/>
        </w:rPr>
        <w:t>通知</w:t>
      </w:r>
      <w:r w:rsidR="00F91982" w:rsidRPr="005707C9">
        <w:rPr>
          <w:rFonts w:asciiTheme="minorEastAsia" w:hAnsiTheme="minorEastAsia" w:hint="eastAsia"/>
          <w:b/>
          <w:bCs/>
          <w:sz w:val="24"/>
          <w:szCs w:val="24"/>
          <w:u w:val="single"/>
        </w:rPr>
        <w:t>しなければならない</w:t>
      </w:r>
      <w:r w:rsidR="00CF016A" w:rsidRPr="005707C9">
        <w:rPr>
          <w:rFonts w:asciiTheme="minorEastAsia" w:hAnsiTheme="minorEastAsia" w:hint="eastAsia"/>
          <w:sz w:val="24"/>
          <w:szCs w:val="24"/>
        </w:rPr>
        <w:t>ことや、</w:t>
      </w:r>
      <w:r w:rsidR="00283CC6" w:rsidRPr="005707C9">
        <w:rPr>
          <w:rFonts w:asciiTheme="minorEastAsia" w:hAnsiTheme="minorEastAsia" w:hint="eastAsia"/>
          <w:sz w:val="24"/>
          <w:szCs w:val="24"/>
        </w:rPr>
        <w:t>通知を行った際</w:t>
      </w:r>
      <w:r w:rsidR="00CF016A" w:rsidRPr="005707C9">
        <w:rPr>
          <w:rFonts w:asciiTheme="minorEastAsia" w:hAnsiTheme="minorEastAsia" w:hint="eastAsia"/>
          <w:sz w:val="24"/>
          <w:szCs w:val="24"/>
        </w:rPr>
        <w:t>には、</w:t>
      </w:r>
      <w:r w:rsidR="00283CC6" w:rsidRPr="005707C9">
        <w:rPr>
          <w:rFonts w:asciiTheme="minorEastAsia" w:hAnsiTheme="minorEastAsia" w:hint="eastAsia"/>
          <w:b/>
          <w:bCs/>
          <w:sz w:val="24"/>
          <w:szCs w:val="24"/>
          <w:u w:val="single"/>
        </w:rPr>
        <w:t>設立団体の長</w:t>
      </w:r>
      <w:r w:rsidR="00F91982" w:rsidRPr="005707C9">
        <w:rPr>
          <w:rFonts w:asciiTheme="minorEastAsia" w:hAnsiTheme="minorEastAsia" w:hint="eastAsia"/>
          <w:b/>
          <w:bCs/>
          <w:sz w:val="24"/>
          <w:szCs w:val="24"/>
          <w:u w:val="single"/>
        </w:rPr>
        <w:t>に</w:t>
      </w:r>
      <w:r w:rsidR="00283CC6" w:rsidRPr="005707C9">
        <w:rPr>
          <w:rFonts w:asciiTheme="minorEastAsia" w:hAnsiTheme="minorEastAsia" w:hint="eastAsia"/>
          <w:b/>
          <w:bCs/>
          <w:sz w:val="24"/>
          <w:szCs w:val="24"/>
          <w:u w:val="single"/>
        </w:rPr>
        <w:t>報告</w:t>
      </w:r>
      <w:r w:rsidR="00F91982" w:rsidRPr="005707C9">
        <w:rPr>
          <w:rFonts w:asciiTheme="minorEastAsia" w:hAnsiTheme="minorEastAsia" w:hint="eastAsia"/>
          <w:b/>
          <w:bCs/>
          <w:sz w:val="24"/>
          <w:szCs w:val="24"/>
          <w:u w:val="single"/>
        </w:rPr>
        <w:t>しなければならない</w:t>
      </w:r>
      <w:r w:rsidR="00F91982" w:rsidRPr="005707C9">
        <w:rPr>
          <w:rFonts w:asciiTheme="minorEastAsia" w:hAnsiTheme="minorEastAsia" w:hint="eastAsia"/>
          <w:sz w:val="24"/>
          <w:szCs w:val="24"/>
        </w:rPr>
        <w:t>とされている。</w:t>
      </w:r>
    </w:p>
    <w:p w14:paraId="58741936" w14:textId="689AED7E" w:rsidR="004525E9" w:rsidRPr="005707C9" w:rsidRDefault="00CF016A" w:rsidP="004525E9">
      <w:pPr>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なお、</w:t>
      </w:r>
      <w:r w:rsidR="00283CC6" w:rsidRPr="005707C9">
        <w:rPr>
          <w:rFonts w:asciiTheme="minorEastAsia" w:hAnsiTheme="minorEastAsia" w:hint="eastAsia"/>
          <w:b/>
          <w:bCs/>
          <w:sz w:val="24"/>
          <w:szCs w:val="24"/>
          <w:u w:val="single"/>
        </w:rPr>
        <w:t>設立団体の長は、</w:t>
      </w:r>
      <w:r w:rsidR="00A739BF" w:rsidRPr="005707C9">
        <w:rPr>
          <w:rFonts w:asciiTheme="minorEastAsia" w:hAnsiTheme="minorEastAsia" w:hint="eastAsia"/>
          <w:b/>
          <w:bCs/>
          <w:sz w:val="24"/>
          <w:szCs w:val="24"/>
          <w:u w:val="single"/>
        </w:rPr>
        <w:t>評価結果の</w:t>
      </w:r>
      <w:r w:rsidR="00283CC6" w:rsidRPr="005707C9">
        <w:rPr>
          <w:rFonts w:asciiTheme="minorEastAsia" w:hAnsiTheme="minorEastAsia" w:hint="eastAsia"/>
          <w:b/>
          <w:bCs/>
          <w:sz w:val="24"/>
          <w:szCs w:val="24"/>
          <w:u w:val="single"/>
        </w:rPr>
        <w:t>報告を受けたときは、その旨を議会に報告しなければならない</w:t>
      </w:r>
      <w:r w:rsidR="00283CC6" w:rsidRPr="005707C9">
        <w:rPr>
          <w:rFonts w:asciiTheme="minorEastAsia" w:hAnsiTheme="minorEastAsia" w:hint="eastAsia"/>
          <w:sz w:val="24"/>
          <w:szCs w:val="24"/>
        </w:rPr>
        <w:t>。</w:t>
      </w:r>
    </w:p>
    <w:p w14:paraId="7CF78AE4" w14:textId="7319D6AF" w:rsidR="001F49B2" w:rsidRDefault="001F49B2" w:rsidP="001F49B2">
      <w:pPr>
        <w:tabs>
          <w:tab w:val="left" w:pos="5529"/>
        </w:tabs>
        <w:spacing w:line="220" w:lineRule="exact"/>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89984" behindDoc="0" locked="0" layoutInCell="1" allowOverlap="1" wp14:anchorId="414DDC5A" wp14:editId="3B551CD2">
                <wp:simplePos x="0" y="0"/>
                <wp:positionH relativeFrom="column">
                  <wp:posOffset>99060</wp:posOffset>
                </wp:positionH>
                <wp:positionV relativeFrom="paragraph">
                  <wp:posOffset>45085</wp:posOffset>
                </wp:positionV>
                <wp:extent cx="6019800" cy="2052000"/>
                <wp:effectExtent l="0" t="0" r="19050" b="24765"/>
                <wp:wrapNone/>
                <wp:docPr id="6" name="正方形/長方形 6"/>
                <wp:cNvGraphicFramePr/>
                <a:graphic xmlns:a="http://schemas.openxmlformats.org/drawingml/2006/main">
                  <a:graphicData uri="http://schemas.microsoft.com/office/word/2010/wordprocessingShape">
                    <wps:wsp>
                      <wps:cNvSpPr/>
                      <wps:spPr>
                        <a:xfrm>
                          <a:off x="0" y="0"/>
                          <a:ext cx="6019800" cy="205200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3490C7" id="正方形/長方形 6" o:spid="_x0000_s1026" style="position:absolute;left:0;text-align:left;margin-left:7.8pt;margin-top:3.55pt;width:474pt;height:161.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" filled="f" strokecolor="black [3213]" strokeweight=".5pt">
                <v:stroke dashstyle="longDash"/>
              </v:rect>
            </w:pict>
          </mc:Fallback>
        </mc:AlternateContent>
      </w:r>
    </w:p>
    <w:p w14:paraId="0E11A268" w14:textId="0DFA322B" w:rsidR="001F49B2" w:rsidRDefault="001F49B2" w:rsidP="00162B23">
      <w:pPr>
        <w:spacing w:line="220" w:lineRule="exact"/>
        <w:ind w:firstLineChars="150" w:firstLine="300"/>
        <w:rPr>
          <w:rFonts w:asciiTheme="minorEastAsia" w:hAnsiTheme="minorEastAsia"/>
          <w:sz w:val="20"/>
          <w:szCs w:val="21"/>
        </w:rPr>
      </w:pPr>
      <w:r w:rsidRPr="008B396C">
        <w:rPr>
          <w:rFonts w:asciiTheme="minorEastAsia" w:hAnsiTheme="minorEastAsia" w:hint="eastAsia"/>
          <w:sz w:val="20"/>
          <w:szCs w:val="21"/>
        </w:rPr>
        <w:t xml:space="preserve">【　参 考 </w:t>
      </w:r>
      <w:r w:rsidR="00162B23">
        <w:rPr>
          <w:rFonts w:asciiTheme="minorEastAsia" w:hAnsiTheme="minorEastAsia" w:hint="eastAsia"/>
          <w:sz w:val="20"/>
          <w:szCs w:val="21"/>
        </w:rPr>
        <w:t>１</w:t>
      </w:r>
      <w:r w:rsidRPr="008B396C">
        <w:rPr>
          <w:rFonts w:asciiTheme="minorEastAsia" w:hAnsiTheme="minorEastAsia" w:hint="eastAsia"/>
          <w:sz w:val="20"/>
          <w:szCs w:val="21"/>
        </w:rPr>
        <w:t xml:space="preserve">　】　</w:t>
      </w:r>
      <w:r>
        <w:rPr>
          <w:rFonts w:asciiTheme="minorEastAsia" w:hAnsiTheme="minorEastAsia" w:hint="eastAsia"/>
          <w:sz w:val="20"/>
          <w:szCs w:val="21"/>
        </w:rPr>
        <w:t>業務実績評価の概要図</w:t>
      </w:r>
    </w:p>
    <w:p w14:paraId="5603CB66" w14:textId="167BC1BF" w:rsidR="001E1089" w:rsidRDefault="001F49B2" w:rsidP="00C54E44">
      <w:pPr>
        <w:jc w:val="center"/>
        <w:rPr>
          <w:rFonts w:asciiTheme="minorEastAsia" w:hAnsiTheme="minorEastAsia"/>
          <w:sz w:val="28"/>
          <w:szCs w:val="24"/>
        </w:rPr>
      </w:pPr>
      <w:r>
        <w:rPr>
          <w:rFonts w:asciiTheme="minorEastAsia" w:hAnsiTheme="minorEastAsia"/>
          <w:noProof/>
          <w:sz w:val="28"/>
          <w:szCs w:val="24"/>
        </w:rPr>
        <w:drawing>
          <wp:inline distT="0" distB="0" distL="0" distR="0" wp14:anchorId="6893E3FE" wp14:editId="727B0991">
            <wp:extent cx="4400550" cy="160044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720" cy="1607418"/>
                    </a:xfrm>
                    <a:prstGeom prst="rect">
                      <a:avLst/>
                    </a:prstGeom>
                    <a:noFill/>
                    <a:ln>
                      <a:noFill/>
                    </a:ln>
                  </pic:spPr>
                </pic:pic>
              </a:graphicData>
            </a:graphic>
          </wp:inline>
        </w:drawing>
      </w:r>
    </w:p>
    <w:p w14:paraId="24C48572" w14:textId="0BB8307D" w:rsidR="00162B23" w:rsidRPr="00162B23" w:rsidRDefault="00162B23" w:rsidP="00162B23">
      <w:pPr>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92032" behindDoc="0" locked="0" layoutInCell="1" allowOverlap="1" wp14:anchorId="3428E016" wp14:editId="4F54DD5B">
                <wp:simplePos x="0" y="0"/>
                <wp:positionH relativeFrom="margin">
                  <wp:posOffset>95250</wp:posOffset>
                </wp:positionH>
                <wp:positionV relativeFrom="paragraph">
                  <wp:posOffset>56515</wp:posOffset>
                </wp:positionV>
                <wp:extent cx="6019800" cy="3867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019800" cy="3867150"/>
                        </a:xfrm>
                        <a:prstGeom prst="rect">
                          <a:avLst/>
                        </a:prstGeom>
                        <a:solidFill>
                          <a:schemeClr val="lt1"/>
                        </a:solidFill>
                        <a:ln w="6350">
                          <a:solidFill>
                            <a:prstClr val="black"/>
                          </a:solidFill>
                          <a:prstDash val="lgDash"/>
                        </a:ln>
                      </wps:spPr>
                      <wps:txbx>
                        <w:txbxContent>
                          <w:p w14:paraId="22401DB7" w14:textId="7D65F113" w:rsidR="00162B23" w:rsidRPr="008B396C" w:rsidRDefault="00162B23" w:rsidP="00162B23">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10C0AAE8" w14:textId="77777777" w:rsidR="00162B23" w:rsidRPr="008B396C" w:rsidRDefault="00162B23" w:rsidP="00162B23">
                            <w:pPr>
                              <w:spacing w:line="160" w:lineRule="exact"/>
                              <w:rPr>
                                <w:rFonts w:asciiTheme="minorEastAsia" w:hAnsiTheme="minorEastAsia"/>
                                <w:sz w:val="20"/>
                                <w:szCs w:val="21"/>
                              </w:rPr>
                            </w:pPr>
                          </w:p>
                          <w:p w14:paraId="4A694D50"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44C7D765"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419F15A8"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次号及び第三号に掲げる事業年度以外の事業年度　 当該事業年度における業務の実績</w:t>
                            </w:r>
                          </w:p>
                          <w:p w14:paraId="0F0EB151"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8B396C">
                              <w:rPr>
                                <w:rFonts w:asciiTheme="minorEastAsia" w:hAnsiTheme="minorEastAsia" w:hint="eastAsia"/>
                                <w:sz w:val="20"/>
                                <w:szCs w:val="21"/>
                              </w:rPr>
                              <w:t>中期目標の期間の最後の事業年度の前々事業年度　当該事業年度における業務の実績及び中期目標の期間の終了時に見込まれる中期目標の期間における業務の実績</w:t>
                            </w:r>
                          </w:p>
                          <w:p w14:paraId="41B51764"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8B396C">
                              <w:rPr>
                                <w:rFonts w:asciiTheme="minorEastAsia" w:hAnsiTheme="minorEastAsia" w:hint="eastAsia"/>
                                <w:sz w:val="20"/>
                                <w:szCs w:val="21"/>
                              </w:rPr>
                              <w:t>中期目標の期間の最後の事業年度　当該事業年度における業務の実績及び中期目標の期間における業務の実績</w:t>
                            </w:r>
                          </w:p>
                          <w:p w14:paraId="5B4F1C30"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２</w:t>
                            </w:r>
                            <w:r>
                              <w:rPr>
                                <w:rFonts w:asciiTheme="minorEastAsia" w:hAnsiTheme="minorEastAsia" w:hint="eastAsia"/>
                                <w:sz w:val="20"/>
                                <w:szCs w:val="21"/>
                              </w:rPr>
                              <w:t xml:space="preserve">・３ </w:t>
                            </w:r>
                            <w:r w:rsidRPr="008B396C">
                              <w:rPr>
                                <w:rFonts w:asciiTheme="minorEastAsia" w:hAnsiTheme="minorEastAsia" w:hint="eastAsia"/>
                                <w:sz w:val="20"/>
                                <w:szCs w:val="21"/>
                              </w:rPr>
                              <w:t>略</w:t>
                            </w:r>
                          </w:p>
                          <w:p w14:paraId="04F93482"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４</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評価委員会は、第一項の評価を行ったときは、遅滞なく、当該公立大学法人に対して、その評価の結果を通知しなければならない。</w:t>
                            </w:r>
                            <w:r w:rsidRPr="008B396C">
                              <w:rPr>
                                <w:rFonts w:asciiTheme="minorEastAsia" w:hAnsiTheme="minorEastAsia" w:hint="eastAsia"/>
                                <w:sz w:val="20"/>
                                <w:szCs w:val="21"/>
                              </w:rPr>
                              <w:t>この場合において、評価委員会は、必要があると認めるときは、当該公立大学法人に対し、業務運営の改善その他の勧告をすることができる。</w:t>
                            </w:r>
                          </w:p>
                          <w:p w14:paraId="6760153F"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５</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評価委員会は、</w:t>
                            </w:r>
                            <w:r w:rsidRPr="008B396C">
                              <w:rPr>
                                <w:rFonts w:asciiTheme="minorEastAsia" w:hAnsiTheme="minorEastAsia" w:hint="eastAsia"/>
                                <w:sz w:val="20"/>
                                <w:szCs w:val="21"/>
                              </w:rPr>
                              <w:t>前項の規定による通知を行ったときは、遅滞なく、</w:t>
                            </w:r>
                            <w:r w:rsidRPr="008B396C">
                              <w:rPr>
                                <w:rFonts w:asciiTheme="minorEastAsia" w:hAnsiTheme="minorEastAsia" w:hint="eastAsia"/>
                                <w:b/>
                                <w:bCs/>
                                <w:sz w:val="20"/>
                                <w:szCs w:val="21"/>
                                <w:u w:val="single"/>
                              </w:rPr>
                              <w:t>その通知に係る事項</w:t>
                            </w:r>
                            <w:r w:rsidRPr="008B396C">
                              <w:rPr>
                                <w:rFonts w:asciiTheme="minorEastAsia" w:hAnsiTheme="minorEastAsia" w:hint="eastAsia"/>
                                <w:sz w:val="20"/>
                                <w:szCs w:val="21"/>
                              </w:rPr>
                              <w:t>（同項後段の規定による勧告をした場合には、その通知に係る事項及びその勧告の内容）</w:t>
                            </w:r>
                            <w:r w:rsidRPr="008B396C">
                              <w:rPr>
                                <w:rFonts w:asciiTheme="minorEastAsia" w:hAnsiTheme="minorEastAsia" w:hint="eastAsia"/>
                                <w:b/>
                                <w:bCs/>
                                <w:sz w:val="20"/>
                                <w:szCs w:val="21"/>
                                <w:u w:val="single"/>
                              </w:rPr>
                              <w:t>を設立団体の長に報告</w:t>
                            </w:r>
                            <w:r w:rsidRPr="008B396C">
                              <w:rPr>
                                <w:rFonts w:asciiTheme="minorEastAsia" w:hAnsiTheme="minorEastAsia" w:hint="eastAsia"/>
                                <w:sz w:val="20"/>
                                <w:szCs w:val="21"/>
                              </w:rPr>
                              <w:t>するとともに、</w:t>
                            </w:r>
                            <w:r w:rsidRPr="009A0B94">
                              <w:rPr>
                                <w:rFonts w:asciiTheme="minorEastAsia" w:hAnsiTheme="minorEastAsia" w:hint="eastAsia"/>
                                <w:b/>
                                <w:bCs/>
                                <w:sz w:val="20"/>
                                <w:szCs w:val="21"/>
                                <w:u w:val="single"/>
                              </w:rPr>
                              <w:t>公表しなければならない</w:t>
                            </w:r>
                            <w:r w:rsidRPr="008B396C">
                              <w:rPr>
                                <w:rFonts w:asciiTheme="minorEastAsia" w:hAnsiTheme="minorEastAsia" w:hint="eastAsia"/>
                                <w:sz w:val="20"/>
                                <w:szCs w:val="21"/>
                              </w:rPr>
                              <w:t>。</w:t>
                            </w:r>
                          </w:p>
                          <w:p w14:paraId="6C1C10AA"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６</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設立団体の長は、前項の規定による報告を受けたときは、その旨を議会に報告</w:t>
                            </w:r>
                            <w:r w:rsidRPr="008B396C">
                              <w:rPr>
                                <w:rFonts w:asciiTheme="minorEastAsia" w:hAnsiTheme="minorEastAsia" w:hint="eastAsia"/>
                                <w:sz w:val="20"/>
                                <w:szCs w:val="21"/>
                              </w:rPr>
                              <w:t>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28E016" id="_x0000_t202" coordsize="21600,21600" o:spt="202" path="m,l,21600r21600,l21600,xe">
                <v:stroke joinstyle="miter"/>
                <v:path gradientshapeok="t" o:connecttype="rect"/>
              </v:shapetype>
              <v:shape id="テキスト ボックス 5" o:spid="_x0000_s1026" type="#_x0000_t202" style="position:absolute;left:0;text-align:left;margin-left:7.5pt;margin-top:4.45pt;width:474pt;height:30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" fillcolor="white [3201]" strokeweight=".5pt">
                <v:stroke dashstyle="longDash"/>
                <v:textbox>
                  <w:txbxContent>
                    <w:p w14:paraId="22401DB7" w14:textId="7D65F113" w:rsidR="00162B23" w:rsidRPr="008B396C" w:rsidRDefault="00162B23" w:rsidP="00162B23">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10C0AAE8" w14:textId="77777777" w:rsidR="00162B23" w:rsidRPr="008B396C" w:rsidRDefault="00162B23" w:rsidP="00162B23">
                      <w:pPr>
                        <w:spacing w:line="160" w:lineRule="exact"/>
                        <w:rPr>
                          <w:rFonts w:asciiTheme="minorEastAsia" w:hAnsiTheme="minorEastAsia"/>
                          <w:sz w:val="20"/>
                          <w:szCs w:val="21"/>
                        </w:rPr>
                      </w:pPr>
                    </w:p>
                    <w:p w14:paraId="4A694D50"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44C7D765"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419F15A8"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次号及び第三号に掲げる事業年度以外の事業年度　 当該事業年度における業務の実績</w:t>
                      </w:r>
                    </w:p>
                    <w:p w14:paraId="0F0EB151"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8B396C">
                        <w:rPr>
                          <w:rFonts w:asciiTheme="minorEastAsia" w:hAnsiTheme="minorEastAsia" w:hint="eastAsia"/>
                          <w:sz w:val="20"/>
                          <w:szCs w:val="21"/>
                        </w:rPr>
                        <w:t>中期目標の期間の最後の事業年度の前々事業年度　当該事業年度における業務の実績及び中期目標の期間の終了時に見込まれる中期目標の期間における業務の実績</w:t>
                      </w:r>
                    </w:p>
                    <w:p w14:paraId="41B51764"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8B396C">
                        <w:rPr>
                          <w:rFonts w:asciiTheme="minorEastAsia" w:hAnsiTheme="minorEastAsia" w:hint="eastAsia"/>
                          <w:sz w:val="20"/>
                          <w:szCs w:val="21"/>
                        </w:rPr>
                        <w:t>中期目標の期間の最後の事業年度　当該事業年度における業務の実績及び中期目標の期間における業務の実績</w:t>
                      </w:r>
                    </w:p>
                    <w:p w14:paraId="5B4F1C30"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２</w:t>
                      </w:r>
                      <w:r>
                        <w:rPr>
                          <w:rFonts w:asciiTheme="minorEastAsia" w:hAnsiTheme="minorEastAsia" w:hint="eastAsia"/>
                          <w:sz w:val="20"/>
                          <w:szCs w:val="21"/>
                        </w:rPr>
                        <w:t xml:space="preserve">・３ </w:t>
                      </w:r>
                      <w:r w:rsidRPr="008B396C">
                        <w:rPr>
                          <w:rFonts w:asciiTheme="minorEastAsia" w:hAnsiTheme="minorEastAsia" w:hint="eastAsia"/>
                          <w:sz w:val="20"/>
                          <w:szCs w:val="21"/>
                        </w:rPr>
                        <w:t>略</w:t>
                      </w:r>
                    </w:p>
                    <w:p w14:paraId="04F93482"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４</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評価委員会は、第一項の評価を行ったときは、遅滞なく、当該公立大学法人に対して、その評価の結果を通知しなければならない。</w:t>
                      </w:r>
                      <w:r w:rsidRPr="008B396C">
                        <w:rPr>
                          <w:rFonts w:asciiTheme="minorEastAsia" w:hAnsiTheme="minorEastAsia" w:hint="eastAsia"/>
                          <w:sz w:val="20"/>
                          <w:szCs w:val="21"/>
                        </w:rPr>
                        <w:t>この場合において、評価委員会は、必要があると認めるときは、当該公立大学法人に対し、業務運営の改善その他の勧告をすることができる。</w:t>
                      </w:r>
                    </w:p>
                    <w:p w14:paraId="6760153F"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５</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評価委員会は、</w:t>
                      </w:r>
                      <w:r w:rsidRPr="008B396C">
                        <w:rPr>
                          <w:rFonts w:asciiTheme="minorEastAsia" w:hAnsiTheme="minorEastAsia" w:hint="eastAsia"/>
                          <w:sz w:val="20"/>
                          <w:szCs w:val="21"/>
                        </w:rPr>
                        <w:t>前項の規定による通知を行ったときは、遅滞なく、</w:t>
                      </w:r>
                      <w:r w:rsidRPr="008B396C">
                        <w:rPr>
                          <w:rFonts w:asciiTheme="minorEastAsia" w:hAnsiTheme="minorEastAsia" w:hint="eastAsia"/>
                          <w:b/>
                          <w:bCs/>
                          <w:sz w:val="20"/>
                          <w:szCs w:val="21"/>
                          <w:u w:val="single"/>
                        </w:rPr>
                        <w:t>その通知に係る事項</w:t>
                      </w:r>
                      <w:r w:rsidRPr="008B396C">
                        <w:rPr>
                          <w:rFonts w:asciiTheme="minorEastAsia" w:hAnsiTheme="minorEastAsia" w:hint="eastAsia"/>
                          <w:sz w:val="20"/>
                          <w:szCs w:val="21"/>
                        </w:rPr>
                        <w:t>（同項後段の規定による勧告をした場合には、その通知に係る事項及びその勧告の内容）</w:t>
                      </w:r>
                      <w:r w:rsidRPr="008B396C">
                        <w:rPr>
                          <w:rFonts w:asciiTheme="minorEastAsia" w:hAnsiTheme="minorEastAsia" w:hint="eastAsia"/>
                          <w:b/>
                          <w:bCs/>
                          <w:sz w:val="20"/>
                          <w:szCs w:val="21"/>
                          <w:u w:val="single"/>
                        </w:rPr>
                        <w:t>を設立団体の長に報告</w:t>
                      </w:r>
                      <w:r w:rsidRPr="008B396C">
                        <w:rPr>
                          <w:rFonts w:asciiTheme="minorEastAsia" w:hAnsiTheme="minorEastAsia" w:hint="eastAsia"/>
                          <w:sz w:val="20"/>
                          <w:szCs w:val="21"/>
                        </w:rPr>
                        <w:t>するとともに、</w:t>
                      </w:r>
                      <w:r w:rsidRPr="009A0B94">
                        <w:rPr>
                          <w:rFonts w:asciiTheme="minorEastAsia" w:hAnsiTheme="minorEastAsia" w:hint="eastAsia"/>
                          <w:b/>
                          <w:bCs/>
                          <w:sz w:val="20"/>
                          <w:szCs w:val="21"/>
                          <w:u w:val="single"/>
                        </w:rPr>
                        <w:t>公表しなければならない</w:t>
                      </w:r>
                      <w:r w:rsidRPr="008B396C">
                        <w:rPr>
                          <w:rFonts w:asciiTheme="minorEastAsia" w:hAnsiTheme="minorEastAsia" w:hint="eastAsia"/>
                          <w:sz w:val="20"/>
                          <w:szCs w:val="21"/>
                        </w:rPr>
                        <w:t>。</w:t>
                      </w:r>
                    </w:p>
                    <w:p w14:paraId="6C1C10AA" w14:textId="77777777" w:rsidR="00162B23" w:rsidRPr="008B396C" w:rsidRDefault="00162B23" w:rsidP="00162B23">
                      <w:pPr>
                        <w:spacing w:line="320" w:lineRule="exact"/>
                        <w:rPr>
                          <w:rFonts w:asciiTheme="minorEastAsia" w:hAnsiTheme="minorEastAsia"/>
                          <w:sz w:val="20"/>
                          <w:szCs w:val="21"/>
                        </w:rPr>
                      </w:pPr>
                      <w:r w:rsidRPr="008B396C">
                        <w:rPr>
                          <w:rFonts w:asciiTheme="minorEastAsia" w:hAnsiTheme="minorEastAsia" w:hint="eastAsia"/>
                          <w:sz w:val="20"/>
                          <w:szCs w:val="21"/>
                        </w:rPr>
                        <w:t>６</w:t>
                      </w:r>
                      <w:r>
                        <w:rPr>
                          <w:rFonts w:asciiTheme="minorEastAsia" w:hAnsiTheme="minorEastAsia" w:hint="eastAsia"/>
                          <w:sz w:val="20"/>
                          <w:szCs w:val="21"/>
                        </w:rPr>
                        <w:t xml:space="preserve"> </w:t>
                      </w:r>
                      <w:r w:rsidRPr="008B396C">
                        <w:rPr>
                          <w:rFonts w:asciiTheme="minorEastAsia" w:hAnsiTheme="minorEastAsia" w:hint="eastAsia"/>
                          <w:b/>
                          <w:bCs/>
                          <w:sz w:val="20"/>
                          <w:szCs w:val="21"/>
                          <w:u w:val="single"/>
                        </w:rPr>
                        <w:t>設立団体の長は、前項の規定による報告を受けたときは、その旨を議会に報告</w:t>
                      </w:r>
                      <w:r w:rsidRPr="008B396C">
                        <w:rPr>
                          <w:rFonts w:asciiTheme="minorEastAsia" w:hAnsiTheme="minorEastAsia" w:hint="eastAsia"/>
                          <w:sz w:val="20"/>
                          <w:szCs w:val="21"/>
                        </w:rPr>
                        <w:t>しなければならない。</w:t>
                      </w:r>
                    </w:p>
                  </w:txbxContent>
                </v:textbox>
                <w10:wrap anchorx="margin"/>
              </v:shape>
            </w:pict>
          </mc:Fallback>
        </mc:AlternateContent>
      </w:r>
    </w:p>
    <w:sectPr w:rsidR="00162B23" w:rsidRPr="00162B23" w:rsidSect="003468D3">
      <w:pgSz w:w="11906" w:h="16838" w:code="9"/>
      <w:pgMar w:top="964" w:right="1134" w:bottom="96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3A26" w14:textId="77777777" w:rsidR="009F278D" w:rsidRDefault="009F278D" w:rsidP="005A67B3">
      <w:r>
        <w:separator/>
      </w:r>
    </w:p>
  </w:endnote>
  <w:endnote w:type="continuationSeparator" w:id="0">
    <w:p w14:paraId="7255544C" w14:textId="77777777" w:rsidR="009F278D" w:rsidRDefault="009F278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EF9D" w14:textId="77777777" w:rsidR="009F278D" w:rsidRDefault="009F278D" w:rsidP="005A67B3">
      <w:r>
        <w:separator/>
      </w:r>
    </w:p>
  </w:footnote>
  <w:footnote w:type="continuationSeparator" w:id="0">
    <w:p w14:paraId="7F45C195" w14:textId="77777777" w:rsidR="009F278D" w:rsidRDefault="009F278D"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1765E"/>
    <w:rsid w:val="00023A6C"/>
    <w:rsid w:val="000246AB"/>
    <w:rsid w:val="00031D8A"/>
    <w:rsid w:val="00065838"/>
    <w:rsid w:val="000658EC"/>
    <w:rsid w:val="000666C8"/>
    <w:rsid w:val="00080801"/>
    <w:rsid w:val="000811ED"/>
    <w:rsid w:val="00096202"/>
    <w:rsid w:val="00096858"/>
    <w:rsid w:val="00097F57"/>
    <w:rsid w:val="000A696F"/>
    <w:rsid w:val="000B40B5"/>
    <w:rsid w:val="000B7B51"/>
    <w:rsid w:val="000C0D6F"/>
    <w:rsid w:val="000C11EC"/>
    <w:rsid w:val="000C5283"/>
    <w:rsid w:val="000C7F00"/>
    <w:rsid w:val="000D6B25"/>
    <w:rsid w:val="000E1803"/>
    <w:rsid w:val="000F2364"/>
    <w:rsid w:val="000F42CE"/>
    <w:rsid w:val="000F54F4"/>
    <w:rsid w:val="000F73B8"/>
    <w:rsid w:val="000F7D42"/>
    <w:rsid w:val="00103443"/>
    <w:rsid w:val="0010474C"/>
    <w:rsid w:val="00122CC8"/>
    <w:rsid w:val="001267D4"/>
    <w:rsid w:val="0015477E"/>
    <w:rsid w:val="00162B23"/>
    <w:rsid w:val="00165FBB"/>
    <w:rsid w:val="001661CB"/>
    <w:rsid w:val="0017080D"/>
    <w:rsid w:val="00173C77"/>
    <w:rsid w:val="0017657C"/>
    <w:rsid w:val="00191A57"/>
    <w:rsid w:val="0019664D"/>
    <w:rsid w:val="001977EB"/>
    <w:rsid w:val="001C6DDB"/>
    <w:rsid w:val="001D3979"/>
    <w:rsid w:val="001E1089"/>
    <w:rsid w:val="001E11CD"/>
    <w:rsid w:val="001E5B5A"/>
    <w:rsid w:val="001F1930"/>
    <w:rsid w:val="001F49B2"/>
    <w:rsid w:val="002023C2"/>
    <w:rsid w:val="00211596"/>
    <w:rsid w:val="002116BB"/>
    <w:rsid w:val="0021323E"/>
    <w:rsid w:val="00221282"/>
    <w:rsid w:val="0025075C"/>
    <w:rsid w:val="00267A07"/>
    <w:rsid w:val="002721CF"/>
    <w:rsid w:val="002741BD"/>
    <w:rsid w:val="00275B1E"/>
    <w:rsid w:val="00283CC6"/>
    <w:rsid w:val="0028560F"/>
    <w:rsid w:val="00291D4B"/>
    <w:rsid w:val="002950BD"/>
    <w:rsid w:val="002A0DAC"/>
    <w:rsid w:val="002A65B5"/>
    <w:rsid w:val="002B27D1"/>
    <w:rsid w:val="002B2944"/>
    <w:rsid w:val="002D2D20"/>
    <w:rsid w:val="002E2305"/>
    <w:rsid w:val="00300D55"/>
    <w:rsid w:val="00303FFF"/>
    <w:rsid w:val="003321FB"/>
    <w:rsid w:val="00340AD0"/>
    <w:rsid w:val="003468D3"/>
    <w:rsid w:val="00357CD3"/>
    <w:rsid w:val="003601BF"/>
    <w:rsid w:val="00360A49"/>
    <w:rsid w:val="00361BAB"/>
    <w:rsid w:val="0037463F"/>
    <w:rsid w:val="00387DE2"/>
    <w:rsid w:val="00390F5C"/>
    <w:rsid w:val="003931FF"/>
    <w:rsid w:val="003A0981"/>
    <w:rsid w:val="003A2E78"/>
    <w:rsid w:val="003B2571"/>
    <w:rsid w:val="003B59A9"/>
    <w:rsid w:val="003C0306"/>
    <w:rsid w:val="003C0537"/>
    <w:rsid w:val="003C3991"/>
    <w:rsid w:val="003D5FEB"/>
    <w:rsid w:val="003F7748"/>
    <w:rsid w:val="0043181E"/>
    <w:rsid w:val="00432D7C"/>
    <w:rsid w:val="004525E9"/>
    <w:rsid w:val="004732C7"/>
    <w:rsid w:val="00480515"/>
    <w:rsid w:val="004866BB"/>
    <w:rsid w:val="0049165A"/>
    <w:rsid w:val="004A154C"/>
    <w:rsid w:val="004A7199"/>
    <w:rsid w:val="004C263A"/>
    <w:rsid w:val="004C5BB2"/>
    <w:rsid w:val="004D0ACE"/>
    <w:rsid w:val="004E246D"/>
    <w:rsid w:val="004E4FF0"/>
    <w:rsid w:val="004F2A1A"/>
    <w:rsid w:val="004F7FCF"/>
    <w:rsid w:val="005020B7"/>
    <w:rsid w:val="005027B8"/>
    <w:rsid w:val="005074E3"/>
    <w:rsid w:val="0051736D"/>
    <w:rsid w:val="005232E6"/>
    <w:rsid w:val="0052366D"/>
    <w:rsid w:val="0052655E"/>
    <w:rsid w:val="005265C5"/>
    <w:rsid w:val="005359F4"/>
    <w:rsid w:val="00554F53"/>
    <w:rsid w:val="00561409"/>
    <w:rsid w:val="0056217B"/>
    <w:rsid w:val="005623A2"/>
    <w:rsid w:val="00562529"/>
    <w:rsid w:val="00562E7F"/>
    <w:rsid w:val="0056617B"/>
    <w:rsid w:val="005707C9"/>
    <w:rsid w:val="0058095A"/>
    <w:rsid w:val="005A42F4"/>
    <w:rsid w:val="005A67B3"/>
    <w:rsid w:val="005B4E3F"/>
    <w:rsid w:val="005B58A3"/>
    <w:rsid w:val="005B6F33"/>
    <w:rsid w:val="005C3C97"/>
    <w:rsid w:val="005C5299"/>
    <w:rsid w:val="005C5C58"/>
    <w:rsid w:val="005D4A7B"/>
    <w:rsid w:val="00606061"/>
    <w:rsid w:val="00614185"/>
    <w:rsid w:val="00615416"/>
    <w:rsid w:val="00615BFD"/>
    <w:rsid w:val="006162A6"/>
    <w:rsid w:val="00657F64"/>
    <w:rsid w:val="00660B0A"/>
    <w:rsid w:val="006649AA"/>
    <w:rsid w:val="00672A5A"/>
    <w:rsid w:val="00682193"/>
    <w:rsid w:val="0068699B"/>
    <w:rsid w:val="00690B7F"/>
    <w:rsid w:val="006B6715"/>
    <w:rsid w:val="006C0BB3"/>
    <w:rsid w:val="006D27AF"/>
    <w:rsid w:val="006D7D36"/>
    <w:rsid w:val="006E26B9"/>
    <w:rsid w:val="006F014B"/>
    <w:rsid w:val="007044E1"/>
    <w:rsid w:val="007132CE"/>
    <w:rsid w:val="007143FC"/>
    <w:rsid w:val="00720384"/>
    <w:rsid w:val="00726626"/>
    <w:rsid w:val="00741087"/>
    <w:rsid w:val="0074217C"/>
    <w:rsid w:val="007430E0"/>
    <w:rsid w:val="00750153"/>
    <w:rsid w:val="007518B2"/>
    <w:rsid w:val="00766405"/>
    <w:rsid w:val="00775E68"/>
    <w:rsid w:val="0078110C"/>
    <w:rsid w:val="00783F07"/>
    <w:rsid w:val="007902F6"/>
    <w:rsid w:val="007C2573"/>
    <w:rsid w:val="007C43B0"/>
    <w:rsid w:val="007C6373"/>
    <w:rsid w:val="007D3A47"/>
    <w:rsid w:val="007E209C"/>
    <w:rsid w:val="007E4C65"/>
    <w:rsid w:val="008050D7"/>
    <w:rsid w:val="00810F53"/>
    <w:rsid w:val="00815345"/>
    <w:rsid w:val="0081709D"/>
    <w:rsid w:val="00826560"/>
    <w:rsid w:val="0083419B"/>
    <w:rsid w:val="00834C1A"/>
    <w:rsid w:val="00836368"/>
    <w:rsid w:val="00842828"/>
    <w:rsid w:val="0084697F"/>
    <w:rsid w:val="008515E5"/>
    <w:rsid w:val="0085456C"/>
    <w:rsid w:val="008607DE"/>
    <w:rsid w:val="00871F80"/>
    <w:rsid w:val="0087499A"/>
    <w:rsid w:val="00876027"/>
    <w:rsid w:val="008956AD"/>
    <w:rsid w:val="008A069D"/>
    <w:rsid w:val="008B2D08"/>
    <w:rsid w:val="008B396C"/>
    <w:rsid w:val="008B4FD4"/>
    <w:rsid w:val="008B6E4E"/>
    <w:rsid w:val="008B7F9D"/>
    <w:rsid w:val="008C31EC"/>
    <w:rsid w:val="008D1566"/>
    <w:rsid w:val="008F09DF"/>
    <w:rsid w:val="00910B7F"/>
    <w:rsid w:val="00911D90"/>
    <w:rsid w:val="00912B79"/>
    <w:rsid w:val="0091382F"/>
    <w:rsid w:val="0091509A"/>
    <w:rsid w:val="00920F96"/>
    <w:rsid w:val="00934363"/>
    <w:rsid w:val="00940B3F"/>
    <w:rsid w:val="009425F2"/>
    <w:rsid w:val="009468EC"/>
    <w:rsid w:val="00950DE5"/>
    <w:rsid w:val="00966086"/>
    <w:rsid w:val="0098213D"/>
    <w:rsid w:val="009857B6"/>
    <w:rsid w:val="009A0B94"/>
    <w:rsid w:val="009C42EA"/>
    <w:rsid w:val="009C5A76"/>
    <w:rsid w:val="009C626B"/>
    <w:rsid w:val="009C7ABC"/>
    <w:rsid w:val="009D1108"/>
    <w:rsid w:val="009E4075"/>
    <w:rsid w:val="009E660B"/>
    <w:rsid w:val="009F278D"/>
    <w:rsid w:val="009F32BA"/>
    <w:rsid w:val="009F51F8"/>
    <w:rsid w:val="009F6962"/>
    <w:rsid w:val="009F7171"/>
    <w:rsid w:val="00A023AC"/>
    <w:rsid w:val="00A04835"/>
    <w:rsid w:val="00A2288B"/>
    <w:rsid w:val="00A23F13"/>
    <w:rsid w:val="00A3172D"/>
    <w:rsid w:val="00A41EF1"/>
    <w:rsid w:val="00A54B18"/>
    <w:rsid w:val="00A656EB"/>
    <w:rsid w:val="00A739BF"/>
    <w:rsid w:val="00A7527E"/>
    <w:rsid w:val="00A76F70"/>
    <w:rsid w:val="00A9007A"/>
    <w:rsid w:val="00A9032E"/>
    <w:rsid w:val="00A92A4F"/>
    <w:rsid w:val="00A97275"/>
    <w:rsid w:val="00AA6F79"/>
    <w:rsid w:val="00AD34C4"/>
    <w:rsid w:val="00AD7E9D"/>
    <w:rsid w:val="00AE2FB4"/>
    <w:rsid w:val="00AF51AB"/>
    <w:rsid w:val="00B00AA2"/>
    <w:rsid w:val="00B01C9F"/>
    <w:rsid w:val="00B0714B"/>
    <w:rsid w:val="00B07493"/>
    <w:rsid w:val="00B1425F"/>
    <w:rsid w:val="00B17C77"/>
    <w:rsid w:val="00B24705"/>
    <w:rsid w:val="00B30685"/>
    <w:rsid w:val="00B34C6C"/>
    <w:rsid w:val="00B50385"/>
    <w:rsid w:val="00B53D4B"/>
    <w:rsid w:val="00B634C6"/>
    <w:rsid w:val="00B709F9"/>
    <w:rsid w:val="00B81B74"/>
    <w:rsid w:val="00B85035"/>
    <w:rsid w:val="00B93F49"/>
    <w:rsid w:val="00BA1979"/>
    <w:rsid w:val="00BC1D0E"/>
    <w:rsid w:val="00BF0AEB"/>
    <w:rsid w:val="00C11AFC"/>
    <w:rsid w:val="00C13DC8"/>
    <w:rsid w:val="00C14B64"/>
    <w:rsid w:val="00C1792D"/>
    <w:rsid w:val="00C3155D"/>
    <w:rsid w:val="00C3507E"/>
    <w:rsid w:val="00C37E0D"/>
    <w:rsid w:val="00C54E44"/>
    <w:rsid w:val="00C6393A"/>
    <w:rsid w:val="00C67E4E"/>
    <w:rsid w:val="00C724E8"/>
    <w:rsid w:val="00C81D7E"/>
    <w:rsid w:val="00C82668"/>
    <w:rsid w:val="00C917D6"/>
    <w:rsid w:val="00C9272F"/>
    <w:rsid w:val="00C961AF"/>
    <w:rsid w:val="00CA4502"/>
    <w:rsid w:val="00CB094C"/>
    <w:rsid w:val="00CB465E"/>
    <w:rsid w:val="00CB5033"/>
    <w:rsid w:val="00CB7962"/>
    <w:rsid w:val="00CC727E"/>
    <w:rsid w:val="00CD06CA"/>
    <w:rsid w:val="00CD4E96"/>
    <w:rsid w:val="00CD5C3F"/>
    <w:rsid w:val="00CE0861"/>
    <w:rsid w:val="00CE3F5B"/>
    <w:rsid w:val="00CE4736"/>
    <w:rsid w:val="00CF016A"/>
    <w:rsid w:val="00CF187D"/>
    <w:rsid w:val="00CF65F2"/>
    <w:rsid w:val="00D0230B"/>
    <w:rsid w:val="00D02F31"/>
    <w:rsid w:val="00D0682F"/>
    <w:rsid w:val="00D220CA"/>
    <w:rsid w:val="00D44108"/>
    <w:rsid w:val="00D5010E"/>
    <w:rsid w:val="00D530E2"/>
    <w:rsid w:val="00D71B8E"/>
    <w:rsid w:val="00D81F60"/>
    <w:rsid w:val="00DA750D"/>
    <w:rsid w:val="00DB1212"/>
    <w:rsid w:val="00DB3192"/>
    <w:rsid w:val="00DB32BF"/>
    <w:rsid w:val="00DD490F"/>
    <w:rsid w:val="00DE42D6"/>
    <w:rsid w:val="00DE6B74"/>
    <w:rsid w:val="00DF35EE"/>
    <w:rsid w:val="00DF56EC"/>
    <w:rsid w:val="00E05226"/>
    <w:rsid w:val="00E12C67"/>
    <w:rsid w:val="00E1618A"/>
    <w:rsid w:val="00E16477"/>
    <w:rsid w:val="00E25B11"/>
    <w:rsid w:val="00E32D18"/>
    <w:rsid w:val="00E3312A"/>
    <w:rsid w:val="00E43078"/>
    <w:rsid w:val="00E51DDE"/>
    <w:rsid w:val="00E54A05"/>
    <w:rsid w:val="00E618C7"/>
    <w:rsid w:val="00E627C1"/>
    <w:rsid w:val="00E63FDF"/>
    <w:rsid w:val="00E64C9D"/>
    <w:rsid w:val="00E86108"/>
    <w:rsid w:val="00E8655A"/>
    <w:rsid w:val="00E9606C"/>
    <w:rsid w:val="00E97130"/>
    <w:rsid w:val="00E979D5"/>
    <w:rsid w:val="00EB2FFE"/>
    <w:rsid w:val="00EC4B36"/>
    <w:rsid w:val="00EC661D"/>
    <w:rsid w:val="00EE11CF"/>
    <w:rsid w:val="00EE380A"/>
    <w:rsid w:val="00EF11AF"/>
    <w:rsid w:val="00EF2EE4"/>
    <w:rsid w:val="00EF5338"/>
    <w:rsid w:val="00F0762C"/>
    <w:rsid w:val="00F10076"/>
    <w:rsid w:val="00F140D8"/>
    <w:rsid w:val="00F36933"/>
    <w:rsid w:val="00F4717E"/>
    <w:rsid w:val="00F47954"/>
    <w:rsid w:val="00F54AD8"/>
    <w:rsid w:val="00F63EB2"/>
    <w:rsid w:val="00F652D4"/>
    <w:rsid w:val="00F753CC"/>
    <w:rsid w:val="00F80DDD"/>
    <w:rsid w:val="00F91982"/>
    <w:rsid w:val="00F95580"/>
    <w:rsid w:val="00FA7447"/>
    <w:rsid w:val="00FB3726"/>
    <w:rsid w:val="00FB7369"/>
    <w:rsid w:val="00FC21C6"/>
    <w:rsid w:val="00FC5342"/>
    <w:rsid w:val="00FD0646"/>
    <w:rsid w:val="00FD5C85"/>
    <w:rsid w:val="00FE123E"/>
    <w:rsid w:val="00FE3F9E"/>
    <w:rsid w:val="00FE4138"/>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431085"/>
  <w15:docId w15:val="{E6F5F069-8E3E-4C10-85AF-47B3DBC5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谷口　真也</cp:lastModifiedBy>
  <cp:revision>85</cp:revision>
  <cp:lastPrinted>2021-06-19T09:01:00Z</cp:lastPrinted>
  <dcterms:created xsi:type="dcterms:W3CDTF">2020-01-27T06:56:00Z</dcterms:created>
  <dcterms:modified xsi:type="dcterms:W3CDTF">2021-07-07T06:24:00Z</dcterms:modified>
</cp:coreProperties>
</file>