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C224E7">
        <w:trPr>
          <w:trHeight w:val="558"/>
        </w:trPr>
        <w:tc>
          <w:tcPr>
            <w:tcW w:w="2232" w:type="dxa"/>
            <w:shd w:val="clear" w:color="auto" w:fill="auto"/>
            <w:vAlign w:val="center"/>
          </w:tcPr>
          <w:p w14:paraId="0DBD9ADA" w14:textId="77777777" w:rsidR="00522BA3" w:rsidRPr="00522BA3" w:rsidRDefault="00522BA3" w:rsidP="00C224E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C224E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C224E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C224E7">
        <w:trPr>
          <w:trHeight w:val="843"/>
        </w:trPr>
        <w:tc>
          <w:tcPr>
            <w:tcW w:w="2232" w:type="dxa"/>
          </w:tcPr>
          <w:p w14:paraId="46DA38B1" w14:textId="77777777" w:rsidR="00522BA3" w:rsidRPr="00522BA3" w:rsidRDefault="00522BA3" w:rsidP="00C224E7">
            <w:pPr>
              <w:autoSpaceDE w:val="0"/>
              <w:autoSpaceDN w:val="0"/>
              <w:spacing w:line="300" w:lineRule="exact"/>
              <w:rPr>
                <w:rFonts w:ascii="ＭＳ 明朝" w:hAnsi="ＭＳ 明朝"/>
                <w:sz w:val="24"/>
              </w:rPr>
            </w:pPr>
          </w:p>
          <w:p w14:paraId="694A81D6" w14:textId="27E07737" w:rsidR="00BA4797" w:rsidRDefault="004A1E88" w:rsidP="00C224E7">
            <w:pPr>
              <w:autoSpaceDE w:val="0"/>
              <w:autoSpaceDN w:val="0"/>
              <w:spacing w:line="300" w:lineRule="exact"/>
              <w:rPr>
                <w:rFonts w:ascii="ＭＳ 明朝" w:hAnsi="ＭＳ 明朝"/>
                <w:sz w:val="24"/>
              </w:rPr>
            </w:pPr>
            <w:r>
              <w:rPr>
                <w:rFonts w:ascii="ＭＳ 明朝" w:hAnsi="ＭＳ 明朝" w:hint="eastAsia"/>
                <w:sz w:val="24"/>
              </w:rPr>
              <w:t>東住吉総合</w:t>
            </w:r>
            <w:r w:rsidR="00951584">
              <w:rPr>
                <w:rFonts w:ascii="ＭＳ 明朝" w:hAnsi="ＭＳ 明朝" w:hint="eastAsia"/>
                <w:sz w:val="24"/>
              </w:rPr>
              <w:t>高等</w:t>
            </w:r>
            <w:r w:rsidR="00DF414B">
              <w:rPr>
                <w:rFonts w:ascii="ＭＳ 明朝" w:hAnsi="ＭＳ 明朝" w:hint="eastAsia"/>
                <w:sz w:val="24"/>
              </w:rPr>
              <w:t>学</w:t>
            </w:r>
            <w:r>
              <w:rPr>
                <w:rFonts w:ascii="ＭＳ 明朝" w:hAnsi="ＭＳ 明朝" w:hint="eastAsia"/>
                <w:sz w:val="24"/>
              </w:rPr>
              <w:t>校</w:t>
            </w:r>
          </w:p>
          <w:p w14:paraId="3CBDC0D5" w14:textId="33AE5DC6" w:rsidR="00763559" w:rsidRPr="00522BA3" w:rsidRDefault="00763559" w:rsidP="00C224E7">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C224E7">
            <w:pPr>
              <w:autoSpaceDE w:val="0"/>
              <w:autoSpaceDN w:val="0"/>
              <w:spacing w:line="300" w:lineRule="exact"/>
              <w:rPr>
                <w:rFonts w:ascii="ＭＳ 明朝" w:hAnsi="ＭＳ 明朝"/>
                <w:sz w:val="24"/>
              </w:rPr>
            </w:pPr>
          </w:p>
          <w:p w14:paraId="5328AA4D" w14:textId="3FC9DA23" w:rsidR="00557511" w:rsidRPr="00CF266B" w:rsidRDefault="00CF266B" w:rsidP="00C224E7">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004A1E88">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年度の財務諸表（貸借対照表）の建設仮勘定に、工事完了による引渡しが行われている下記の工事に係る金額が計上されたままとなっていた。</w:t>
            </w:r>
          </w:p>
          <w:p w14:paraId="5A1A2E5A" w14:textId="77777777" w:rsidR="00557511" w:rsidRDefault="00557511" w:rsidP="00C224E7">
            <w:pPr>
              <w:autoSpaceDE w:val="0"/>
              <w:autoSpaceDN w:val="0"/>
              <w:spacing w:line="300" w:lineRule="exact"/>
              <w:rPr>
                <w:rFonts w:ascii="ＭＳ 明朝" w:hAnsi="ＭＳ 明朝" w:cs="Arial"/>
                <w:sz w:val="24"/>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905"/>
              <w:gridCol w:w="1487"/>
            </w:tblGrid>
            <w:tr w:rsidR="00557511" w14:paraId="3C3F81E7" w14:textId="77777777" w:rsidTr="00557511">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A03D6E">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A03D6E">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A03D6E">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A03D6E">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57511" w14:paraId="182E9381" w14:textId="77777777" w:rsidTr="00557511">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06E2D28D" w:rsidR="00557511" w:rsidRDefault="00557511" w:rsidP="00A03D6E">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w:t>
                  </w:r>
                  <w:r w:rsidR="004A1E88">
                    <w:rPr>
                      <w:rFonts w:ascii="ＭＳ 明朝" w:hAnsi="ＭＳ 明朝" w:cs="Arial" w:hint="eastAsia"/>
                      <w:sz w:val="24"/>
                    </w:rPr>
                    <w:t>５</w:t>
                  </w: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74BB78B3" w14:textId="08296860" w:rsidR="00557511" w:rsidRDefault="00951584" w:rsidP="00A03D6E">
                  <w:pPr>
                    <w:framePr w:hSpace="142" w:wrap="around" w:vAnchor="text" w:hAnchor="margin" w:y="2"/>
                    <w:autoSpaceDE w:val="0"/>
                    <w:autoSpaceDN w:val="0"/>
                    <w:spacing w:line="300" w:lineRule="exact"/>
                    <w:rPr>
                      <w:rFonts w:ascii="ＭＳ 明朝" w:hAnsi="ＭＳ 明朝"/>
                      <w:strike/>
                      <w:sz w:val="24"/>
                    </w:rPr>
                  </w:pPr>
                  <w:r>
                    <w:rPr>
                      <w:rFonts w:ascii="ＭＳ 明朝" w:hAnsi="ＭＳ 明朝" w:hint="eastAsia"/>
                      <w:sz w:val="24"/>
                    </w:rPr>
                    <w:t xml:space="preserve">大阪府立東住吉総合高等学校　</w:t>
                  </w:r>
                  <w:r w:rsidR="004A1E88">
                    <w:rPr>
                      <w:rFonts w:ascii="ＭＳ 明朝" w:hAnsi="ＭＳ 明朝" w:hint="eastAsia"/>
                      <w:sz w:val="24"/>
                    </w:rPr>
                    <w:t>教室棟１・２階トイレ改修工事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7126157" w14:textId="79C55137" w:rsidR="00557511" w:rsidRDefault="004A1E88" w:rsidP="00A03D6E">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390</w:t>
                  </w:r>
                  <w:r w:rsidRPr="009361D7">
                    <w:rPr>
                      <w:rFonts w:ascii="ＭＳ 明朝" w:hAnsi="ＭＳ 明朝"/>
                      <w:sz w:val="24"/>
                    </w:rPr>
                    <w:t>,</w:t>
                  </w:r>
                  <w:r>
                    <w:rPr>
                      <w:rFonts w:ascii="ＭＳ 明朝" w:hAnsi="ＭＳ 明朝" w:hint="eastAsia"/>
                      <w:sz w:val="24"/>
                    </w:rPr>
                    <w:t>5</w:t>
                  </w:r>
                  <w:r w:rsidRPr="009361D7">
                    <w:rPr>
                      <w:rFonts w:ascii="ＭＳ 明朝" w:hAnsi="ＭＳ 明朝"/>
                      <w:sz w:val="24"/>
                    </w:rPr>
                    <w:t>00</w:t>
                  </w:r>
                  <w:r w:rsidRPr="009361D7">
                    <w:rPr>
                      <w:rFonts w:ascii="ＭＳ 明朝" w:hAnsi="ＭＳ 明朝" w:hint="eastAsia"/>
                      <w:sz w:val="24"/>
                    </w:rPr>
                    <w:t>円</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72D1940" w14:textId="4EA9C21A" w:rsidR="00557511" w:rsidRDefault="004A1E88" w:rsidP="00A03D6E">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390</w:t>
                  </w:r>
                  <w:r w:rsidRPr="009361D7">
                    <w:rPr>
                      <w:rFonts w:ascii="ＭＳ 明朝" w:hAnsi="ＭＳ 明朝"/>
                      <w:sz w:val="24"/>
                    </w:rPr>
                    <w:t>,</w:t>
                  </w:r>
                  <w:r>
                    <w:rPr>
                      <w:rFonts w:ascii="ＭＳ 明朝" w:hAnsi="ＭＳ 明朝" w:hint="eastAsia"/>
                      <w:sz w:val="24"/>
                    </w:rPr>
                    <w:t>5</w:t>
                  </w:r>
                  <w:r w:rsidRPr="009361D7">
                    <w:rPr>
                      <w:rFonts w:ascii="ＭＳ 明朝" w:hAnsi="ＭＳ 明朝"/>
                      <w:sz w:val="24"/>
                    </w:rPr>
                    <w:t>00</w:t>
                  </w:r>
                  <w:r w:rsidRPr="009361D7">
                    <w:rPr>
                      <w:rFonts w:ascii="ＭＳ 明朝" w:hAnsi="ＭＳ 明朝" w:hint="eastAsia"/>
                      <w:sz w:val="24"/>
                    </w:rPr>
                    <w:t>円</w:t>
                  </w:r>
                  <w:r w:rsidR="00557511">
                    <w:rPr>
                      <w:rFonts w:ascii="ＭＳ 明朝" w:hAnsi="ＭＳ 明朝" w:hint="eastAsia"/>
                      <w:sz w:val="24"/>
                    </w:rPr>
                    <w:t xml:space="preserve"> </w:t>
                  </w:r>
                </w:p>
              </w:tc>
            </w:tr>
          </w:tbl>
          <w:p w14:paraId="71CDE86D" w14:textId="4D9E9326" w:rsidR="00763559" w:rsidRPr="00CF266B" w:rsidRDefault="00763559" w:rsidP="00C224E7">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C224E7">
            <w:pPr>
              <w:autoSpaceDE w:val="0"/>
              <w:autoSpaceDN w:val="0"/>
              <w:spacing w:line="300" w:lineRule="exact"/>
              <w:rPr>
                <w:rFonts w:ascii="ＭＳ 明朝" w:hAnsi="ＭＳ 明朝"/>
                <w:sz w:val="24"/>
              </w:rPr>
            </w:pPr>
          </w:p>
          <w:p w14:paraId="27844BDC" w14:textId="3D0D932E" w:rsidR="00522BA3" w:rsidRDefault="00F152B2" w:rsidP="00C224E7">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C224E7">
            <w:pPr>
              <w:autoSpaceDE w:val="0"/>
              <w:autoSpaceDN w:val="0"/>
              <w:spacing w:line="300" w:lineRule="exact"/>
              <w:rPr>
                <w:rFonts w:ascii="ＭＳ 明朝" w:hAnsi="ＭＳ 明朝"/>
                <w:sz w:val="24"/>
              </w:rPr>
            </w:pPr>
          </w:p>
        </w:tc>
      </w:tr>
      <w:tr w:rsidR="00C224E7" w:rsidRPr="00522BA3" w14:paraId="4B7512D8" w14:textId="77777777" w:rsidTr="00C224E7">
        <w:trPr>
          <w:trHeight w:val="624"/>
        </w:trPr>
        <w:tc>
          <w:tcPr>
            <w:tcW w:w="20490" w:type="dxa"/>
            <w:gridSpan w:val="3"/>
            <w:vAlign w:val="center"/>
          </w:tcPr>
          <w:p w14:paraId="16AB7A07" w14:textId="2768C57D" w:rsidR="00C224E7" w:rsidRPr="00522BA3" w:rsidRDefault="00921EC3" w:rsidP="00C224E7">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C224E7" w:rsidRPr="00522BA3" w14:paraId="50BE1913" w14:textId="77777777" w:rsidTr="00C224E7">
        <w:trPr>
          <w:trHeight w:val="624"/>
        </w:trPr>
        <w:tc>
          <w:tcPr>
            <w:tcW w:w="20490" w:type="dxa"/>
            <w:gridSpan w:val="3"/>
          </w:tcPr>
          <w:p w14:paraId="5D698AAD" w14:textId="77777777" w:rsidR="005D3D9E" w:rsidRDefault="005D3D9E" w:rsidP="005D3D9E">
            <w:pPr>
              <w:autoSpaceDE w:val="0"/>
              <w:autoSpaceDN w:val="0"/>
              <w:spacing w:line="300" w:lineRule="exact"/>
              <w:rPr>
                <w:rFonts w:ascii="ＭＳ 明朝" w:hAnsi="ＭＳ 明朝"/>
                <w:sz w:val="24"/>
              </w:rPr>
            </w:pPr>
          </w:p>
          <w:p w14:paraId="3C016330" w14:textId="067AF31B" w:rsidR="007D26FF" w:rsidRPr="007D26FF" w:rsidRDefault="007D26FF" w:rsidP="007D26FF">
            <w:pPr>
              <w:autoSpaceDE w:val="0"/>
              <w:autoSpaceDN w:val="0"/>
              <w:spacing w:line="300" w:lineRule="exact"/>
              <w:ind w:firstLineChars="100" w:firstLine="240"/>
              <w:rPr>
                <w:rFonts w:ascii="ＭＳ 明朝" w:hAnsi="ＭＳ 明朝"/>
                <w:color w:val="000000" w:themeColor="text1"/>
                <w:sz w:val="24"/>
              </w:rPr>
            </w:pPr>
            <w:r w:rsidRPr="007D26FF">
              <w:rPr>
                <w:rFonts w:ascii="ＭＳ 明朝" w:hAnsi="ＭＳ 明朝" w:hint="eastAsia"/>
                <w:color w:val="000000" w:themeColor="text1"/>
                <w:sz w:val="24"/>
              </w:rPr>
              <w:t>建設仮勘定の精算処理について、未処理であった建設仮勘定の精算処理を行うに</w:t>
            </w:r>
            <w:r w:rsidR="00103CEC">
              <w:rPr>
                <w:rFonts w:ascii="ＭＳ 明朝" w:hAnsi="ＭＳ 明朝" w:hint="eastAsia"/>
                <w:color w:val="000000" w:themeColor="text1"/>
                <w:sz w:val="24"/>
              </w:rPr>
              <w:t>当</w:t>
            </w:r>
            <w:r w:rsidR="00A03D6E">
              <w:rPr>
                <w:rFonts w:ascii="ＭＳ 明朝" w:hAnsi="ＭＳ 明朝" w:hint="eastAsia"/>
                <w:color w:val="000000" w:themeColor="text1"/>
                <w:sz w:val="24"/>
              </w:rPr>
              <w:t>た</w:t>
            </w:r>
            <w:r w:rsidR="00103CEC">
              <w:rPr>
                <w:rFonts w:ascii="ＭＳ 明朝" w:hAnsi="ＭＳ 明朝" w:hint="eastAsia"/>
                <w:color w:val="000000" w:themeColor="text1"/>
                <w:sz w:val="24"/>
              </w:rPr>
              <w:t>り</w:t>
            </w:r>
            <w:r w:rsidRPr="007D26FF">
              <w:rPr>
                <w:rFonts w:ascii="ＭＳ 明朝" w:hAnsi="ＭＳ 明朝" w:hint="eastAsia"/>
                <w:color w:val="000000" w:themeColor="text1"/>
                <w:sz w:val="24"/>
              </w:rPr>
              <w:t>複式仕訳を確認したところ、複式仕訳情報を費用として計上するべきものを誤って資産として計上したことが分かり、</w:t>
            </w:r>
            <w:r w:rsidRPr="00552D48">
              <w:rPr>
                <w:rFonts w:ascii="ＭＳ 明朝" w:hAnsi="ＭＳ 明朝" w:hint="eastAsia"/>
                <w:sz w:val="24"/>
              </w:rPr>
              <w:t>会計局会計指導課に修正依頼し、</w:t>
            </w:r>
            <w:r w:rsidRPr="007D26FF">
              <w:rPr>
                <w:rFonts w:ascii="ＭＳ 明朝" w:hAnsi="ＭＳ 明朝" w:hint="eastAsia"/>
                <w:color w:val="000000" w:themeColor="text1"/>
                <w:sz w:val="24"/>
              </w:rPr>
              <w:t>建設仮勘定未精算データを削除した。</w:t>
            </w:r>
          </w:p>
          <w:p w14:paraId="1C46F085" w14:textId="77777777" w:rsidR="007D26FF" w:rsidRPr="00552D48" w:rsidRDefault="007D26FF" w:rsidP="007D26FF">
            <w:pPr>
              <w:autoSpaceDE w:val="0"/>
              <w:autoSpaceDN w:val="0"/>
              <w:spacing w:line="300" w:lineRule="exact"/>
              <w:ind w:firstLineChars="100" w:firstLine="240"/>
              <w:rPr>
                <w:rFonts w:ascii="ＭＳ 明朝" w:hAnsi="ＭＳ 明朝"/>
                <w:color w:val="FF0000"/>
                <w:sz w:val="24"/>
              </w:rPr>
            </w:pPr>
            <w:r w:rsidRPr="00552D48">
              <w:rPr>
                <w:rFonts w:ascii="ＭＳ 明朝" w:hAnsi="ＭＳ 明朝" w:hint="eastAsia"/>
                <w:sz w:val="24"/>
              </w:rPr>
              <w:t>検出事項の原因は、</w:t>
            </w:r>
            <w:r w:rsidRPr="007D26FF">
              <w:rPr>
                <w:rFonts w:ascii="ＭＳ 明朝" w:hAnsi="ＭＳ 明朝" w:hint="eastAsia"/>
                <w:color w:val="000000" w:themeColor="text1"/>
                <w:sz w:val="24"/>
              </w:rPr>
              <w:t>資産と費用の区分及び建設仮勘定の精算処理について、担</w:t>
            </w:r>
            <w:r w:rsidRPr="00552D48">
              <w:rPr>
                <w:rFonts w:ascii="ＭＳ 明朝" w:hAnsi="ＭＳ 明朝" w:hint="eastAsia"/>
                <w:sz w:val="24"/>
              </w:rPr>
              <w:t>当者及び</w:t>
            </w:r>
            <w:r w:rsidRPr="007D26FF">
              <w:rPr>
                <w:rFonts w:ascii="ＭＳ 明朝" w:hAnsi="ＭＳ 明朝" w:hint="eastAsia"/>
                <w:color w:val="000000" w:themeColor="text1"/>
                <w:sz w:val="24"/>
              </w:rPr>
              <w:t>決裁関与者の</w:t>
            </w:r>
            <w:r w:rsidRPr="00552D48">
              <w:rPr>
                <w:rFonts w:ascii="ＭＳ 明朝" w:hAnsi="ＭＳ 明朝" w:hint="eastAsia"/>
                <w:sz w:val="24"/>
              </w:rPr>
              <w:t>理解が不足していた</w:t>
            </w:r>
            <w:r w:rsidRPr="007D26FF">
              <w:rPr>
                <w:rFonts w:ascii="ＭＳ 明朝" w:hAnsi="ＭＳ 明朝" w:hint="eastAsia"/>
                <w:color w:val="000000" w:themeColor="text1"/>
                <w:sz w:val="24"/>
              </w:rPr>
              <w:t>ことにある。</w:t>
            </w:r>
          </w:p>
          <w:p w14:paraId="6885EE1D" w14:textId="77777777" w:rsidR="007D26FF" w:rsidRPr="007D26FF" w:rsidRDefault="007D26FF" w:rsidP="007D26FF">
            <w:pPr>
              <w:autoSpaceDE w:val="0"/>
              <w:autoSpaceDN w:val="0"/>
              <w:spacing w:line="300" w:lineRule="exact"/>
              <w:ind w:firstLineChars="100" w:firstLine="240"/>
              <w:rPr>
                <w:rFonts w:ascii="ＭＳ 明朝" w:hAnsi="ＭＳ 明朝"/>
                <w:color w:val="000000" w:themeColor="text1"/>
                <w:sz w:val="24"/>
              </w:rPr>
            </w:pPr>
            <w:r w:rsidRPr="00552D48">
              <w:rPr>
                <w:rFonts w:ascii="ＭＳ 明朝" w:hAnsi="ＭＳ 明朝" w:hint="eastAsia"/>
                <w:sz w:val="24"/>
              </w:rPr>
              <w:t>再発防止に向けて、担当者及び</w:t>
            </w:r>
            <w:r w:rsidRPr="007D26FF">
              <w:rPr>
                <w:rFonts w:ascii="ＭＳ 明朝" w:hAnsi="ＭＳ 明朝" w:hint="eastAsia"/>
                <w:color w:val="000000" w:themeColor="text1"/>
                <w:sz w:val="24"/>
              </w:rPr>
              <w:t>決裁関与者において、資産と費用の区分及び建設仮勘定の精算処理について改めて制度を確認するとともに、適切に実施するよう周知した。</w:t>
            </w:r>
          </w:p>
          <w:p w14:paraId="750CB988" w14:textId="62B7CCB5" w:rsidR="007D26FF" w:rsidRPr="007D26FF" w:rsidRDefault="007D26FF" w:rsidP="007D26FF">
            <w:pPr>
              <w:autoSpaceDE w:val="0"/>
              <w:autoSpaceDN w:val="0"/>
              <w:spacing w:line="300" w:lineRule="exact"/>
              <w:ind w:firstLineChars="100" w:firstLine="240"/>
              <w:rPr>
                <w:rFonts w:ascii="ＭＳ 明朝" w:hAnsi="ＭＳ 明朝"/>
                <w:color w:val="000000" w:themeColor="text1"/>
                <w:sz w:val="24"/>
              </w:rPr>
            </w:pPr>
            <w:r w:rsidRPr="007D26FF">
              <w:rPr>
                <w:rFonts w:ascii="ＭＳ 明朝" w:hAnsi="ＭＳ 明朝" w:hint="eastAsia"/>
                <w:color w:val="000000" w:themeColor="text1"/>
                <w:sz w:val="24"/>
              </w:rPr>
              <w:t>また、支出命令伺の決裁時に財務会計システム上の仕訳処理を添付することにより決裁関与者が仕訳を確認できるようにチェック体制を強化した。</w:t>
            </w:r>
          </w:p>
          <w:p w14:paraId="3F974F19" w14:textId="77777777" w:rsidR="000F4B71" w:rsidRDefault="007D26FF" w:rsidP="007D26FF">
            <w:pPr>
              <w:autoSpaceDE w:val="0"/>
              <w:autoSpaceDN w:val="0"/>
              <w:spacing w:line="300" w:lineRule="exact"/>
              <w:ind w:firstLineChars="100" w:firstLine="240"/>
              <w:rPr>
                <w:rFonts w:ascii="ＭＳ 明朝" w:hAnsi="ＭＳ 明朝"/>
                <w:sz w:val="24"/>
              </w:rPr>
            </w:pPr>
            <w:r w:rsidRPr="007D26FF">
              <w:rPr>
                <w:rFonts w:ascii="ＭＳ 明朝" w:hAnsi="ＭＳ 明朝" w:hint="eastAsia"/>
                <w:color w:val="000000" w:themeColor="text1"/>
                <w:sz w:val="24"/>
              </w:rPr>
              <w:t>今後は、大阪府公有財産台帳等処理要領等に基づき、適正な事務処理を行う。</w:t>
            </w:r>
            <w:r w:rsidRPr="00552D48">
              <w:rPr>
                <w:rFonts w:ascii="ＭＳ 明朝" w:hAnsi="ＭＳ 明朝" w:hint="eastAsia"/>
                <w:sz w:val="24"/>
              </w:rPr>
              <w:t xml:space="preserve">　</w:t>
            </w:r>
          </w:p>
          <w:p w14:paraId="0E2230FD" w14:textId="6A9DB78B" w:rsidR="007D26FF" w:rsidRPr="005D3D9E" w:rsidRDefault="007D26FF" w:rsidP="007D26FF">
            <w:pPr>
              <w:autoSpaceDE w:val="0"/>
              <w:autoSpaceDN w:val="0"/>
              <w:spacing w:line="300" w:lineRule="exact"/>
              <w:ind w:firstLineChars="100" w:firstLine="240"/>
              <w:rPr>
                <w:rFonts w:ascii="ＭＳ 明朝" w:hAnsi="ＭＳ 明朝"/>
                <w:sz w:val="24"/>
              </w:rPr>
            </w:pPr>
          </w:p>
        </w:tc>
      </w:tr>
    </w:tbl>
    <w:p w14:paraId="226DC5AA" w14:textId="5A5157E7"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4A1E88" w:rsidRPr="00522BA3">
        <w:rPr>
          <w:rFonts w:ascii="ＭＳ ゴシック" w:eastAsia="ＭＳ ゴシック" w:hAnsi="ＭＳ ゴシック" w:hint="eastAsia"/>
          <w:sz w:val="24"/>
          <w:szCs w:val="22"/>
        </w:rPr>
        <w:t>令和</w:t>
      </w:r>
      <w:r w:rsidR="004A1E88">
        <w:rPr>
          <w:rFonts w:ascii="ＭＳ ゴシック" w:eastAsia="ＭＳ ゴシック" w:hAnsi="ＭＳ ゴシック" w:hint="eastAsia"/>
          <w:sz w:val="24"/>
          <w:szCs w:val="22"/>
        </w:rPr>
        <w:t>６</w:t>
      </w:r>
      <w:r w:rsidR="004A1E88" w:rsidRPr="00522BA3">
        <w:rPr>
          <w:rFonts w:ascii="ＭＳ ゴシック" w:eastAsia="ＭＳ ゴシック" w:hAnsi="ＭＳ ゴシック" w:hint="eastAsia"/>
          <w:sz w:val="24"/>
          <w:szCs w:val="22"/>
        </w:rPr>
        <w:t>年</w:t>
      </w:r>
      <w:r w:rsidR="004A1E88">
        <w:rPr>
          <w:rFonts w:ascii="ＭＳ ゴシック" w:eastAsia="ＭＳ ゴシック" w:hAnsi="ＭＳ ゴシック" w:hint="eastAsia"/>
          <w:sz w:val="24"/>
          <w:szCs w:val="22"/>
        </w:rPr>
        <w:t>10</w:t>
      </w:r>
      <w:r w:rsidR="004A1E88" w:rsidRPr="00522BA3">
        <w:rPr>
          <w:rFonts w:ascii="ＭＳ ゴシック" w:eastAsia="ＭＳ ゴシック" w:hAnsi="ＭＳ ゴシック" w:hint="eastAsia"/>
          <w:sz w:val="24"/>
          <w:szCs w:val="22"/>
        </w:rPr>
        <w:t>月</w:t>
      </w:r>
      <w:r w:rsidR="004A1E88">
        <w:rPr>
          <w:rFonts w:ascii="ＭＳ ゴシック" w:eastAsia="ＭＳ ゴシック" w:hAnsi="ＭＳ ゴシック" w:hint="eastAsia"/>
          <w:sz w:val="24"/>
          <w:szCs w:val="22"/>
        </w:rPr>
        <w:t>１</w:t>
      </w:r>
      <w:r w:rsidR="004A1E88" w:rsidRPr="00522BA3">
        <w:rPr>
          <w:rFonts w:ascii="ＭＳ ゴシック" w:eastAsia="ＭＳ ゴシック" w:hAnsi="ＭＳ ゴシック" w:hint="eastAsia"/>
          <w:sz w:val="24"/>
          <w:szCs w:val="22"/>
        </w:rPr>
        <w:t>日</w:t>
      </w:r>
      <w:r w:rsidR="004A1E88">
        <w:rPr>
          <w:rFonts w:ascii="ＭＳ ゴシック" w:eastAsia="ＭＳ ゴシック" w:hAnsi="ＭＳ ゴシック" w:hint="eastAsia"/>
          <w:sz w:val="24"/>
          <w:szCs w:val="22"/>
        </w:rPr>
        <w:t>から令和７年１月31日まで</w:t>
      </w:r>
      <w:r w:rsidRPr="00522BA3">
        <w:rPr>
          <w:rFonts w:ascii="ＭＳ ゴシック" w:eastAsia="ＭＳ ゴシック" w:hAnsi="ＭＳ ゴシック" w:hint="eastAsia"/>
          <w:sz w:val="24"/>
          <w:szCs w:val="22"/>
        </w:rPr>
        <w:t>）</w:t>
      </w:r>
    </w:p>
    <w:p w14:paraId="7DA626C2" w14:textId="77777777" w:rsidR="005B40F1" w:rsidRPr="005B40F1" w:rsidRDefault="005B40F1" w:rsidP="00B43EF7">
      <w:pPr>
        <w:autoSpaceDE w:val="0"/>
        <w:autoSpaceDN w:val="0"/>
        <w:spacing w:line="300" w:lineRule="exact"/>
        <w:jc w:val="right"/>
        <w:rPr>
          <w:rFonts w:ascii="ＭＳ ゴシック" w:eastAsia="ＭＳ ゴシック" w:hAnsi="ＭＳ ゴシック"/>
          <w:sz w:val="24"/>
          <w:szCs w:val="22"/>
        </w:rPr>
      </w:pPr>
    </w:p>
    <w:sectPr w:rsidR="005B40F1" w:rsidRPr="005B40F1"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536C" w14:textId="77777777" w:rsidR="00030B1E" w:rsidRDefault="00030B1E">
      <w:r>
        <w:separator/>
      </w:r>
    </w:p>
  </w:endnote>
  <w:endnote w:type="continuationSeparator" w:id="0">
    <w:p w14:paraId="1E88AFC9" w14:textId="77777777" w:rsidR="00030B1E" w:rsidRDefault="0003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133E" w14:textId="77777777" w:rsidR="00030B1E" w:rsidRDefault="00030B1E">
      <w:r>
        <w:separator/>
      </w:r>
    </w:p>
  </w:footnote>
  <w:footnote w:type="continuationSeparator" w:id="0">
    <w:p w14:paraId="3F77EF04" w14:textId="77777777" w:rsidR="00030B1E" w:rsidRDefault="00030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43F"/>
    <w:rsid w:val="00017889"/>
    <w:rsid w:val="00020C70"/>
    <w:rsid w:val="00020EE1"/>
    <w:rsid w:val="00021530"/>
    <w:rsid w:val="00022B51"/>
    <w:rsid w:val="00023DED"/>
    <w:rsid w:val="00024F22"/>
    <w:rsid w:val="000257B5"/>
    <w:rsid w:val="00026E2E"/>
    <w:rsid w:val="00030026"/>
    <w:rsid w:val="00030B1E"/>
    <w:rsid w:val="0003299B"/>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2CA"/>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4B71"/>
    <w:rsid w:val="000F52A8"/>
    <w:rsid w:val="000F6116"/>
    <w:rsid w:val="000F726B"/>
    <w:rsid w:val="0010175E"/>
    <w:rsid w:val="001027BF"/>
    <w:rsid w:val="00102DE5"/>
    <w:rsid w:val="00102EC1"/>
    <w:rsid w:val="00103CEC"/>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175"/>
    <w:rsid w:val="00190775"/>
    <w:rsid w:val="00192974"/>
    <w:rsid w:val="001A2E8A"/>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0E53"/>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4AB2"/>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5315"/>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AB8"/>
    <w:rsid w:val="002E5F04"/>
    <w:rsid w:val="002E663A"/>
    <w:rsid w:val="002E6EF1"/>
    <w:rsid w:val="002E716D"/>
    <w:rsid w:val="002E7AEE"/>
    <w:rsid w:val="002F28F3"/>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C7B56"/>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37C0"/>
    <w:rsid w:val="003F5AD6"/>
    <w:rsid w:val="003F7397"/>
    <w:rsid w:val="003F7FFD"/>
    <w:rsid w:val="00402D6F"/>
    <w:rsid w:val="004034BD"/>
    <w:rsid w:val="004036BA"/>
    <w:rsid w:val="00404C5D"/>
    <w:rsid w:val="004057F7"/>
    <w:rsid w:val="004069DF"/>
    <w:rsid w:val="00407257"/>
    <w:rsid w:val="004075CC"/>
    <w:rsid w:val="00407B59"/>
    <w:rsid w:val="0041052C"/>
    <w:rsid w:val="0041361F"/>
    <w:rsid w:val="00413943"/>
    <w:rsid w:val="004146B3"/>
    <w:rsid w:val="00414BB1"/>
    <w:rsid w:val="00415BA8"/>
    <w:rsid w:val="00420B8C"/>
    <w:rsid w:val="004228CB"/>
    <w:rsid w:val="00424D21"/>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1E88"/>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099D"/>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4802"/>
    <w:rsid w:val="00536460"/>
    <w:rsid w:val="00537B4B"/>
    <w:rsid w:val="0054056B"/>
    <w:rsid w:val="0054385C"/>
    <w:rsid w:val="00545137"/>
    <w:rsid w:val="00545AE4"/>
    <w:rsid w:val="00547423"/>
    <w:rsid w:val="005474B6"/>
    <w:rsid w:val="00547F60"/>
    <w:rsid w:val="00552D48"/>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0F1"/>
    <w:rsid w:val="005B46DF"/>
    <w:rsid w:val="005B7008"/>
    <w:rsid w:val="005B7067"/>
    <w:rsid w:val="005B7870"/>
    <w:rsid w:val="005C3503"/>
    <w:rsid w:val="005C434D"/>
    <w:rsid w:val="005C57A3"/>
    <w:rsid w:val="005C6EB5"/>
    <w:rsid w:val="005D021A"/>
    <w:rsid w:val="005D063B"/>
    <w:rsid w:val="005D0DDB"/>
    <w:rsid w:val="005D1DC1"/>
    <w:rsid w:val="005D364C"/>
    <w:rsid w:val="005D3D9E"/>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1D1A"/>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1F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3F9"/>
    <w:rsid w:val="007B4762"/>
    <w:rsid w:val="007B6963"/>
    <w:rsid w:val="007C0B80"/>
    <w:rsid w:val="007C2684"/>
    <w:rsid w:val="007C2FB3"/>
    <w:rsid w:val="007C44B3"/>
    <w:rsid w:val="007C4565"/>
    <w:rsid w:val="007C50D9"/>
    <w:rsid w:val="007C53A7"/>
    <w:rsid w:val="007C583F"/>
    <w:rsid w:val="007C7020"/>
    <w:rsid w:val="007D0FCF"/>
    <w:rsid w:val="007D1D3A"/>
    <w:rsid w:val="007D26FF"/>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2FA"/>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1EC3"/>
    <w:rsid w:val="009223F0"/>
    <w:rsid w:val="00923DFD"/>
    <w:rsid w:val="00924B34"/>
    <w:rsid w:val="00925D38"/>
    <w:rsid w:val="00925DF6"/>
    <w:rsid w:val="009276B7"/>
    <w:rsid w:val="00927A59"/>
    <w:rsid w:val="0093091A"/>
    <w:rsid w:val="00931676"/>
    <w:rsid w:val="00931ACD"/>
    <w:rsid w:val="00932A44"/>
    <w:rsid w:val="00933A60"/>
    <w:rsid w:val="009352C0"/>
    <w:rsid w:val="0094169F"/>
    <w:rsid w:val="00942A0E"/>
    <w:rsid w:val="00944DCB"/>
    <w:rsid w:val="009461D4"/>
    <w:rsid w:val="00947FAA"/>
    <w:rsid w:val="009504CD"/>
    <w:rsid w:val="00950B69"/>
    <w:rsid w:val="00951584"/>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46CD"/>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3405"/>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3D6E"/>
    <w:rsid w:val="00A07EAC"/>
    <w:rsid w:val="00A100E0"/>
    <w:rsid w:val="00A10B8F"/>
    <w:rsid w:val="00A11BCE"/>
    <w:rsid w:val="00A1328C"/>
    <w:rsid w:val="00A13C58"/>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02F"/>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D697D"/>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0A64"/>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4E7"/>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3496"/>
    <w:rsid w:val="00C95856"/>
    <w:rsid w:val="00C95F65"/>
    <w:rsid w:val="00C97F8D"/>
    <w:rsid w:val="00CA00F6"/>
    <w:rsid w:val="00CA0E19"/>
    <w:rsid w:val="00CA4651"/>
    <w:rsid w:val="00CA620A"/>
    <w:rsid w:val="00CB1AB0"/>
    <w:rsid w:val="00CB2AF5"/>
    <w:rsid w:val="00CB2F70"/>
    <w:rsid w:val="00CB3BAE"/>
    <w:rsid w:val="00CB52DB"/>
    <w:rsid w:val="00CB5F2D"/>
    <w:rsid w:val="00CB6DBC"/>
    <w:rsid w:val="00CB7A61"/>
    <w:rsid w:val="00CC000C"/>
    <w:rsid w:val="00CC089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4B08"/>
    <w:rsid w:val="00CF5511"/>
    <w:rsid w:val="00CF6DF8"/>
    <w:rsid w:val="00CF744C"/>
    <w:rsid w:val="00D011C7"/>
    <w:rsid w:val="00D0180C"/>
    <w:rsid w:val="00D02C16"/>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3E0B"/>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9DD"/>
    <w:rsid w:val="00DF3DD8"/>
    <w:rsid w:val="00DF414B"/>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3B65"/>
    <w:rsid w:val="00F044B3"/>
    <w:rsid w:val="00F052CA"/>
    <w:rsid w:val="00F060DF"/>
    <w:rsid w:val="00F15070"/>
    <w:rsid w:val="00F150BF"/>
    <w:rsid w:val="00F152B2"/>
    <w:rsid w:val="00F15A09"/>
    <w:rsid w:val="00F1649F"/>
    <w:rsid w:val="00F175E9"/>
    <w:rsid w:val="00F17FFA"/>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15:docId w15:val="{BB33185A-9867-495E-AB19-AD22D866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66AF3-60F8-4EF0-98CB-5553AA3BB36D}">
  <ds:schemaRefs>
    <ds:schemaRef ds:uri="http://schemas.microsoft.com/sharepoint/v3/contenttype/forms"/>
  </ds:schemaRefs>
</ds:datastoreItem>
</file>

<file path=customXml/itemProps2.xml><?xml version="1.0" encoding="utf-8"?>
<ds:datastoreItem xmlns:ds="http://schemas.openxmlformats.org/officeDocument/2006/customXml" ds:itemID="{67B9D00A-7204-4037-A5ED-247000F67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3DF88-A9A2-48C8-8B03-9B38373C94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101</Words>
  <Characters>581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2025-06-18T08:29:00Z</cp:lastPrinted>
  <dcterms:created xsi:type="dcterms:W3CDTF">2025-04-18T02:43:00Z</dcterms:created>
  <dcterms:modified xsi:type="dcterms:W3CDTF">2025-09-11T08:36:00Z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