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AF3399">
        <w:trPr>
          <w:trHeight w:val="558"/>
        </w:trPr>
        <w:tc>
          <w:tcPr>
            <w:tcW w:w="2232" w:type="dxa"/>
            <w:vAlign w:val="center"/>
          </w:tcPr>
          <w:p w14:paraId="0DBD9ADA" w14:textId="77777777" w:rsidR="00522BA3" w:rsidRPr="00522BA3" w:rsidRDefault="00522BA3" w:rsidP="00AF339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vAlign w:val="center"/>
          </w:tcPr>
          <w:p w14:paraId="3DEA5445" w14:textId="11A396FD" w:rsidR="00522BA3" w:rsidRPr="00522BA3" w:rsidRDefault="00522BA3" w:rsidP="00AF339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vAlign w:val="center"/>
          </w:tcPr>
          <w:p w14:paraId="61AFA1F2" w14:textId="77777777" w:rsidR="00522BA3" w:rsidRPr="00522BA3" w:rsidRDefault="00522BA3" w:rsidP="00AF339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AF3399">
        <w:trPr>
          <w:trHeight w:val="843"/>
        </w:trPr>
        <w:tc>
          <w:tcPr>
            <w:tcW w:w="2232" w:type="dxa"/>
          </w:tcPr>
          <w:p w14:paraId="46DA38B1" w14:textId="77777777" w:rsidR="00522BA3" w:rsidRPr="00522BA3" w:rsidRDefault="00522BA3" w:rsidP="00AF3399">
            <w:pPr>
              <w:autoSpaceDE w:val="0"/>
              <w:autoSpaceDN w:val="0"/>
              <w:spacing w:line="300" w:lineRule="exact"/>
              <w:rPr>
                <w:rFonts w:ascii="ＭＳ 明朝" w:hAnsi="ＭＳ 明朝"/>
                <w:sz w:val="24"/>
              </w:rPr>
            </w:pPr>
          </w:p>
          <w:p w14:paraId="3CBDC0D5" w14:textId="5B950CA7" w:rsidR="00890274" w:rsidRPr="00522BA3" w:rsidRDefault="00212B98" w:rsidP="00AF3399">
            <w:pPr>
              <w:autoSpaceDE w:val="0"/>
              <w:autoSpaceDN w:val="0"/>
              <w:spacing w:line="300" w:lineRule="exact"/>
              <w:rPr>
                <w:rFonts w:ascii="ＭＳ 明朝" w:hAnsi="ＭＳ 明朝"/>
                <w:sz w:val="24"/>
              </w:rPr>
            </w:pPr>
            <w:r>
              <w:rPr>
                <w:rFonts w:ascii="ＭＳ 明朝" w:hAnsi="ＭＳ 明朝" w:hint="eastAsia"/>
                <w:sz w:val="24"/>
              </w:rPr>
              <w:t>佐野高等学校</w:t>
            </w:r>
          </w:p>
        </w:tc>
        <w:tc>
          <w:tcPr>
            <w:tcW w:w="9342" w:type="dxa"/>
          </w:tcPr>
          <w:p w14:paraId="569B7FBF" w14:textId="0418F6FC" w:rsidR="00522BA3" w:rsidRPr="007D4458" w:rsidRDefault="00522BA3" w:rsidP="00AF3399">
            <w:pPr>
              <w:autoSpaceDE w:val="0"/>
              <w:autoSpaceDN w:val="0"/>
              <w:spacing w:line="300" w:lineRule="exact"/>
              <w:rPr>
                <w:rFonts w:ascii="ＭＳ 明朝" w:hAnsi="ＭＳ 明朝"/>
                <w:sz w:val="24"/>
              </w:rPr>
            </w:pPr>
          </w:p>
          <w:p w14:paraId="5328AA4D" w14:textId="3BDAE5E5" w:rsidR="00557511" w:rsidRPr="00CF266B" w:rsidRDefault="00CF266B" w:rsidP="00AF3399">
            <w:pPr>
              <w:autoSpaceDE w:val="0"/>
              <w:autoSpaceDN w:val="0"/>
              <w:spacing w:line="300" w:lineRule="exact"/>
              <w:ind w:firstLineChars="100" w:firstLine="240"/>
              <w:rPr>
                <w:rFonts w:ascii="ＭＳ 明朝" w:hAnsi="ＭＳ 明朝" w:cs="Arial"/>
                <w:sz w:val="24"/>
              </w:rPr>
            </w:pPr>
            <w:r w:rsidRPr="00CF266B">
              <w:rPr>
                <w:rFonts w:ascii="ＭＳ 明朝" w:hAnsi="ＭＳ 明朝" w:cs="Arial" w:hint="eastAsia"/>
                <w:sz w:val="24"/>
              </w:rPr>
              <w:t>令和</w:t>
            </w:r>
            <w:r w:rsidR="00212B98">
              <w:rPr>
                <w:rFonts w:ascii="ＭＳ 明朝" w:hAnsi="ＭＳ 明朝" w:cs="Arial" w:hint="eastAsia"/>
                <w:sz w:val="24"/>
              </w:rPr>
              <w:t>５</w:t>
            </w:r>
            <w:r w:rsidRPr="00CF266B">
              <w:rPr>
                <w:rFonts w:ascii="ＭＳ 明朝" w:hAnsi="ＭＳ 明朝" w:cs="Arial" w:hint="eastAsia"/>
                <w:sz w:val="24"/>
              </w:rPr>
              <w:t>年度の財務諸表（貸借対照表）の建設仮勘定に、工事完了による引渡しが行われている下記の工事に係る金額が計上されたままとなっていた。</w:t>
            </w:r>
          </w:p>
          <w:p w14:paraId="5A1A2E5A" w14:textId="77777777" w:rsidR="00557511" w:rsidRDefault="00557511" w:rsidP="00AF3399">
            <w:pPr>
              <w:autoSpaceDE w:val="0"/>
              <w:autoSpaceDN w:val="0"/>
              <w:spacing w:line="300" w:lineRule="exact"/>
              <w:rPr>
                <w:rFonts w:ascii="ＭＳ 明朝" w:hAnsi="ＭＳ 明朝" w:cs="Arial"/>
                <w:sz w:val="24"/>
              </w:rPr>
            </w:pPr>
          </w:p>
          <w:tbl>
            <w:tblPr>
              <w:tblW w:w="90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082"/>
              <w:gridCol w:w="1905"/>
              <w:gridCol w:w="1587"/>
            </w:tblGrid>
            <w:tr w:rsidR="00557511" w14:paraId="3C3F81E7" w14:textId="77777777" w:rsidTr="00212B98">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Default="00557511" w:rsidP="0035119F">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35119F">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Default="00557511" w:rsidP="0035119F">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35119F">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557511" w14:paraId="182E9381" w14:textId="77777777" w:rsidTr="00212B98">
              <w:trPr>
                <w:trHeight w:val="572"/>
              </w:trPr>
              <w:tc>
                <w:tcPr>
                  <w:tcW w:w="1461" w:type="dxa"/>
                  <w:tcBorders>
                    <w:top w:val="single" w:sz="4" w:space="0" w:color="auto"/>
                    <w:left w:val="single" w:sz="4" w:space="0" w:color="auto"/>
                    <w:bottom w:val="single" w:sz="4" w:space="0" w:color="auto"/>
                    <w:right w:val="single" w:sz="4" w:space="0" w:color="auto"/>
                  </w:tcBorders>
                  <w:vAlign w:val="center"/>
                  <w:hideMark/>
                </w:tcPr>
                <w:p w14:paraId="6B674B2A" w14:textId="4B47CA35" w:rsidR="00557511" w:rsidRDefault="00557511" w:rsidP="0035119F">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w:t>
                  </w:r>
                  <w:r w:rsidR="00212B98">
                    <w:rPr>
                      <w:rFonts w:ascii="ＭＳ 明朝" w:hAnsi="ＭＳ 明朝" w:cs="Arial" w:hint="eastAsia"/>
                      <w:sz w:val="24"/>
                    </w:rPr>
                    <w:t>５</w:t>
                  </w:r>
                  <w:r>
                    <w:rPr>
                      <w:rFonts w:ascii="ＭＳ 明朝" w:hAnsi="ＭＳ 明朝" w:cs="Arial" w:hint="eastAsia"/>
                      <w:sz w:val="24"/>
                    </w:rPr>
                    <w:t>年度</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4BB78B3" w14:textId="087BAA92" w:rsidR="00557511" w:rsidRDefault="00212B98" w:rsidP="0035119F">
                  <w:pPr>
                    <w:framePr w:hSpace="142" w:wrap="around" w:vAnchor="text" w:hAnchor="margin" w:y="2"/>
                    <w:autoSpaceDE w:val="0"/>
                    <w:autoSpaceDN w:val="0"/>
                    <w:spacing w:line="300" w:lineRule="exact"/>
                    <w:jc w:val="left"/>
                    <w:rPr>
                      <w:rFonts w:ascii="ＭＳ 明朝" w:hAnsi="ＭＳ 明朝"/>
                      <w:strike/>
                      <w:sz w:val="24"/>
                    </w:rPr>
                  </w:pPr>
                  <w:r>
                    <w:rPr>
                      <w:rFonts w:ascii="ＭＳ 明朝" w:hAnsi="ＭＳ 明朝" w:hint="eastAsia"/>
                      <w:sz w:val="24"/>
                    </w:rPr>
                    <w:t>大阪府立佐野高等学校Ｅ館ほか便所和式便器改修</w:t>
                  </w:r>
                  <w:r w:rsidR="00557511">
                    <w:rPr>
                      <w:rFonts w:ascii="ＭＳ 明朝" w:hAnsi="ＭＳ 明朝" w:hint="eastAsia"/>
                      <w:sz w:val="24"/>
                    </w:rPr>
                    <w:t>工事</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7126157" w14:textId="51680BC9" w:rsidR="00557511" w:rsidRDefault="00212B98" w:rsidP="0035119F">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859</w:t>
                  </w:r>
                  <w:r w:rsidR="00557511">
                    <w:rPr>
                      <w:rFonts w:ascii="ＭＳ 明朝" w:hAnsi="ＭＳ 明朝" w:hint="eastAsia"/>
                      <w:sz w:val="24"/>
                    </w:rPr>
                    <w:t>,</w:t>
                  </w:r>
                  <w:r>
                    <w:rPr>
                      <w:rFonts w:ascii="ＭＳ 明朝" w:hAnsi="ＭＳ 明朝"/>
                      <w:sz w:val="24"/>
                    </w:rPr>
                    <w:t>98</w:t>
                  </w:r>
                  <w:r w:rsidR="00557511">
                    <w:rPr>
                      <w:rFonts w:ascii="ＭＳ 明朝" w:hAnsi="ＭＳ 明朝" w:hint="eastAsia"/>
                      <w:sz w:val="24"/>
                    </w:rPr>
                    <w:t>0円</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72D1940" w14:textId="55C6E6BA" w:rsidR="00557511" w:rsidRDefault="00212B98" w:rsidP="0035119F">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606,100</w:t>
                  </w:r>
                  <w:r w:rsidR="00557511">
                    <w:rPr>
                      <w:rFonts w:ascii="ＭＳ 明朝" w:hAnsi="ＭＳ 明朝" w:hint="eastAsia"/>
                      <w:sz w:val="24"/>
                    </w:rPr>
                    <w:t xml:space="preserve">円 </w:t>
                  </w:r>
                </w:p>
              </w:tc>
            </w:tr>
            <w:tr w:rsidR="00557511" w14:paraId="124B734B" w14:textId="77777777" w:rsidTr="00212B98">
              <w:trPr>
                <w:trHeight w:val="572"/>
              </w:trPr>
              <w:tc>
                <w:tcPr>
                  <w:tcW w:w="1461" w:type="dxa"/>
                  <w:tcBorders>
                    <w:top w:val="single" w:sz="4" w:space="0" w:color="auto"/>
                    <w:left w:val="single" w:sz="4" w:space="0" w:color="auto"/>
                    <w:bottom w:val="single" w:sz="4" w:space="0" w:color="auto"/>
                    <w:right w:val="single" w:sz="4" w:space="0" w:color="auto"/>
                  </w:tcBorders>
                  <w:vAlign w:val="center"/>
                  <w:hideMark/>
                </w:tcPr>
                <w:p w14:paraId="4DDD7B07" w14:textId="40F6B041" w:rsidR="00557511" w:rsidRDefault="00573A6D" w:rsidP="0035119F">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令和５年度</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4C59A1A" w14:textId="6AECCA21" w:rsidR="00557511" w:rsidRDefault="00212B98" w:rsidP="0035119F">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大阪府立佐野高等学校小便器水栓改修</w:t>
                  </w:r>
                  <w:r w:rsidR="00557511">
                    <w:rPr>
                      <w:rFonts w:ascii="ＭＳ 明朝" w:hAnsi="ＭＳ 明朝" w:hint="eastAsia"/>
                      <w:sz w:val="24"/>
                    </w:rPr>
                    <w:t>工事</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BB5BA20" w14:textId="158C2159" w:rsidR="00557511" w:rsidRDefault="00212B98" w:rsidP="0035119F">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829</w:t>
                  </w:r>
                  <w:r w:rsidR="00557511">
                    <w:rPr>
                      <w:rFonts w:ascii="ＭＳ 明朝" w:hAnsi="ＭＳ 明朝" w:hint="eastAsia"/>
                      <w:sz w:val="24"/>
                    </w:rPr>
                    <w:t>,</w:t>
                  </w:r>
                  <w:r>
                    <w:rPr>
                      <w:rFonts w:ascii="ＭＳ 明朝" w:hAnsi="ＭＳ 明朝"/>
                      <w:sz w:val="24"/>
                    </w:rPr>
                    <w:t>4</w:t>
                  </w:r>
                  <w:r w:rsidR="00557511">
                    <w:rPr>
                      <w:rFonts w:ascii="ＭＳ 明朝" w:hAnsi="ＭＳ 明朝" w:hint="eastAsia"/>
                      <w:sz w:val="24"/>
                    </w:rPr>
                    <w:t>00円</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5B23FEF" w14:textId="47122A17" w:rsidR="00557511" w:rsidRDefault="00212B98" w:rsidP="0035119F">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792</w:t>
                  </w:r>
                  <w:r w:rsidR="00557511">
                    <w:rPr>
                      <w:rFonts w:ascii="ＭＳ 明朝" w:hAnsi="ＭＳ 明朝" w:hint="eastAsia"/>
                      <w:sz w:val="24"/>
                    </w:rPr>
                    <w:t>,000円</w:t>
                  </w:r>
                </w:p>
              </w:tc>
            </w:tr>
            <w:tr w:rsidR="00212B98" w14:paraId="70BDC66A" w14:textId="77777777" w:rsidTr="00212B98">
              <w:trPr>
                <w:trHeight w:val="572"/>
              </w:trPr>
              <w:tc>
                <w:tcPr>
                  <w:tcW w:w="1461" w:type="dxa"/>
                  <w:tcBorders>
                    <w:top w:val="single" w:sz="4" w:space="0" w:color="auto"/>
                    <w:left w:val="single" w:sz="4" w:space="0" w:color="auto"/>
                    <w:bottom w:val="single" w:sz="4" w:space="0" w:color="auto"/>
                    <w:right w:val="single" w:sz="4" w:space="0" w:color="auto"/>
                  </w:tcBorders>
                  <w:vAlign w:val="center"/>
                </w:tcPr>
                <w:p w14:paraId="6EF064D6" w14:textId="3F6892C9" w:rsidR="00212B98" w:rsidRDefault="00573A6D" w:rsidP="0035119F">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令和５年度</w:t>
                  </w:r>
                </w:p>
              </w:tc>
              <w:tc>
                <w:tcPr>
                  <w:tcW w:w="4082" w:type="dxa"/>
                  <w:tcBorders>
                    <w:top w:val="single" w:sz="4" w:space="0" w:color="auto"/>
                    <w:left w:val="single" w:sz="4" w:space="0" w:color="auto"/>
                    <w:bottom w:val="single" w:sz="4" w:space="0" w:color="auto"/>
                    <w:right w:val="single" w:sz="4" w:space="0" w:color="auto"/>
                  </w:tcBorders>
                  <w:vAlign w:val="center"/>
                </w:tcPr>
                <w:p w14:paraId="1759637A" w14:textId="392853F5" w:rsidR="00212B98" w:rsidRDefault="00212B98" w:rsidP="0035119F">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大阪府立佐野高等学校１号館ほか便所和式便器改修</w:t>
                  </w:r>
                  <w:r w:rsidR="003E5EAA">
                    <w:rPr>
                      <w:rFonts w:ascii="ＭＳ 明朝" w:hAnsi="ＭＳ 明朝" w:hint="eastAsia"/>
                      <w:sz w:val="24"/>
                    </w:rPr>
                    <w:t>工事</w:t>
                  </w:r>
                </w:p>
              </w:tc>
              <w:tc>
                <w:tcPr>
                  <w:tcW w:w="1905" w:type="dxa"/>
                  <w:tcBorders>
                    <w:top w:val="single" w:sz="4" w:space="0" w:color="auto"/>
                    <w:left w:val="single" w:sz="4" w:space="0" w:color="auto"/>
                    <w:bottom w:val="single" w:sz="4" w:space="0" w:color="auto"/>
                    <w:right w:val="single" w:sz="4" w:space="0" w:color="auto"/>
                  </w:tcBorders>
                  <w:vAlign w:val="center"/>
                </w:tcPr>
                <w:p w14:paraId="5B49EB01" w14:textId="27406440" w:rsidR="00212B98" w:rsidRDefault="00212B98" w:rsidP="0035119F">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1</w:t>
                  </w:r>
                  <w:r>
                    <w:rPr>
                      <w:rFonts w:ascii="ＭＳ 明朝" w:hAnsi="ＭＳ 明朝"/>
                      <w:sz w:val="24"/>
                    </w:rPr>
                    <w:t>,427,800</w:t>
                  </w:r>
                  <w:r>
                    <w:rPr>
                      <w:rFonts w:ascii="ＭＳ 明朝" w:hAnsi="ＭＳ 明朝" w:hint="eastAsia"/>
                      <w:sz w:val="24"/>
                    </w:rPr>
                    <w:t>円</w:t>
                  </w:r>
                </w:p>
              </w:tc>
              <w:tc>
                <w:tcPr>
                  <w:tcW w:w="1587" w:type="dxa"/>
                  <w:tcBorders>
                    <w:top w:val="single" w:sz="4" w:space="0" w:color="auto"/>
                    <w:left w:val="single" w:sz="4" w:space="0" w:color="auto"/>
                    <w:bottom w:val="single" w:sz="4" w:space="0" w:color="auto"/>
                    <w:right w:val="single" w:sz="4" w:space="0" w:color="auto"/>
                  </w:tcBorders>
                  <w:vAlign w:val="center"/>
                </w:tcPr>
                <w:p w14:paraId="3DC95B3B" w14:textId="75774A40" w:rsidR="00212B98" w:rsidRDefault="00212B98" w:rsidP="0035119F">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0F64A7">
                    <w:rPr>
                      <w:rFonts w:ascii="ＭＳ 明朝" w:hAnsi="ＭＳ 明朝" w:hint="eastAsia"/>
                      <w:sz w:val="24"/>
                    </w:rPr>
                    <w:t>1</w:t>
                  </w:r>
                  <w:r w:rsidRPr="000F64A7">
                    <w:rPr>
                      <w:rFonts w:ascii="ＭＳ 明朝" w:hAnsi="ＭＳ 明朝"/>
                      <w:sz w:val="24"/>
                    </w:rPr>
                    <w:t>,056,000</w:t>
                  </w:r>
                  <w:r w:rsidRPr="000F64A7">
                    <w:rPr>
                      <w:rFonts w:ascii="ＭＳ 明朝" w:hAnsi="ＭＳ 明朝" w:hint="eastAsia"/>
                      <w:sz w:val="24"/>
                    </w:rPr>
                    <w:t>円</w:t>
                  </w:r>
                </w:p>
              </w:tc>
            </w:tr>
          </w:tbl>
          <w:p w14:paraId="71CDE86D" w14:textId="343C7FB7" w:rsidR="00763559" w:rsidRPr="00CF266B" w:rsidRDefault="00763559" w:rsidP="00AF3399">
            <w:pPr>
              <w:autoSpaceDE w:val="0"/>
              <w:autoSpaceDN w:val="0"/>
              <w:spacing w:line="300" w:lineRule="exact"/>
              <w:rPr>
                <w:rFonts w:ascii="ＭＳ 明朝" w:hAnsi="ＭＳ 明朝" w:cs="Arial"/>
                <w:sz w:val="24"/>
              </w:rPr>
            </w:pPr>
          </w:p>
        </w:tc>
        <w:tc>
          <w:tcPr>
            <w:tcW w:w="8916" w:type="dxa"/>
          </w:tcPr>
          <w:p w14:paraId="035AA200" w14:textId="77777777" w:rsidR="00522BA3" w:rsidRPr="00522BA3" w:rsidRDefault="00522BA3" w:rsidP="00AF3399">
            <w:pPr>
              <w:autoSpaceDE w:val="0"/>
              <w:autoSpaceDN w:val="0"/>
              <w:spacing w:line="300" w:lineRule="exact"/>
              <w:rPr>
                <w:rFonts w:ascii="ＭＳ 明朝" w:hAnsi="ＭＳ 明朝"/>
                <w:sz w:val="24"/>
              </w:rPr>
            </w:pPr>
          </w:p>
          <w:p w14:paraId="27844BDC" w14:textId="7F49F3D9" w:rsidR="00522BA3" w:rsidRDefault="00F152B2" w:rsidP="00AF3399">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AF3399">
            <w:pPr>
              <w:autoSpaceDE w:val="0"/>
              <w:autoSpaceDN w:val="0"/>
              <w:spacing w:line="300" w:lineRule="exact"/>
              <w:rPr>
                <w:rFonts w:ascii="ＭＳ 明朝" w:hAnsi="ＭＳ 明朝"/>
                <w:sz w:val="24"/>
              </w:rPr>
            </w:pPr>
          </w:p>
        </w:tc>
      </w:tr>
      <w:tr w:rsidR="00AF3399" w:rsidRPr="00522BA3" w14:paraId="1628317D" w14:textId="77777777" w:rsidTr="00AF3399">
        <w:trPr>
          <w:trHeight w:val="624"/>
        </w:trPr>
        <w:tc>
          <w:tcPr>
            <w:tcW w:w="20490" w:type="dxa"/>
            <w:gridSpan w:val="3"/>
            <w:vAlign w:val="center"/>
          </w:tcPr>
          <w:p w14:paraId="0C28D962" w14:textId="4B5F4EFA" w:rsidR="00AF3399" w:rsidRPr="00522BA3" w:rsidRDefault="00AD68E2" w:rsidP="00AF3399">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AF3399" w:rsidRPr="00522BA3" w14:paraId="737335CE" w14:textId="77777777" w:rsidTr="00AF3399">
        <w:trPr>
          <w:trHeight w:val="624"/>
        </w:trPr>
        <w:tc>
          <w:tcPr>
            <w:tcW w:w="20490" w:type="dxa"/>
            <w:gridSpan w:val="3"/>
          </w:tcPr>
          <w:p w14:paraId="06E50D61" w14:textId="77777777" w:rsidR="00207C28" w:rsidRDefault="00207C28" w:rsidP="00207C28">
            <w:pPr>
              <w:autoSpaceDE w:val="0"/>
              <w:autoSpaceDN w:val="0"/>
              <w:spacing w:line="300" w:lineRule="exact"/>
              <w:ind w:firstLineChars="100" w:firstLine="240"/>
              <w:rPr>
                <w:rFonts w:ascii="ＭＳ 明朝" w:hAnsi="ＭＳ 明朝"/>
                <w:sz w:val="24"/>
              </w:rPr>
            </w:pPr>
          </w:p>
          <w:p w14:paraId="61253672" w14:textId="77777777" w:rsidR="000A77CE" w:rsidRPr="00620869" w:rsidRDefault="000A77CE" w:rsidP="00207C28">
            <w:pPr>
              <w:autoSpaceDE w:val="0"/>
              <w:autoSpaceDN w:val="0"/>
              <w:spacing w:line="300" w:lineRule="exact"/>
              <w:ind w:firstLineChars="100" w:firstLine="240"/>
              <w:rPr>
                <w:rFonts w:ascii="ＭＳ 明朝" w:hAnsi="ＭＳ 明朝"/>
                <w:sz w:val="24"/>
              </w:rPr>
            </w:pPr>
            <w:r w:rsidRPr="00620869">
              <w:rPr>
                <w:rFonts w:ascii="ＭＳ 明朝" w:hAnsi="ＭＳ 明朝" w:hint="eastAsia"/>
                <w:sz w:val="24"/>
              </w:rPr>
              <w:t>過年度の建設仮勘定精算は所属では行えないため、会計局会計指導課に修正を依頼し、本資産勘定への精算処理を行った。</w:t>
            </w:r>
          </w:p>
          <w:p w14:paraId="5E686B81" w14:textId="77777777" w:rsidR="000A77CE" w:rsidRPr="00620869" w:rsidRDefault="000A77CE" w:rsidP="00207C28">
            <w:pPr>
              <w:autoSpaceDE w:val="0"/>
              <w:autoSpaceDN w:val="0"/>
              <w:spacing w:line="300" w:lineRule="exact"/>
              <w:ind w:firstLineChars="100" w:firstLine="240"/>
              <w:rPr>
                <w:rFonts w:ascii="ＭＳ 明朝" w:hAnsi="ＭＳ 明朝"/>
                <w:sz w:val="24"/>
              </w:rPr>
            </w:pPr>
            <w:r w:rsidRPr="00620869">
              <w:rPr>
                <w:rFonts w:ascii="ＭＳ 明朝" w:hAnsi="ＭＳ 明朝" w:hint="eastAsia"/>
                <w:sz w:val="24"/>
              </w:rPr>
              <w:t>また、資産となるものについては、公有財産台帳の修正を行った。</w:t>
            </w:r>
          </w:p>
          <w:p w14:paraId="5F201C21" w14:textId="6CBB6FF4" w:rsidR="00207C28" w:rsidRPr="00620869" w:rsidRDefault="00207C28" w:rsidP="00207C28">
            <w:pPr>
              <w:autoSpaceDE w:val="0"/>
              <w:autoSpaceDN w:val="0"/>
              <w:spacing w:line="300" w:lineRule="exact"/>
              <w:rPr>
                <w:rFonts w:ascii="ＭＳ 明朝" w:hAnsi="ＭＳ 明朝"/>
                <w:sz w:val="24"/>
              </w:rPr>
            </w:pPr>
            <w:r w:rsidRPr="00620869">
              <w:rPr>
                <w:rFonts w:ascii="ＭＳ 明朝" w:hAnsi="ＭＳ 明朝" w:hint="eastAsia"/>
                <w:sz w:val="24"/>
              </w:rPr>
              <w:t xml:space="preserve">　検出事項の原因は、建設仮勘定の精算処理について、担当者及び事務室職員の理解</w:t>
            </w:r>
            <w:r w:rsidR="003C6534" w:rsidRPr="00620869">
              <w:rPr>
                <w:rFonts w:ascii="ＭＳ 明朝" w:hAnsi="ＭＳ 明朝" w:hint="eastAsia"/>
                <w:sz w:val="24"/>
              </w:rPr>
              <w:t>が</w:t>
            </w:r>
            <w:r w:rsidRPr="00620869">
              <w:rPr>
                <w:rFonts w:ascii="ＭＳ 明朝" w:hAnsi="ＭＳ 明朝" w:hint="eastAsia"/>
                <w:sz w:val="24"/>
              </w:rPr>
              <w:t>不足</w:t>
            </w:r>
            <w:r w:rsidR="003C6534" w:rsidRPr="00620869">
              <w:rPr>
                <w:rFonts w:ascii="ＭＳ 明朝" w:hAnsi="ＭＳ 明朝" w:hint="eastAsia"/>
                <w:sz w:val="24"/>
              </w:rPr>
              <w:t>していたことによる。</w:t>
            </w:r>
          </w:p>
          <w:p w14:paraId="6DE419D8" w14:textId="6DC2C62B" w:rsidR="00207C28" w:rsidRPr="00620869" w:rsidRDefault="00207C28" w:rsidP="00207C28">
            <w:pPr>
              <w:autoSpaceDE w:val="0"/>
              <w:autoSpaceDN w:val="0"/>
              <w:spacing w:line="300" w:lineRule="exact"/>
              <w:rPr>
                <w:rFonts w:ascii="ＭＳ 明朝" w:hAnsi="ＭＳ 明朝"/>
                <w:sz w:val="24"/>
              </w:rPr>
            </w:pPr>
            <w:r w:rsidRPr="00620869">
              <w:rPr>
                <w:rFonts w:ascii="ＭＳ 明朝" w:hAnsi="ＭＳ 明朝" w:hint="eastAsia"/>
                <w:sz w:val="24"/>
              </w:rPr>
              <w:t xml:space="preserve">　再発防止に向けて、担当者及び事務室職員に対し建設仮勘定の精算処理について適切に実施するよう周知徹底するとともに、</w:t>
            </w:r>
            <w:r w:rsidR="004C34A4" w:rsidRPr="00620869">
              <w:rPr>
                <w:rFonts w:ascii="ＭＳ 明朝" w:hAnsi="ＭＳ 明朝" w:hint="eastAsia"/>
                <w:sz w:val="24"/>
              </w:rPr>
              <w:t>ＳＳＣ</w:t>
            </w:r>
            <w:r w:rsidRPr="00620869">
              <w:rPr>
                <w:rFonts w:ascii="ＭＳ 明朝" w:hAnsi="ＭＳ 明朝" w:hint="eastAsia"/>
                <w:sz w:val="24"/>
              </w:rPr>
              <w:t>等で未精算案件の確認を担当者のみならず事務室全体で定期的に行うことによりチェック体制を強化した。</w:t>
            </w:r>
          </w:p>
          <w:p w14:paraId="71607BB9" w14:textId="77777777" w:rsidR="00AF3399" w:rsidRDefault="00207C28" w:rsidP="00207C28">
            <w:pPr>
              <w:autoSpaceDE w:val="0"/>
              <w:autoSpaceDN w:val="0"/>
              <w:spacing w:line="300" w:lineRule="exact"/>
              <w:rPr>
                <w:rFonts w:ascii="ＭＳ 明朝" w:hAnsi="ＭＳ 明朝"/>
                <w:sz w:val="24"/>
              </w:rPr>
            </w:pPr>
            <w:r w:rsidRPr="00207C28">
              <w:rPr>
                <w:rFonts w:ascii="ＭＳ 明朝" w:hAnsi="ＭＳ 明朝" w:hint="eastAsia"/>
                <w:sz w:val="24"/>
              </w:rPr>
              <w:t xml:space="preserve">　今後は、大阪府財務諸表作成基準等に基づき、適正な事務処理を行う。</w:t>
            </w:r>
          </w:p>
          <w:p w14:paraId="65C5E1C5" w14:textId="3CED2991" w:rsidR="00207C28" w:rsidRPr="00207C28" w:rsidRDefault="00207C28" w:rsidP="00207C28">
            <w:pPr>
              <w:autoSpaceDE w:val="0"/>
              <w:autoSpaceDN w:val="0"/>
              <w:spacing w:line="300" w:lineRule="exact"/>
              <w:rPr>
                <w:rFonts w:ascii="ＭＳ 明朝" w:hAnsi="ＭＳ 明朝"/>
                <w:sz w:val="24"/>
              </w:rPr>
            </w:pPr>
          </w:p>
        </w:tc>
      </w:tr>
    </w:tbl>
    <w:p w14:paraId="1F82E692" w14:textId="5954C953" w:rsidR="00E33298" w:rsidRPr="00E33298" w:rsidRDefault="00522BA3" w:rsidP="0035119F">
      <w:pPr>
        <w:autoSpaceDE w:val="0"/>
        <w:autoSpaceDN w:val="0"/>
        <w:spacing w:line="300" w:lineRule="exact"/>
        <w:jc w:val="right"/>
        <w:rPr>
          <w:rFonts w:ascii="ＭＳ 明朝" w:hAnsi="ＭＳ 明朝"/>
          <w:sz w:val="24"/>
          <w:szCs w:val="22"/>
        </w:rPr>
      </w:pPr>
      <w:r w:rsidRPr="00522BA3">
        <w:rPr>
          <w:rFonts w:ascii="ＭＳ ゴシック" w:eastAsia="ＭＳ ゴシック" w:hAnsi="ＭＳ ゴシック" w:hint="eastAsia"/>
          <w:sz w:val="24"/>
          <w:szCs w:val="22"/>
        </w:rPr>
        <w:t>監査（検査）実施年月日（委員：令和－年－月－日、事務局：令和</w:t>
      </w:r>
      <w:r w:rsidR="002A7874">
        <w:rPr>
          <w:rFonts w:ascii="ＭＳ ゴシック" w:eastAsia="ＭＳ ゴシック" w:hAnsi="ＭＳ ゴシック" w:hint="eastAsia"/>
          <w:sz w:val="24"/>
          <w:szCs w:val="22"/>
        </w:rPr>
        <w:t>６年1</w:t>
      </w:r>
      <w:r w:rsidR="002A7874">
        <w:rPr>
          <w:rFonts w:ascii="ＭＳ ゴシック" w:eastAsia="ＭＳ ゴシック" w:hAnsi="ＭＳ ゴシック"/>
          <w:sz w:val="24"/>
          <w:szCs w:val="22"/>
        </w:rPr>
        <w:t>0</w:t>
      </w:r>
      <w:r w:rsidR="002A7874">
        <w:rPr>
          <w:rFonts w:ascii="ＭＳ ゴシック" w:eastAsia="ＭＳ ゴシック" w:hAnsi="ＭＳ ゴシック" w:hint="eastAsia"/>
          <w:sz w:val="24"/>
          <w:szCs w:val="22"/>
        </w:rPr>
        <w:t>月</w:t>
      </w:r>
      <w:r w:rsidR="00EF76F4">
        <w:rPr>
          <w:rFonts w:ascii="ＭＳ ゴシック" w:eastAsia="ＭＳ ゴシック" w:hAnsi="ＭＳ ゴシック" w:hint="eastAsia"/>
          <w:sz w:val="24"/>
          <w:szCs w:val="22"/>
        </w:rPr>
        <w:t>１</w:t>
      </w:r>
      <w:r w:rsidR="002A7874">
        <w:rPr>
          <w:rFonts w:ascii="ＭＳ ゴシック" w:eastAsia="ＭＳ ゴシック" w:hAnsi="ＭＳ ゴシック" w:hint="eastAsia"/>
          <w:sz w:val="24"/>
          <w:szCs w:val="22"/>
        </w:rPr>
        <w:t>日から令和７</w:t>
      </w:r>
      <w:r w:rsidRPr="00522BA3">
        <w:rPr>
          <w:rFonts w:ascii="ＭＳ ゴシック" w:eastAsia="ＭＳ ゴシック" w:hAnsi="ＭＳ ゴシック" w:hint="eastAsia"/>
          <w:sz w:val="24"/>
          <w:szCs w:val="22"/>
        </w:rPr>
        <w:t>年</w:t>
      </w:r>
      <w:r w:rsidR="002A7874">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月</w:t>
      </w:r>
      <w:r w:rsidR="002A7874">
        <w:rPr>
          <w:rFonts w:ascii="ＭＳ ゴシック" w:eastAsia="ＭＳ ゴシック" w:hAnsi="ＭＳ ゴシック" w:hint="eastAsia"/>
          <w:sz w:val="24"/>
          <w:szCs w:val="22"/>
        </w:rPr>
        <w:t>3</w:t>
      </w:r>
      <w:r w:rsidR="002A7874">
        <w:rPr>
          <w:rFonts w:ascii="ＭＳ ゴシック" w:eastAsia="ＭＳ ゴシック" w:hAnsi="ＭＳ ゴシック"/>
          <w:sz w:val="24"/>
          <w:szCs w:val="22"/>
        </w:rPr>
        <w:t>1</w:t>
      </w:r>
      <w:r w:rsidRPr="00522BA3">
        <w:rPr>
          <w:rFonts w:ascii="ＭＳ ゴシック" w:eastAsia="ＭＳ ゴシック" w:hAnsi="ＭＳ ゴシック" w:hint="eastAsia"/>
          <w:sz w:val="24"/>
          <w:szCs w:val="22"/>
        </w:rPr>
        <w:t>日）</w:t>
      </w:r>
    </w:p>
    <w:sectPr w:rsidR="00E33298" w:rsidRPr="00E33298" w:rsidSect="00B43EF7">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7199" w14:textId="77777777" w:rsidR="00C0570F" w:rsidRDefault="00C0570F">
      <w:r>
        <w:separator/>
      </w:r>
    </w:p>
  </w:endnote>
  <w:endnote w:type="continuationSeparator" w:id="0">
    <w:p w14:paraId="5E381BAB" w14:textId="77777777" w:rsidR="00C0570F" w:rsidRDefault="00C0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A02F3" w14:textId="77777777" w:rsidR="00C0570F" w:rsidRDefault="00C0570F">
      <w:r>
        <w:separator/>
      </w:r>
    </w:p>
  </w:footnote>
  <w:footnote w:type="continuationSeparator" w:id="0">
    <w:p w14:paraId="511F0CBE" w14:textId="77777777" w:rsidR="00C0570F" w:rsidRDefault="00C05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026C"/>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3D20"/>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7C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B9E"/>
    <w:rsid w:val="000E5E9A"/>
    <w:rsid w:val="000F28E4"/>
    <w:rsid w:val="000F2BA4"/>
    <w:rsid w:val="000F476B"/>
    <w:rsid w:val="000F4AFA"/>
    <w:rsid w:val="000F52A8"/>
    <w:rsid w:val="000F6116"/>
    <w:rsid w:val="000F64A7"/>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31F"/>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255C"/>
    <w:rsid w:val="00203BC3"/>
    <w:rsid w:val="0020449F"/>
    <w:rsid w:val="0020475E"/>
    <w:rsid w:val="00207C28"/>
    <w:rsid w:val="002100F2"/>
    <w:rsid w:val="0021039C"/>
    <w:rsid w:val="002118A0"/>
    <w:rsid w:val="00212B98"/>
    <w:rsid w:val="002133BD"/>
    <w:rsid w:val="00213B09"/>
    <w:rsid w:val="00213EB1"/>
    <w:rsid w:val="00220C7E"/>
    <w:rsid w:val="00221EC8"/>
    <w:rsid w:val="00226354"/>
    <w:rsid w:val="002265B5"/>
    <w:rsid w:val="00226A79"/>
    <w:rsid w:val="00227E8F"/>
    <w:rsid w:val="002308B2"/>
    <w:rsid w:val="002309F6"/>
    <w:rsid w:val="00231071"/>
    <w:rsid w:val="00231076"/>
    <w:rsid w:val="0023346E"/>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A5315"/>
    <w:rsid w:val="002A7874"/>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119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19F5"/>
    <w:rsid w:val="003A2E5C"/>
    <w:rsid w:val="003A3818"/>
    <w:rsid w:val="003A6524"/>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6534"/>
    <w:rsid w:val="003C7320"/>
    <w:rsid w:val="003D0045"/>
    <w:rsid w:val="003D00C5"/>
    <w:rsid w:val="003D0EE8"/>
    <w:rsid w:val="003D13C9"/>
    <w:rsid w:val="003D2F68"/>
    <w:rsid w:val="003D3756"/>
    <w:rsid w:val="003D4411"/>
    <w:rsid w:val="003E2362"/>
    <w:rsid w:val="003E2E77"/>
    <w:rsid w:val="003E5DE4"/>
    <w:rsid w:val="003E5EAA"/>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6E84"/>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3D13"/>
    <w:rsid w:val="004B5AB7"/>
    <w:rsid w:val="004B60D7"/>
    <w:rsid w:val="004B6593"/>
    <w:rsid w:val="004B74A0"/>
    <w:rsid w:val="004C0F03"/>
    <w:rsid w:val="004C13DF"/>
    <w:rsid w:val="004C34A4"/>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3A6D"/>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170F9"/>
    <w:rsid w:val="00620214"/>
    <w:rsid w:val="00620869"/>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6E0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274"/>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249"/>
    <w:rsid w:val="008E456F"/>
    <w:rsid w:val="008E466B"/>
    <w:rsid w:val="008E4C22"/>
    <w:rsid w:val="008E7E1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5B06"/>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D68E2"/>
    <w:rsid w:val="00AE3161"/>
    <w:rsid w:val="00AE4AA0"/>
    <w:rsid w:val="00AE4E52"/>
    <w:rsid w:val="00AE557C"/>
    <w:rsid w:val="00AE64E8"/>
    <w:rsid w:val="00AE6CD5"/>
    <w:rsid w:val="00AE7B49"/>
    <w:rsid w:val="00AF13D1"/>
    <w:rsid w:val="00AF153E"/>
    <w:rsid w:val="00AF1596"/>
    <w:rsid w:val="00AF1E56"/>
    <w:rsid w:val="00AF27D9"/>
    <w:rsid w:val="00AF3399"/>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570F"/>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D011C7"/>
    <w:rsid w:val="00D0180C"/>
    <w:rsid w:val="00D04E7D"/>
    <w:rsid w:val="00D05997"/>
    <w:rsid w:val="00D07B73"/>
    <w:rsid w:val="00D124D0"/>
    <w:rsid w:val="00D1268A"/>
    <w:rsid w:val="00D15040"/>
    <w:rsid w:val="00D21DED"/>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40E"/>
    <w:rsid w:val="00D86DA8"/>
    <w:rsid w:val="00D905F2"/>
    <w:rsid w:val="00D91B2E"/>
    <w:rsid w:val="00D927C0"/>
    <w:rsid w:val="00D936CC"/>
    <w:rsid w:val="00D9432D"/>
    <w:rsid w:val="00D94899"/>
    <w:rsid w:val="00D94EB8"/>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4D48"/>
    <w:rsid w:val="00E076E0"/>
    <w:rsid w:val="00E11561"/>
    <w:rsid w:val="00E117EC"/>
    <w:rsid w:val="00E12217"/>
    <w:rsid w:val="00E15935"/>
    <w:rsid w:val="00E2347D"/>
    <w:rsid w:val="00E2406C"/>
    <w:rsid w:val="00E247F6"/>
    <w:rsid w:val="00E257BC"/>
    <w:rsid w:val="00E26370"/>
    <w:rsid w:val="00E3036D"/>
    <w:rsid w:val="00E30A9E"/>
    <w:rsid w:val="00E3260B"/>
    <w:rsid w:val="00E33298"/>
    <w:rsid w:val="00E334F2"/>
    <w:rsid w:val="00E34568"/>
    <w:rsid w:val="00E353FF"/>
    <w:rsid w:val="00E36C3F"/>
    <w:rsid w:val="00E370AB"/>
    <w:rsid w:val="00E373BA"/>
    <w:rsid w:val="00E37E17"/>
    <w:rsid w:val="00E420AE"/>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6F4"/>
    <w:rsid w:val="00EF7CBF"/>
    <w:rsid w:val="00F030F7"/>
    <w:rsid w:val="00F03296"/>
    <w:rsid w:val="00F044B3"/>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 w:val="00FF7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6A785E81-4161-46F0-8B8E-C704373B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97EC-396B-40C3-9A01-814D22B0D9D2}">
  <ds:schemaRefs>
    <ds:schemaRef ds:uri="http://schemas.microsoft.com/sharepoint/v3/contenttype/forms"/>
  </ds:schemaRefs>
</ds:datastoreItem>
</file>

<file path=customXml/itemProps2.xml><?xml version="1.0" encoding="utf-8"?>
<ds:datastoreItem xmlns:ds="http://schemas.openxmlformats.org/officeDocument/2006/customXml" ds:itemID="{50904AA5-4EB4-4D75-BA4D-691C596D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593E3-C7D2-4AB5-87DF-9B0BADC83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642FD1-8777-42FF-AFD4-9068972621E1}">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1</Pages>
  <Words>592</Words>
  <Characters>93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2025-07-18T06:08:00Z</cp:lastPrinted>
  <dcterms:created xsi:type="dcterms:W3CDTF">2025-07-18T05:13:00Z</dcterms:created>
  <dcterms:modified xsi:type="dcterms:W3CDTF">2025-08-08T09:09:00Z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