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議題</w:t>
      </w:r>
      <w:r w:rsidR="004E157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（委員会決裁事項（規則第３条第１号））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jc w:val="center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令和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年度大阪府公立高等学校の募集人員について</w:t>
      </w:r>
    </w:p>
    <w:p w:rsidR="001729DF" w:rsidRPr="00941FA4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標記について、府内公立中学校卒業見込み者数等の動向を踏まえ、別紙のとおり決定する。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ただし、併設型中高一貫校である府立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水都国際高等学校及び府立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富田林高等学校にあっては、併設中学校からの内部進学者数によって、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府立水都国際高等学校においては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最大</w:t>
      </w:r>
      <w:r w:rsidR="00742F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２人</w:t>
      </w:r>
      <w:r w:rsidR="003A0B3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、府立富田林高等学校においては最大３</w:t>
      </w:r>
      <w:r w:rsidR="00742F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の増員を行うことがある。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11月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８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日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wordWrap w:val="0"/>
        <w:jc w:val="right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大阪府教育委員会　　　　　　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＜参考＞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１　令和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年度大阪府公立高等学校入学者選抜方針</w:t>
      </w:r>
    </w:p>
    <w:p w:rsidR="001729DF" w:rsidRPr="001729DF" w:rsidRDefault="001729DF" w:rsidP="001729DF">
      <w:pPr>
        <w:ind w:left="2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４年４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月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25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日の教育委員会会議で決定した令和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年度大阪府公立高等学校入学者選抜方針において、各高等学校の募集人員は、別に定めることとしたため、今回、付議するもの。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２　昼間の高等学校の総募集人員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(1) 府内公立中学校卒業者数を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,</w:t>
      </w:r>
      <w:r w:rsidR="003218D3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="00941FA4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８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</w:t>
      </w:r>
      <w:r w:rsidR="00742F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）と推計。</w:t>
      </w:r>
    </w:p>
    <w:p w:rsidR="001729DF" w:rsidRPr="001729DF" w:rsidRDefault="001729DF" w:rsidP="001729DF">
      <w:pPr>
        <w:ind w:left="720" w:hangingChars="300" w:hanging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(2) 計画進学率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93.9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％、他府県等への進学者を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3,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31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人増）として、府内進学予定者数を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59,7</w:t>
      </w:r>
      <w:r w:rsid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人と算出。</w:t>
      </w: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8"/>
        <w:gridCol w:w="1788"/>
        <w:gridCol w:w="1788"/>
        <w:gridCol w:w="1788"/>
      </w:tblGrid>
      <w:tr w:rsidR="001729DF" w:rsidRPr="00F84D6D" w:rsidTr="001729DF">
        <w:trPr>
          <w:trHeight w:val="269"/>
          <w:jc w:val="right"/>
        </w:trPr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1729DF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1729DF">
              <w:rPr>
                <w:rFonts w:ascii="ＭＳ 明朝" w:eastAsia="ＭＳ 明朝" w:hAnsi="ＭＳ 明朝" w:hint="eastAsia"/>
                <w:w w:val="90"/>
                <w:szCs w:val="21"/>
              </w:rPr>
              <w:t>(Ｃ)＝(Ａ)×(Ｂ)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(Ｄ)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:rsidR="001729DF" w:rsidRPr="001729DF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1729DF">
              <w:rPr>
                <w:rFonts w:ascii="ＭＳ 明朝" w:eastAsia="ＭＳ 明朝" w:hAnsi="ＭＳ 明朝" w:hint="eastAsia"/>
                <w:w w:val="90"/>
                <w:szCs w:val="21"/>
              </w:rPr>
              <w:t>(Ｅ)＝(Ｃ)－(Ｄ)</w:t>
            </w:r>
          </w:p>
        </w:tc>
      </w:tr>
      <w:tr w:rsidR="001729DF" w:rsidRPr="00F84D6D" w:rsidTr="001729DF">
        <w:trPr>
          <w:trHeight w:val="893"/>
          <w:jc w:val="right"/>
        </w:trPr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公立中学校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卒業予定者数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計画進学率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他府県等への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  <w:p w:rsidR="001729DF" w:rsidRDefault="001729DF" w:rsidP="007B0EF5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E5AFC" wp14:editId="4815461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67310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8AE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65pt;margin-top:5.3pt;width:6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84D6D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:rsidR="001729DF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府内</w:t>
            </w:r>
          </w:p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</w:tr>
      <w:tr w:rsidR="001729DF" w:rsidRPr="00F84D6D" w:rsidTr="001729DF">
        <w:trPr>
          <w:trHeight w:val="489"/>
          <w:jc w:val="right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/>
                <w:szCs w:val="21"/>
              </w:rPr>
              <w:t>6</w:t>
            </w:r>
            <w:r w:rsidR="003218D3"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,</w:t>
            </w:r>
            <w:r w:rsidR="00941FA4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941FA4">
              <w:rPr>
                <w:rFonts w:ascii="ＭＳ 明朝" w:eastAsia="ＭＳ 明朝" w:hAnsi="ＭＳ 明朝"/>
                <w:szCs w:val="21"/>
              </w:rPr>
              <w:t>1</w:t>
            </w:r>
            <w:r w:rsidRPr="00F84D6D">
              <w:rPr>
                <w:rFonts w:ascii="ＭＳ 明朝" w:eastAsia="ＭＳ 明朝" w:hAnsi="ＭＳ 明朝"/>
                <w:szCs w:val="21"/>
              </w:rPr>
              <w:t>0</w:t>
            </w:r>
            <w:r w:rsidRPr="00F84D6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84D6D">
              <w:rPr>
                <w:rFonts w:ascii="ＭＳ 明朝" w:eastAsia="ＭＳ 明朝" w:hAnsi="ＭＳ 明朝" w:cs="Segoe UI Symbol" w:hint="eastAsia"/>
                <w:szCs w:val="21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D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F84D6D">
              <w:rPr>
                <w:rFonts w:ascii="ＭＳ 明朝" w:eastAsia="ＭＳ 明朝" w:hAnsi="ＭＳ 明朝"/>
                <w:szCs w:val="21"/>
              </w:rPr>
              <w:t>3.9</w:t>
            </w:r>
            <w:r w:rsidRPr="00F84D6D">
              <w:rPr>
                <w:rFonts w:ascii="ＭＳ 明朝" w:eastAsia="ＭＳ 明朝" w:hAnsi="ＭＳ 明朝" w:hint="eastAsia"/>
                <w:szCs w:val="21"/>
              </w:rPr>
              <w:t xml:space="preserve"> ％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63,0</w:t>
            </w:r>
            <w:r w:rsidR="00941FA4">
              <w:rPr>
                <w:rFonts w:ascii="ＭＳ 明朝" w:eastAsia="ＭＳ 明朝" w:hAnsi="ＭＳ 明朝"/>
                <w:szCs w:val="21"/>
              </w:rPr>
              <w:t>2</w:t>
            </w:r>
            <w:r w:rsidRPr="004928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9DF" w:rsidRPr="00F84D6D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3,</w:t>
            </w:r>
            <w:r w:rsidR="00941FA4">
              <w:rPr>
                <w:rFonts w:ascii="ＭＳ 明朝" w:eastAsia="ＭＳ 明朝" w:hAnsi="ＭＳ 明朝"/>
                <w:szCs w:val="21"/>
              </w:rPr>
              <w:t>31</w:t>
            </w:r>
            <w:r w:rsidRPr="004928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729DF" w:rsidRPr="00F84D6D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28D8">
              <w:rPr>
                <w:rFonts w:ascii="ＭＳ 明朝" w:eastAsia="ＭＳ 明朝" w:hAnsi="ＭＳ 明朝" w:hint="eastAsia"/>
                <w:szCs w:val="21"/>
              </w:rPr>
              <w:t>59,7</w:t>
            </w:r>
            <w:r w:rsidR="00941FA4">
              <w:rPr>
                <w:rFonts w:ascii="ＭＳ 明朝" w:eastAsia="ＭＳ 明朝" w:hAnsi="ＭＳ 明朝"/>
                <w:szCs w:val="21"/>
              </w:rPr>
              <w:t>1</w:t>
            </w:r>
            <w:r w:rsidRPr="004928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F84D6D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</w:tr>
    </w:tbl>
    <w:p w:rsidR="001729DF" w:rsidRPr="00F84D6D" w:rsidRDefault="001729DF" w:rsidP="001729DF">
      <w:pPr>
        <w:rPr>
          <w:szCs w:val="21"/>
        </w:rPr>
      </w:pPr>
    </w:p>
    <w:p w:rsidR="001729DF" w:rsidRPr="004E1573" w:rsidRDefault="001729DF" w:rsidP="001729DF">
      <w:pPr>
        <w:ind w:leftChars="200" w:left="66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(3) 公立高等学校の募集人員については、他府県等からの進学者を含めて</w:t>
      </w:r>
      <w:r w:rsidR="003218D3" w:rsidRPr="004E157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37,</w:t>
      </w:r>
      <w:r w:rsidR="00046182">
        <w:rPr>
          <w:rFonts w:ascii="ＭＳ 明朝" w:eastAsia="ＭＳ 明朝" w:hAnsi="ＭＳ 明朝"/>
          <w:snapToGrid w:val="0"/>
          <w:kern w:val="0"/>
          <w:sz w:val="24"/>
          <w:szCs w:val="24"/>
        </w:rPr>
        <w:t>6</w:t>
      </w:r>
      <w:r w:rsidR="00046182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55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人～</w:t>
      </w:r>
      <w:r w:rsidRPr="004E157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941FA4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Pr="004E157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,</w:t>
      </w:r>
      <w:r w:rsidR="00046182">
        <w:rPr>
          <w:rFonts w:ascii="ＭＳ 明朝" w:eastAsia="ＭＳ 明朝" w:hAnsi="ＭＳ 明朝"/>
          <w:snapToGrid w:val="0"/>
          <w:kern w:val="0"/>
          <w:sz w:val="24"/>
          <w:szCs w:val="24"/>
        </w:rPr>
        <w:t>6</w:t>
      </w:r>
      <w:r w:rsidR="00046182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60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人とし、私立の</w:t>
      </w:r>
      <w:r w:rsidR="003218D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2</w:t>
      </w:r>
      <w:r w:rsidR="004E157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6,051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人と合わせて</w:t>
      </w:r>
      <w:r w:rsidR="003218D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63,</w:t>
      </w:r>
      <w:r w:rsidR="00046182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="00046182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06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人～</w:t>
      </w:r>
      <w:r w:rsidR="003218D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63,</w:t>
      </w:r>
      <w:r w:rsidR="00046182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="00046182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11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人となり、府内進学予定者数（</w:t>
      </w:r>
      <w:r w:rsidRPr="004E157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3218D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9,7</w:t>
      </w:r>
      <w:r w:rsidR="00941FA4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="003218D3"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0</w:t>
      </w:r>
      <w:r w:rsidRP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人）を上回ることを確認。</w:t>
      </w:r>
    </w:p>
    <w:p w:rsidR="001729DF" w:rsidRPr="00046182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0D3464">
      <w:pPr>
        <w:ind w:firstLineChars="100" w:firstLine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　定時制の課程の募集人員</w:t>
      </w:r>
    </w:p>
    <w:p w:rsid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1,03</w:t>
      </w:r>
      <w:r w:rsidR="00941FA4">
        <w:rPr>
          <w:rFonts w:ascii="ＭＳ 明朝" w:eastAsia="ＭＳ 明朝" w:hAnsi="ＭＳ 明朝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（昼夜間単位制の募集人員である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280人のうち、40人分を含む。）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４　通信制の課程の募集人員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941FA4">
        <w:rPr>
          <w:rFonts w:ascii="ＭＳ 明朝" w:eastAsia="ＭＳ 明朝" w:hAnsi="ＭＳ 明朝"/>
          <w:snapToGrid w:val="0"/>
          <w:kern w:val="0"/>
          <w:sz w:val="24"/>
          <w:szCs w:val="24"/>
        </w:rPr>
        <w:t>6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５　当議題が決議された場合の対前年度比較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(1) 昼間の高等学校</w:t>
      </w:r>
    </w:p>
    <w:p w:rsidR="00941FA4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88225C">
        <w:rPr>
          <w:rFonts w:ascii="ＭＳ 明朝" w:eastAsia="ＭＳ 明朝" w:hAnsi="ＭＳ 明朝"/>
          <w:snapToGrid w:val="0"/>
          <w:kern w:val="0"/>
          <w:sz w:val="24"/>
          <w:szCs w:val="24"/>
        </w:rPr>
        <w:t>40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CB6E5C" w:rsidP="00941FA4">
      <w:pPr>
        <w:ind w:firstLineChars="400" w:firstLine="9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府立水都国際高等学校及び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府立富田林高等学校において増員した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="00742F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bookmarkStart w:id="0" w:name="_GoBack"/>
      <w:bookmarkEnd w:id="0"/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を除く。）</w:t>
      </w:r>
    </w:p>
    <w:p w:rsidR="001729DF" w:rsidRDefault="001729D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普通科で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 w:rsidR="003218D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8861CF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イ　工業に関する学科で70人減。</w:t>
      </w:r>
    </w:p>
    <w:p w:rsidR="008861CF" w:rsidRPr="001729DF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ウ　多部制単位制Ⅰ部及びⅡ部（普通科）で</w:t>
      </w:r>
      <w:r w:rsidR="00046182">
        <w:rPr>
          <w:rFonts w:ascii="ＭＳ 明朝" w:eastAsia="ＭＳ 明朝" w:hAnsi="ＭＳ 明朝"/>
          <w:snapToGrid w:val="0"/>
          <w:kern w:val="0"/>
          <w:sz w:val="24"/>
          <w:szCs w:val="24"/>
        </w:rPr>
        <w:t>10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人増。</w:t>
      </w:r>
    </w:p>
    <w:p w:rsidR="001729DF" w:rsidRP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・知的障がい生徒自立支援コースの募集人員は前年度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と同じ</w:t>
      </w:r>
      <w:r w:rsidR="00B8503E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152D69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:rsidR="001729DF" w:rsidRPr="001729DF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(2)</w:t>
      </w:r>
      <w:r>
        <w:rPr>
          <w:rFonts w:ascii="ＭＳ 明朝" w:eastAsia="ＭＳ 明朝" w:hAnsi="ＭＳ 明朝"/>
          <w:snapToGrid w:val="0"/>
          <w:kern w:val="0"/>
          <w:sz w:val="24"/>
          <w:szCs w:val="24"/>
        </w:rPr>
        <w:t xml:space="preserve"> </w:t>
      </w: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定時制の課程</w:t>
      </w:r>
    </w:p>
    <w:p w:rsidR="001729DF" w:rsidRPr="001729DF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4E1573">
        <w:rPr>
          <w:rFonts w:ascii="ＭＳ 明朝" w:eastAsia="ＭＳ 明朝" w:hAnsi="ＭＳ 明朝"/>
          <w:snapToGrid w:val="0"/>
          <w:kern w:val="0"/>
          <w:sz w:val="24"/>
          <w:szCs w:val="24"/>
        </w:rPr>
        <w:t>80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:rsidR="001729DF" w:rsidRPr="001729DF" w:rsidRDefault="00B8503E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</w:t>
      </w:r>
      <w:r w:rsidR="00D20BC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普通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 w:rsidR="00941FA4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80</w:t>
      </w: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</w:t>
      </w:r>
      <w:r w:rsidR="001729DF"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1729DF" w:rsidRPr="0058223D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1729DF" w:rsidRPr="001729DF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/>
          <w:snapToGrid w:val="0"/>
          <w:kern w:val="0"/>
          <w:sz w:val="24"/>
          <w:szCs w:val="24"/>
        </w:rPr>
        <w:t>(3)　通信制の課程</w:t>
      </w:r>
    </w:p>
    <w:p w:rsidR="0058223D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</w:t>
      </w:r>
      <w:r w:rsidR="00166F8C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40人増</w:t>
      </w:r>
      <w:r w:rsidR="0058223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58223D" w:rsidRPr="001729DF" w:rsidRDefault="0058223D" w:rsidP="0058223D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科で</w:t>
      </w:r>
      <w:r w:rsidR="00166F8C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40人増</w:t>
      </w:r>
      <w:r w:rsidRPr="001729D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:rsidR="009B0740" w:rsidRPr="001729DF" w:rsidRDefault="009B0740" w:rsidP="0058223D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sectPr w:rsidR="009B0740" w:rsidRPr="001729DF" w:rsidSect="001729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5C" w:rsidRDefault="00CB6E5C" w:rsidP="00CB6E5C">
      <w:r>
        <w:separator/>
      </w:r>
    </w:p>
  </w:endnote>
  <w:endnote w:type="continuationSeparator" w:id="0">
    <w:p w:rsidR="00CB6E5C" w:rsidRDefault="00CB6E5C" w:rsidP="00C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5C" w:rsidRDefault="00CB6E5C" w:rsidP="00CB6E5C">
      <w:r>
        <w:separator/>
      </w:r>
    </w:p>
  </w:footnote>
  <w:footnote w:type="continuationSeparator" w:id="0">
    <w:p w:rsidR="00CB6E5C" w:rsidRDefault="00CB6E5C" w:rsidP="00CB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DF"/>
    <w:rsid w:val="00046182"/>
    <w:rsid w:val="000D3464"/>
    <w:rsid w:val="00152D69"/>
    <w:rsid w:val="00166F8C"/>
    <w:rsid w:val="001729DF"/>
    <w:rsid w:val="00213399"/>
    <w:rsid w:val="002A0E9B"/>
    <w:rsid w:val="003218D3"/>
    <w:rsid w:val="003A0B3F"/>
    <w:rsid w:val="004E1573"/>
    <w:rsid w:val="0058223D"/>
    <w:rsid w:val="00664A91"/>
    <w:rsid w:val="00742F3E"/>
    <w:rsid w:val="0080417D"/>
    <w:rsid w:val="0088225C"/>
    <w:rsid w:val="008861CF"/>
    <w:rsid w:val="00941FA4"/>
    <w:rsid w:val="00980929"/>
    <w:rsid w:val="009B0740"/>
    <w:rsid w:val="009B122C"/>
    <w:rsid w:val="00A70059"/>
    <w:rsid w:val="00B8503E"/>
    <w:rsid w:val="00BF421A"/>
    <w:rsid w:val="00CB6E5C"/>
    <w:rsid w:val="00D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280D7"/>
  <w15:chartTrackingRefBased/>
  <w15:docId w15:val="{ED749580-9F2B-4990-B548-2C54BAC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5C"/>
  </w:style>
  <w:style w:type="paragraph" w:styleId="a5">
    <w:name w:val="footer"/>
    <w:basedOn w:val="a"/>
    <w:link w:val="a6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5C"/>
  </w:style>
  <w:style w:type="paragraph" w:styleId="a7">
    <w:name w:val="Balloon Text"/>
    <w:basedOn w:val="a"/>
    <w:link w:val="a8"/>
    <w:uiPriority w:val="99"/>
    <w:semiHidden/>
    <w:unhideWhenUsed/>
    <w:rsid w:val="00CB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9467-7EE4-42FD-8213-7FA6D1F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雅也</dc:creator>
  <cp:keywords/>
  <dc:description/>
  <cp:lastModifiedBy>山下　尊也</cp:lastModifiedBy>
  <cp:revision>16</cp:revision>
  <cp:lastPrinted>2020-10-26T07:08:00Z</cp:lastPrinted>
  <dcterms:created xsi:type="dcterms:W3CDTF">2020-10-26T06:06:00Z</dcterms:created>
  <dcterms:modified xsi:type="dcterms:W3CDTF">2022-10-31T07:59:00Z</dcterms:modified>
</cp:coreProperties>
</file>