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704638"/>
    <w:p w14:paraId="462C4C66" w14:textId="3462AA3B" w:rsidR="005F5F68" w:rsidRDefault="001D2824" w:rsidP="001E706A">
      <w:pPr>
        <w:spacing w:line="200" w:lineRule="exact"/>
        <w:rPr>
          <w:rFonts w:asciiTheme="majorEastAsia" w:eastAsiaTheme="majorEastAsia" w:hAnsiTheme="majorEastAsia"/>
          <w:color w:val="FFFFFF" w:themeColor="background1"/>
          <w:sz w:val="24"/>
          <w:szCs w:val="28"/>
          <w14:textFill>
            <w14:noFill/>
          </w14:textFill>
        </w:rPr>
      </w:pPr>
      <w:r>
        <w:rPr>
          <w:noProof/>
        </w:rPr>
        <mc:AlternateContent>
          <mc:Choice Requires="wps">
            <w:drawing>
              <wp:anchor distT="0" distB="0" distL="114300" distR="114300" simplePos="0" relativeHeight="251659264" behindDoc="0" locked="0" layoutInCell="1" allowOverlap="1" wp14:anchorId="498D8DA5" wp14:editId="3F2DE3CD">
                <wp:simplePos x="0" y="0"/>
                <wp:positionH relativeFrom="column">
                  <wp:posOffset>5061585</wp:posOffset>
                </wp:positionH>
                <wp:positionV relativeFrom="paragraph">
                  <wp:posOffset>-350520</wp:posOffset>
                </wp:positionV>
                <wp:extent cx="1120140" cy="434340"/>
                <wp:effectExtent l="0" t="0" r="22860" b="22860"/>
                <wp:wrapNone/>
                <wp:docPr id="7" name="テキスト ボックス 1">
                  <a:extLst xmlns:a="http://schemas.openxmlformats.org/drawingml/2006/main">
                    <a:ext uri="{FF2B5EF4-FFF2-40B4-BE49-F238E27FC236}">
                      <a16:creationId xmlns:a16="http://schemas.microsoft.com/office/drawing/2014/main" id="{3C99026D-8103-47C5-8BAF-0970F1E0E5C4}"/>
                    </a:ext>
                  </a:extLst>
                </wp:docPr>
                <wp:cNvGraphicFramePr/>
                <a:graphic xmlns:a="http://schemas.openxmlformats.org/drawingml/2006/main">
                  <a:graphicData uri="http://schemas.microsoft.com/office/word/2010/wordprocessingShape">
                    <wps:wsp>
                      <wps:cNvSpPr txBox="1"/>
                      <wps:spPr>
                        <a:xfrm>
                          <a:off x="0" y="0"/>
                          <a:ext cx="1120140" cy="434340"/>
                        </a:xfrm>
                        <a:prstGeom prst="rect">
                          <a:avLst/>
                        </a:prstGeom>
                        <a:noFill/>
                        <a:ln w="22225">
                          <a:solidFill>
                            <a:schemeClr val="tx1"/>
                          </a:solidFill>
                        </a:ln>
                      </wps:spPr>
                      <wps:txbx>
                        <w:txbxContent>
                          <w:p w14:paraId="2B931A3A" w14:textId="58BEBB52" w:rsidR="001D2824" w:rsidRDefault="001D2824" w:rsidP="001D2824">
                            <w:pPr>
                              <w:spacing w:line="540" w:lineRule="exact"/>
                              <w:jc w:val="center"/>
                              <w:rPr>
                                <w:rFonts w:ascii="ＭＳ ゴシック" w:eastAsia="ＭＳ ゴシック" w:hAnsi="ＭＳ ゴシック" w:cs="Times New Roman"/>
                                <w:color w:val="000000" w:themeColor="text1"/>
                                <w:sz w:val="48"/>
                                <w:szCs w:val="48"/>
                              </w:rPr>
                            </w:pPr>
                            <w:r>
                              <w:rPr>
                                <w:rFonts w:ascii="ＭＳ ゴシック" w:eastAsia="ＭＳ ゴシック" w:hAnsi="ＭＳ ゴシック" w:cs="Times New Roman" w:hint="eastAsia"/>
                                <w:color w:val="000000" w:themeColor="text1"/>
                                <w:sz w:val="48"/>
                                <w:szCs w:val="48"/>
                              </w:rPr>
                              <w:t>資料５</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D8DA5" id="_x0000_t202" coordsize="21600,21600" o:spt="202" path="m,l,21600r21600,l21600,xe">
                <v:stroke joinstyle="miter"/>
                <v:path gradientshapeok="t" o:connecttype="rect"/>
              </v:shapetype>
              <v:shape id="テキスト ボックス 1" o:spid="_x0000_s1026" type="#_x0000_t202" style="position:absolute;left:0;text-align:left;margin-left:398.55pt;margin-top:-27.6pt;width:88.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" filled="f" strokecolor="black [3213]" strokeweight="1.75pt">
                <v:textbox>
                  <w:txbxContent>
                    <w:p w14:paraId="2B931A3A" w14:textId="58BEBB52" w:rsidR="001D2824" w:rsidRDefault="001D2824" w:rsidP="001D2824">
                      <w:pPr>
                        <w:spacing w:line="540" w:lineRule="exact"/>
                        <w:jc w:val="center"/>
                        <w:rPr>
                          <w:rFonts w:ascii="ＭＳ ゴシック" w:eastAsia="ＭＳ ゴシック" w:hAnsi="ＭＳ ゴシック" w:cs="Times New Roman"/>
                          <w:color w:val="000000" w:themeColor="text1"/>
                          <w:sz w:val="48"/>
                          <w:szCs w:val="48"/>
                        </w:rPr>
                      </w:pPr>
                      <w:r>
                        <w:rPr>
                          <w:rFonts w:ascii="ＭＳ ゴシック" w:eastAsia="ＭＳ ゴシック" w:hAnsi="ＭＳ ゴシック" w:cs="Times New Roman" w:hint="eastAsia"/>
                          <w:color w:val="000000" w:themeColor="text1"/>
                          <w:sz w:val="48"/>
                          <w:szCs w:val="48"/>
                        </w:rPr>
                        <w:t>資料</w:t>
                      </w:r>
                      <w:r>
                        <w:rPr>
                          <w:rFonts w:ascii="ＭＳ ゴシック" w:eastAsia="ＭＳ ゴシック" w:hAnsi="ＭＳ ゴシック" w:cs="Times New Roman" w:hint="eastAsia"/>
                          <w:color w:val="000000" w:themeColor="text1"/>
                          <w:sz w:val="48"/>
                          <w:szCs w:val="48"/>
                        </w:rPr>
                        <w:t>５</w:t>
                      </w:r>
                    </w:p>
                  </w:txbxContent>
                </v:textbox>
              </v:shape>
            </w:pict>
          </mc:Fallback>
        </mc:AlternateContent>
      </w:r>
    </w:p>
    <w:p w14:paraId="25E9F9F0" w14:textId="4365D329" w:rsidR="003F3977" w:rsidRDefault="008D3334" w:rsidP="00A22A62">
      <w:pPr>
        <w:spacing w:line="200" w:lineRule="exact"/>
        <w:rPr>
          <w:rFonts w:asciiTheme="majorEastAsia" w:eastAsiaTheme="majorEastAsia" w:hAnsiTheme="majorEastAsia"/>
          <w:color w:val="FFFFFF" w:themeColor="background1"/>
          <w:sz w:val="24"/>
          <w:szCs w:val="28"/>
          <w14:textFill>
            <w14:noFill/>
          </w14:textFill>
        </w:rPr>
      </w:pPr>
      <w:r>
        <w:rPr>
          <w:rFonts w:asciiTheme="majorEastAsia" w:eastAsiaTheme="majorEastAsia" w:hAnsiTheme="majorEastAsia" w:hint="eastAsia"/>
          <w:color w:val="FFFFFF" w:themeColor="background1"/>
          <w:sz w:val="24"/>
          <w:szCs w:val="28"/>
          <w14:textFill>
            <w14:noFill/>
          </w14:textFill>
        </w:rPr>
        <w:t>令和</w:t>
      </w:r>
    </w:p>
    <w:p w14:paraId="21047ADA" w14:textId="44F4DFD0" w:rsidR="00C72EA5" w:rsidRPr="00490BB7" w:rsidRDefault="00C4702F" w:rsidP="00C72EA5">
      <w:pPr>
        <w:pStyle w:val="a3"/>
        <w:jc w:val="center"/>
        <w:rPr>
          <w:rFonts w:ascii="ＭＳ ゴシック" w:eastAsia="ＭＳ ゴシック" w:hAnsi="ＭＳ ゴシック" w:hint="eastAsia"/>
          <w:b/>
          <w:bCs/>
          <w:sz w:val="32"/>
          <w:szCs w:val="32"/>
        </w:rPr>
      </w:pPr>
      <w:r w:rsidRPr="00C4702F">
        <w:rPr>
          <w:rFonts w:ascii="ＭＳ ゴシック" w:eastAsia="ＭＳ ゴシック" w:hAnsi="ＭＳ ゴシック" w:hint="eastAsia"/>
          <w:b/>
          <w:bCs/>
          <w:sz w:val="32"/>
          <w:szCs w:val="32"/>
        </w:rPr>
        <w:t>情報通信技術を活用した大阪府議会の</w:t>
      </w:r>
      <w:r w:rsidRPr="00C4702F">
        <w:rPr>
          <w:rFonts w:ascii="ＭＳ ゴシック" w:eastAsia="ＭＳ ゴシック" w:hAnsi="ＭＳ ゴシック"/>
          <w:b/>
          <w:bCs/>
          <w:sz w:val="32"/>
          <w:szCs w:val="32"/>
        </w:rPr>
        <w:t>活動の推進に関する</w:t>
      </w:r>
      <w:r>
        <w:rPr>
          <w:rFonts w:ascii="ＭＳ ゴシック" w:eastAsia="ＭＳ ゴシック" w:hAnsi="ＭＳ ゴシック"/>
          <w:b/>
          <w:bCs/>
          <w:sz w:val="32"/>
          <w:szCs w:val="32"/>
        </w:rPr>
        <w:br/>
      </w:r>
      <w:r w:rsidRPr="00C4702F">
        <w:rPr>
          <w:rFonts w:ascii="ＭＳ ゴシック" w:eastAsia="ＭＳ ゴシック" w:hAnsi="ＭＳ ゴシック"/>
          <w:b/>
          <w:bCs/>
          <w:sz w:val="32"/>
          <w:szCs w:val="32"/>
        </w:rPr>
        <w:t>条例</w:t>
      </w:r>
      <w:r w:rsidR="00CA164F">
        <w:rPr>
          <w:rFonts w:ascii="ＭＳ ゴシック" w:eastAsia="ＭＳ ゴシック" w:hAnsi="ＭＳ ゴシック" w:hint="eastAsia"/>
          <w:b/>
          <w:bCs/>
          <w:sz w:val="32"/>
          <w:szCs w:val="32"/>
        </w:rPr>
        <w:t>概要</w:t>
      </w:r>
      <w:r w:rsidR="00747AED">
        <w:rPr>
          <w:rFonts w:ascii="ＭＳ ゴシック" w:eastAsia="ＭＳ ゴシック" w:hAnsi="ＭＳ ゴシック" w:hint="eastAsia"/>
          <w:b/>
          <w:bCs/>
          <w:sz w:val="32"/>
          <w:szCs w:val="32"/>
        </w:rPr>
        <w:t>（案）</w:t>
      </w:r>
    </w:p>
    <w:p w14:paraId="79C94A05" w14:textId="567500F1" w:rsidR="00C72EA5" w:rsidRDefault="00C72EA5" w:rsidP="00C72EA5">
      <w:pPr>
        <w:pStyle w:val="a3"/>
        <w:jc w:val="center"/>
        <w:rPr>
          <w:rFonts w:asciiTheme="majorEastAsia" w:eastAsiaTheme="majorEastAsia" w:hAnsiTheme="majorEastAsia"/>
          <w:b/>
          <w:bCs/>
          <w:sz w:val="32"/>
          <w:szCs w:val="32"/>
        </w:rPr>
      </w:pPr>
    </w:p>
    <w:p w14:paraId="61B211D6" w14:textId="77777777" w:rsidR="003746AD" w:rsidRPr="00F217B2" w:rsidRDefault="003746AD" w:rsidP="00C72EA5">
      <w:pPr>
        <w:pStyle w:val="a3"/>
        <w:jc w:val="center"/>
        <w:rPr>
          <w:rFonts w:asciiTheme="majorEastAsia" w:eastAsiaTheme="majorEastAsia" w:hAnsiTheme="majorEastAsia"/>
          <w:b/>
          <w:bCs/>
          <w:sz w:val="32"/>
          <w:szCs w:val="32"/>
        </w:rPr>
      </w:pPr>
    </w:p>
    <w:p w14:paraId="23ACA908" w14:textId="20EADC9F" w:rsidR="00CA164F" w:rsidRDefault="00CA164F" w:rsidP="00CA164F">
      <w:pPr>
        <w:spacing w:line="320" w:lineRule="exact"/>
        <w:rPr>
          <w:rFonts w:ascii="BIZ UDゴシック" w:eastAsia="BIZ UDゴシック" w:hAnsi="BIZ UDゴシック"/>
          <w:sz w:val="24"/>
          <w:szCs w:val="24"/>
        </w:rPr>
      </w:pPr>
      <w:r w:rsidRPr="00490BB7">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制定する目的</w:t>
      </w:r>
    </w:p>
    <w:p w14:paraId="2A5A5887" w14:textId="69635B26" w:rsidR="008D3334" w:rsidRDefault="00F144B0" w:rsidP="00091E94">
      <w:pPr>
        <w:spacing w:line="320" w:lineRule="exact"/>
        <w:ind w:firstLineChars="100" w:firstLine="240"/>
        <w:rPr>
          <w:rFonts w:ascii="BIZ UDゴシック" w:eastAsia="BIZ UDゴシック" w:hAnsi="BIZ UDゴシック"/>
          <w:sz w:val="24"/>
          <w:szCs w:val="24"/>
        </w:rPr>
      </w:pPr>
      <w:r w:rsidRPr="00C70527">
        <w:rPr>
          <w:rFonts w:ascii="BIZ UDゴシック" w:eastAsia="BIZ UDゴシック" w:hAnsi="BIZ UDゴシック" w:hint="eastAsia"/>
          <w:sz w:val="24"/>
          <w:szCs w:val="24"/>
        </w:rPr>
        <w:t>議会に係る手続のオンライン化</w:t>
      </w:r>
      <w:r w:rsidR="00C4702F">
        <w:rPr>
          <w:rFonts w:ascii="BIZ UDゴシック" w:eastAsia="BIZ UDゴシック" w:hAnsi="BIZ UDゴシック" w:hint="eastAsia"/>
          <w:sz w:val="24"/>
          <w:szCs w:val="24"/>
        </w:rPr>
        <w:t>等に向け、委員会条例等で規定する手続以外の手続について対応できるよう、書面等で行うと規定する</w:t>
      </w:r>
      <w:r w:rsidR="00EB5509">
        <w:rPr>
          <w:rFonts w:ascii="BIZ UDゴシック" w:eastAsia="BIZ UDゴシック" w:hAnsi="BIZ UDゴシック" w:hint="eastAsia"/>
          <w:sz w:val="24"/>
          <w:szCs w:val="24"/>
        </w:rPr>
        <w:t>手続</w:t>
      </w:r>
      <w:r w:rsidR="00C4702F">
        <w:rPr>
          <w:rFonts w:ascii="BIZ UDゴシック" w:eastAsia="BIZ UDゴシック" w:hAnsi="BIZ UDゴシック" w:hint="eastAsia"/>
          <w:sz w:val="24"/>
          <w:szCs w:val="24"/>
        </w:rPr>
        <w:t>を読み替える新たな条例を制定する</w:t>
      </w:r>
      <w:r w:rsidRPr="00C70527">
        <w:rPr>
          <w:rFonts w:ascii="BIZ UDゴシック" w:eastAsia="BIZ UDゴシック" w:hAnsi="BIZ UDゴシック" w:hint="eastAsia"/>
          <w:sz w:val="24"/>
          <w:szCs w:val="24"/>
        </w:rPr>
        <w:t>。</w:t>
      </w:r>
    </w:p>
    <w:p w14:paraId="1C1153D4" w14:textId="07633B5A" w:rsidR="00C4702F" w:rsidRDefault="00C4702F" w:rsidP="00C4702F">
      <w:pPr>
        <w:spacing w:line="320" w:lineRule="exact"/>
        <w:rPr>
          <w:rFonts w:ascii="BIZ UDゴシック" w:eastAsia="BIZ UDゴシック" w:hAnsi="BIZ UDゴシック"/>
          <w:sz w:val="24"/>
          <w:szCs w:val="24"/>
        </w:rPr>
      </w:pPr>
    </w:p>
    <w:p w14:paraId="04E8A1CC" w14:textId="77777777" w:rsidR="003746AD" w:rsidRDefault="003746AD" w:rsidP="00C4702F">
      <w:pPr>
        <w:spacing w:line="320" w:lineRule="exact"/>
        <w:rPr>
          <w:rFonts w:ascii="BIZ UDゴシック" w:eastAsia="BIZ UDゴシック" w:hAnsi="BIZ UDゴシック"/>
          <w:sz w:val="24"/>
          <w:szCs w:val="24"/>
        </w:rPr>
      </w:pPr>
    </w:p>
    <w:p w14:paraId="1878D193" w14:textId="43B3FBBA" w:rsidR="003746AD" w:rsidRPr="00490BB7" w:rsidRDefault="003746AD" w:rsidP="003746AD">
      <w:pPr>
        <w:spacing w:line="380" w:lineRule="exact"/>
        <w:rPr>
          <w:rFonts w:ascii="ＭＳ ゴシック" w:eastAsia="ＭＳ ゴシック" w:hAnsi="ＭＳ ゴシック"/>
          <w:b/>
          <w:bCs/>
          <w:sz w:val="28"/>
          <w:szCs w:val="28"/>
        </w:rPr>
      </w:pPr>
      <w:r w:rsidRPr="00490BB7">
        <w:rPr>
          <w:rFonts w:ascii="ＭＳ ゴシック" w:eastAsia="ＭＳ ゴシック" w:hAnsi="ＭＳ ゴシック" w:hint="eastAsia"/>
          <w:b/>
          <w:bCs/>
          <w:sz w:val="28"/>
          <w:szCs w:val="28"/>
        </w:rPr>
        <w:t>◆</w:t>
      </w:r>
      <w:r w:rsidRPr="003746AD">
        <w:rPr>
          <w:rFonts w:ascii="ＭＳ ゴシック" w:eastAsia="ＭＳ ゴシック" w:hAnsi="ＭＳ ゴシック" w:hint="eastAsia"/>
          <w:b/>
          <w:bCs/>
          <w:sz w:val="28"/>
          <w:szCs w:val="28"/>
        </w:rPr>
        <w:t>情報通信技術を活用した大阪府議会の活動の推進に関する条例</w:t>
      </w:r>
      <w:r w:rsidR="00784F91">
        <w:rPr>
          <w:rFonts w:ascii="ＭＳ ゴシック" w:eastAsia="ＭＳ ゴシック" w:hAnsi="ＭＳ ゴシック" w:hint="eastAsia"/>
          <w:b/>
          <w:bCs/>
          <w:sz w:val="28"/>
          <w:szCs w:val="28"/>
        </w:rPr>
        <w:t>（仮称）</w:t>
      </w:r>
    </w:p>
    <w:tbl>
      <w:tblPr>
        <w:tblStyle w:val="a7"/>
        <w:tblW w:w="0" w:type="auto"/>
        <w:tblLook w:val="04A0" w:firstRow="1" w:lastRow="0" w:firstColumn="1" w:lastColumn="0" w:noHBand="0" w:noVBand="1"/>
      </w:tblPr>
      <w:tblGrid>
        <w:gridCol w:w="9722"/>
      </w:tblGrid>
      <w:tr w:rsidR="003746AD" w14:paraId="47D4851B" w14:textId="77777777" w:rsidTr="003746AD">
        <w:trPr>
          <w:trHeight w:val="1111"/>
        </w:trPr>
        <w:tc>
          <w:tcPr>
            <w:tcW w:w="9722" w:type="dxa"/>
            <w:tcBorders>
              <w:top w:val="single" w:sz="12" w:space="0" w:color="auto"/>
              <w:left w:val="single" w:sz="12" w:space="0" w:color="auto"/>
              <w:bottom w:val="single" w:sz="12" w:space="0" w:color="auto"/>
              <w:right w:val="single" w:sz="12" w:space="0" w:color="auto"/>
            </w:tcBorders>
          </w:tcPr>
          <w:p w14:paraId="1768FD82" w14:textId="4800145E" w:rsidR="003746AD" w:rsidRPr="00490BB7" w:rsidRDefault="003746AD" w:rsidP="00A30D06">
            <w:pPr>
              <w:spacing w:line="300" w:lineRule="exact"/>
              <w:rPr>
                <w:rFonts w:ascii="ＭＳ ゴシック" w:eastAsia="ＭＳ ゴシック" w:hAnsi="ＭＳ ゴシック"/>
                <w:b/>
                <w:bCs/>
                <w:sz w:val="26"/>
                <w:szCs w:val="26"/>
                <w:shd w:val="pct15" w:color="auto" w:fill="FFFFFF"/>
              </w:rPr>
            </w:pPr>
            <w:r w:rsidRPr="00490BB7">
              <w:rPr>
                <w:rFonts w:ascii="ＭＳ ゴシック" w:eastAsia="ＭＳ ゴシック" w:hAnsi="ＭＳ ゴシック" w:hint="eastAsia"/>
                <w:b/>
                <w:bCs/>
                <w:sz w:val="26"/>
                <w:szCs w:val="26"/>
                <w:shd w:val="pct15" w:color="auto" w:fill="FFFFFF"/>
              </w:rPr>
              <w:t>１．</w:t>
            </w:r>
            <w:r w:rsidRPr="003746AD">
              <w:rPr>
                <w:rFonts w:ascii="ＭＳ ゴシック" w:eastAsia="ＭＳ ゴシック" w:hAnsi="ＭＳ ゴシック" w:hint="eastAsia"/>
                <w:b/>
                <w:bCs/>
                <w:sz w:val="26"/>
                <w:szCs w:val="26"/>
                <w:shd w:val="pct15" w:color="auto" w:fill="FFFFFF"/>
              </w:rPr>
              <w:t>対象となる条例</w:t>
            </w:r>
          </w:p>
          <w:p w14:paraId="31D2166E" w14:textId="77777777" w:rsidR="003746AD" w:rsidRPr="00F144B0" w:rsidRDefault="003746AD" w:rsidP="00A30D06">
            <w:pPr>
              <w:spacing w:line="60" w:lineRule="exact"/>
              <w:ind w:firstLineChars="100" w:firstLine="240"/>
              <w:rPr>
                <w:rFonts w:asciiTheme="majorEastAsia" w:eastAsiaTheme="majorEastAsia" w:hAnsiTheme="majorEastAsia"/>
                <w:b/>
                <w:bCs/>
                <w:sz w:val="24"/>
                <w:szCs w:val="24"/>
              </w:rPr>
            </w:pPr>
          </w:p>
          <w:p w14:paraId="63B34842" w14:textId="64EA5E64" w:rsidR="003746AD" w:rsidRDefault="003746AD" w:rsidP="00A30D06">
            <w:pPr>
              <w:spacing w:line="300" w:lineRule="exact"/>
              <w:ind w:leftChars="100" w:left="430"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Pr="00490BB7">
              <w:rPr>
                <w:rFonts w:ascii="BIZ UDゴシック" w:eastAsia="BIZ UDゴシック" w:hAnsi="BIZ UDゴシック" w:hint="eastAsia"/>
                <w:sz w:val="22"/>
              </w:rPr>
              <w:t xml:space="preserve">　</w:t>
            </w:r>
            <w:r w:rsidRPr="003746AD">
              <w:rPr>
                <w:rFonts w:ascii="BIZ UDゴシック" w:eastAsia="BIZ UDゴシック" w:hAnsi="BIZ UDゴシック" w:hint="eastAsia"/>
                <w:sz w:val="22"/>
              </w:rPr>
              <w:t>議会に係る手続を規定する条例、規則、規程、要綱及び要領を対象とする。</w:t>
            </w:r>
          </w:p>
          <w:p w14:paraId="1434C775" w14:textId="2E384974" w:rsidR="003746AD" w:rsidRPr="003746AD" w:rsidRDefault="003746AD" w:rsidP="003746AD">
            <w:pPr>
              <w:spacing w:line="300" w:lineRule="exact"/>
              <w:ind w:leftChars="100" w:left="43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ただし、</w:t>
            </w:r>
            <w:r w:rsidRPr="003746AD">
              <w:rPr>
                <w:rFonts w:ascii="BIZ UDゴシック" w:eastAsia="BIZ UDゴシック" w:hAnsi="BIZ UDゴシック" w:hint="eastAsia"/>
                <w:sz w:val="22"/>
              </w:rPr>
              <w:t>個別にオンライン化等</w:t>
            </w:r>
            <w:r w:rsidR="00F217B2">
              <w:rPr>
                <w:rFonts w:ascii="BIZ UDゴシック" w:eastAsia="BIZ UDゴシック" w:hAnsi="BIZ UDゴシック" w:hint="eastAsia"/>
                <w:sz w:val="22"/>
              </w:rPr>
              <w:t>を</w:t>
            </w:r>
            <w:r w:rsidRPr="003746AD">
              <w:rPr>
                <w:rFonts w:ascii="BIZ UDゴシック" w:eastAsia="BIZ UDゴシック" w:hAnsi="BIZ UDゴシック" w:hint="eastAsia"/>
                <w:sz w:val="22"/>
              </w:rPr>
              <w:t>規定</w:t>
            </w:r>
            <w:r w:rsidR="00F217B2">
              <w:rPr>
                <w:rFonts w:ascii="BIZ UDゴシック" w:eastAsia="BIZ UDゴシック" w:hAnsi="BIZ UDゴシック" w:hint="eastAsia"/>
                <w:sz w:val="22"/>
              </w:rPr>
              <w:t>する</w:t>
            </w:r>
            <w:r w:rsidRPr="003746AD">
              <w:rPr>
                <w:rFonts w:ascii="BIZ UDゴシック" w:eastAsia="BIZ UDゴシック" w:hAnsi="BIZ UDゴシック" w:hint="eastAsia"/>
                <w:sz w:val="22"/>
              </w:rPr>
              <w:t>委員会条例等を除く。</w:t>
            </w:r>
          </w:p>
        </w:tc>
      </w:tr>
      <w:tr w:rsidR="003746AD" w14:paraId="2BA5477F" w14:textId="77777777" w:rsidTr="003746AD">
        <w:trPr>
          <w:trHeight w:val="1111"/>
        </w:trPr>
        <w:tc>
          <w:tcPr>
            <w:tcW w:w="9722" w:type="dxa"/>
            <w:tcBorders>
              <w:top w:val="single" w:sz="12" w:space="0" w:color="auto"/>
              <w:left w:val="single" w:sz="12" w:space="0" w:color="auto"/>
              <w:bottom w:val="single" w:sz="12" w:space="0" w:color="auto"/>
              <w:right w:val="single" w:sz="12" w:space="0" w:color="auto"/>
            </w:tcBorders>
          </w:tcPr>
          <w:p w14:paraId="3689F855" w14:textId="0FAF68CE" w:rsidR="003746AD" w:rsidRPr="00490BB7" w:rsidRDefault="003746AD" w:rsidP="003746AD">
            <w:pPr>
              <w:spacing w:line="300" w:lineRule="exact"/>
              <w:rPr>
                <w:rFonts w:ascii="ＭＳ ゴシック" w:eastAsia="ＭＳ ゴシック" w:hAnsi="ＭＳ ゴシック"/>
                <w:b/>
                <w:bCs/>
                <w:sz w:val="26"/>
                <w:szCs w:val="26"/>
                <w:shd w:val="pct15" w:color="auto" w:fill="FFFFFF"/>
              </w:rPr>
            </w:pPr>
            <w:r>
              <w:rPr>
                <w:rFonts w:ascii="ＭＳ ゴシック" w:eastAsia="ＭＳ ゴシック" w:hAnsi="ＭＳ ゴシック" w:hint="eastAsia"/>
                <w:b/>
                <w:bCs/>
                <w:sz w:val="26"/>
                <w:szCs w:val="26"/>
                <w:shd w:val="pct15" w:color="auto" w:fill="FFFFFF"/>
              </w:rPr>
              <w:t>２</w:t>
            </w:r>
            <w:r w:rsidRPr="00490BB7">
              <w:rPr>
                <w:rFonts w:ascii="ＭＳ ゴシック" w:eastAsia="ＭＳ ゴシック" w:hAnsi="ＭＳ ゴシック" w:hint="eastAsia"/>
                <w:b/>
                <w:bCs/>
                <w:sz w:val="26"/>
                <w:szCs w:val="26"/>
                <w:shd w:val="pct15" w:color="auto" w:fill="FFFFFF"/>
              </w:rPr>
              <w:t>．</w:t>
            </w:r>
            <w:r w:rsidRPr="003746AD">
              <w:rPr>
                <w:rFonts w:ascii="ＭＳ ゴシック" w:eastAsia="ＭＳ ゴシック" w:hAnsi="ＭＳ ゴシック" w:hint="eastAsia"/>
                <w:b/>
                <w:bCs/>
                <w:sz w:val="26"/>
                <w:szCs w:val="26"/>
                <w:shd w:val="pct15" w:color="auto" w:fill="FFFFFF"/>
              </w:rPr>
              <w:t>各手続の読み替え</w:t>
            </w:r>
          </w:p>
          <w:p w14:paraId="6608AEDE" w14:textId="77777777" w:rsidR="003746AD" w:rsidRPr="00F144B0" w:rsidRDefault="003746AD" w:rsidP="003746AD">
            <w:pPr>
              <w:spacing w:line="60" w:lineRule="exact"/>
              <w:ind w:firstLineChars="100" w:firstLine="240"/>
              <w:rPr>
                <w:rFonts w:asciiTheme="majorEastAsia" w:eastAsiaTheme="majorEastAsia" w:hAnsiTheme="majorEastAsia"/>
                <w:b/>
                <w:bCs/>
                <w:sz w:val="24"/>
                <w:szCs w:val="24"/>
              </w:rPr>
            </w:pPr>
          </w:p>
          <w:p w14:paraId="67B526FB" w14:textId="4066A2A2" w:rsidR="003746AD" w:rsidRPr="00A905A9" w:rsidRDefault="003746AD" w:rsidP="003746AD">
            <w:pPr>
              <w:spacing w:line="300" w:lineRule="exact"/>
              <w:ind w:leftChars="100" w:left="430"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Pr="00490BB7">
              <w:rPr>
                <w:rFonts w:ascii="BIZ UDゴシック" w:eastAsia="BIZ UDゴシック" w:hAnsi="BIZ UDゴシック" w:hint="eastAsia"/>
                <w:sz w:val="22"/>
              </w:rPr>
              <w:t xml:space="preserve">　</w:t>
            </w:r>
            <w:r w:rsidRPr="003746AD">
              <w:rPr>
                <w:rFonts w:ascii="BIZ UDゴシック" w:eastAsia="BIZ UDゴシック" w:hAnsi="BIZ UDゴシック" w:hint="eastAsia"/>
                <w:sz w:val="22"/>
              </w:rPr>
              <w:t>条文において「書面」「○○書」等の紙媒体や対面で行うこととなっている手続について、オンライン化できるよう読み替える。</w:t>
            </w:r>
          </w:p>
        </w:tc>
      </w:tr>
      <w:tr w:rsidR="003746AD" w14:paraId="14B21336" w14:textId="77777777" w:rsidTr="003746AD">
        <w:trPr>
          <w:trHeight w:val="1100"/>
        </w:trPr>
        <w:tc>
          <w:tcPr>
            <w:tcW w:w="9722" w:type="dxa"/>
            <w:tcBorders>
              <w:top w:val="single" w:sz="12" w:space="0" w:color="auto"/>
              <w:left w:val="single" w:sz="12" w:space="0" w:color="auto"/>
              <w:bottom w:val="single" w:sz="12" w:space="0" w:color="auto"/>
              <w:right w:val="single" w:sz="12" w:space="0" w:color="auto"/>
            </w:tcBorders>
          </w:tcPr>
          <w:p w14:paraId="731AD2F9" w14:textId="3FA4367C" w:rsidR="003746AD" w:rsidRPr="00490BB7" w:rsidRDefault="003746AD" w:rsidP="00A30D06">
            <w:pPr>
              <w:spacing w:line="300" w:lineRule="exact"/>
              <w:rPr>
                <w:rFonts w:ascii="ＭＳ ゴシック" w:eastAsia="ＭＳ ゴシック" w:hAnsi="ＭＳ ゴシック"/>
                <w:b/>
                <w:bCs/>
                <w:sz w:val="26"/>
                <w:szCs w:val="26"/>
                <w:shd w:val="pct15" w:color="auto" w:fill="FFFFFF"/>
              </w:rPr>
            </w:pPr>
            <w:r w:rsidRPr="00490BB7">
              <w:rPr>
                <w:rFonts w:ascii="ＭＳ ゴシック" w:eastAsia="ＭＳ ゴシック" w:hAnsi="ＭＳ ゴシック" w:hint="eastAsia"/>
                <w:b/>
                <w:bCs/>
                <w:sz w:val="26"/>
                <w:szCs w:val="26"/>
                <w:shd w:val="pct15" w:color="auto" w:fill="FFFFFF"/>
              </w:rPr>
              <w:t>３．</w:t>
            </w:r>
            <w:r w:rsidRPr="003746AD">
              <w:rPr>
                <w:rFonts w:ascii="ＭＳ ゴシック" w:eastAsia="ＭＳ ゴシック" w:hAnsi="ＭＳ ゴシック" w:hint="eastAsia"/>
                <w:b/>
                <w:bCs/>
                <w:sz w:val="26"/>
                <w:szCs w:val="26"/>
                <w:shd w:val="pct15" w:color="auto" w:fill="FFFFFF"/>
              </w:rPr>
              <w:t>署名、押印等の電子化</w:t>
            </w:r>
          </w:p>
          <w:p w14:paraId="671C9B8E" w14:textId="77777777" w:rsidR="003746AD" w:rsidRPr="003746AD" w:rsidRDefault="003746AD" w:rsidP="00A30D06">
            <w:pPr>
              <w:spacing w:line="60" w:lineRule="exact"/>
              <w:ind w:firstLineChars="100" w:firstLine="240"/>
              <w:rPr>
                <w:rFonts w:asciiTheme="majorEastAsia" w:eastAsiaTheme="majorEastAsia" w:hAnsiTheme="majorEastAsia"/>
                <w:b/>
                <w:bCs/>
                <w:sz w:val="24"/>
                <w:szCs w:val="24"/>
              </w:rPr>
            </w:pPr>
          </w:p>
          <w:p w14:paraId="0853DF81" w14:textId="2656784F" w:rsidR="003746AD" w:rsidRPr="003746AD" w:rsidRDefault="003746AD" w:rsidP="003746AD">
            <w:pPr>
              <w:spacing w:line="300" w:lineRule="exact"/>
              <w:ind w:leftChars="100" w:left="450" w:hangingChars="100" w:hanging="240"/>
              <w:rPr>
                <w:rFonts w:asciiTheme="majorEastAsia" w:eastAsiaTheme="majorEastAsia" w:hAnsiTheme="majorEastAsia"/>
                <w:b/>
                <w:bCs/>
                <w:sz w:val="24"/>
                <w:szCs w:val="24"/>
                <w:shd w:val="pct15" w:color="auto" w:fill="FFFFFF"/>
              </w:rPr>
            </w:pPr>
            <w:r w:rsidRPr="003746AD">
              <w:rPr>
                <w:rFonts w:asciiTheme="majorEastAsia" w:eastAsiaTheme="majorEastAsia" w:hAnsiTheme="majorEastAsia" w:hint="eastAsia"/>
                <w:b/>
                <w:bCs/>
                <w:sz w:val="24"/>
                <w:szCs w:val="24"/>
              </w:rPr>
              <w:t>○　手続において署名や押印が必要と規定している手続について、電子署名やその　他の氏名等を明らかにする措置により代えることを可能とする。</w:t>
            </w:r>
          </w:p>
        </w:tc>
      </w:tr>
      <w:tr w:rsidR="003746AD" w14:paraId="32190D21" w14:textId="77777777" w:rsidTr="003746AD">
        <w:trPr>
          <w:trHeight w:val="1101"/>
        </w:trPr>
        <w:tc>
          <w:tcPr>
            <w:tcW w:w="9722" w:type="dxa"/>
            <w:tcBorders>
              <w:top w:val="single" w:sz="12" w:space="0" w:color="auto"/>
              <w:left w:val="single" w:sz="12" w:space="0" w:color="auto"/>
              <w:bottom w:val="single" w:sz="12" w:space="0" w:color="auto"/>
              <w:right w:val="single" w:sz="12" w:space="0" w:color="auto"/>
            </w:tcBorders>
          </w:tcPr>
          <w:p w14:paraId="4F39A2FB" w14:textId="1E9A5706" w:rsidR="003746AD" w:rsidRPr="00490BB7" w:rsidRDefault="003746AD" w:rsidP="003746AD">
            <w:pPr>
              <w:spacing w:line="300" w:lineRule="exact"/>
              <w:rPr>
                <w:rFonts w:ascii="ＭＳ ゴシック" w:eastAsia="ＭＳ ゴシック" w:hAnsi="ＭＳ ゴシック"/>
                <w:b/>
                <w:bCs/>
                <w:sz w:val="26"/>
                <w:szCs w:val="26"/>
                <w:shd w:val="pct15" w:color="auto" w:fill="FFFFFF"/>
              </w:rPr>
            </w:pPr>
            <w:r>
              <w:rPr>
                <w:rFonts w:ascii="ＭＳ ゴシック" w:eastAsia="ＭＳ ゴシック" w:hAnsi="ＭＳ ゴシック" w:hint="eastAsia"/>
                <w:b/>
                <w:bCs/>
                <w:sz w:val="26"/>
                <w:szCs w:val="26"/>
                <w:shd w:val="pct15" w:color="auto" w:fill="FFFFFF"/>
              </w:rPr>
              <w:t>４</w:t>
            </w:r>
            <w:r w:rsidRPr="00490BB7">
              <w:rPr>
                <w:rFonts w:ascii="ＭＳ ゴシック" w:eastAsia="ＭＳ ゴシック" w:hAnsi="ＭＳ ゴシック" w:hint="eastAsia"/>
                <w:b/>
                <w:bCs/>
                <w:sz w:val="26"/>
                <w:szCs w:val="26"/>
                <w:shd w:val="pct15" w:color="auto" w:fill="FFFFFF"/>
              </w:rPr>
              <w:t>．</w:t>
            </w:r>
            <w:r w:rsidRPr="003746AD">
              <w:rPr>
                <w:rFonts w:ascii="ＭＳ ゴシック" w:eastAsia="ＭＳ ゴシック" w:hAnsi="ＭＳ ゴシック" w:hint="eastAsia"/>
                <w:b/>
                <w:bCs/>
                <w:sz w:val="26"/>
                <w:szCs w:val="26"/>
                <w:shd w:val="pct15" w:color="auto" w:fill="FFFFFF"/>
              </w:rPr>
              <w:t>システムを使った手数料の納付</w:t>
            </w:r>
          </w:p>
          <w:p w14:paraId="712E5704" w14:textId="77777777" w:rsidR="003746AD" w:rsidRPr="003746AD" w:rsidRDefault="003746AD" w:rsidP="003746AD">
            <w:pPr>
              <w:spacing w:line="60" w:lineRule="exact"/>
              <w:ind w:firstLineChars="100" w:firstLine="240"/>
              <w:rPr>
                <w:rFonts w:asciiTheme="majorEastAsia" w:eastAsiaTheme="majorEastAsia" w:hAnsiTheme="majorEastAsia"/>
                <w:b/>
                <w:bCs/>
                <w:sz w:val="24"/>
                <w:szCs w:val="24"/>
              </w:rPr>
            </w:pPr>
          </w:p>
          <w:p w14:paraId="151A6ECB" w14:textId="312C81F9" w:rsidR="003746AD" w:rsidRPr="00490BB7" w:rsidRDefault="003746AD" w:rsidP="003746AD">
            <w:pPr>
              <w:spacing w:line="300" w:lineRule="exact"/>
              <w:ind w:leftChars="100" w:left="450" w:hangingChars="100" w:hanging="240"/>
              <w:rPr>
                <w:rFonts w:ascii="ＭＳ ゴシック" w:eastAsia="ＭＳ ゴシック" w:hAnsi="ＭＳ ゴシック"/>
                <w:b/>
                <w:bCs/>
                <w:sz w:val="26"/>
                <w:szCs w:val="26"/>
                <w:shd w:val="pct15" w:color="auto" w:fill="FFFFFF"/>
              </w:rPr>
            </w:pPr>
            <w:r w:rsidRPr="003746AD">
              <w:rPr>
                <w:rFonts w:asciiTheme="majorEastAsia" w:eastAsiaTheme="majorEastAsia" w:hAnsiTheme="majorEastAsia" w:hint="eastAsia"/>
                <w:b/>
                <w:bCs/>
                <w:sz w:val="24"/>
                <w:szCs w:val="24"/>
              </w:rPr>
              <w:t>○　手数料の納付が必要となる手続について、情報システム（クレジットカード等）を利用した方法を可能とする。</w:t>
            </w:r>
          </w:p>
        </w:tc>
      </w:tr>
      <w:tr w:rsidR="003746AD" w14:paraId="7152AA87" w14:textId="77777777" w:rsidTr="003746AD">
        <w:trPr>
          <w:trHeight w:val="1671"/>
        </w:trPr>
        <w:tc>
          <w:tcPr>
            <w:tcW w:w="9722" w:type="dxa"/>
            <w:tcBorders>
              <w:top w:val="single" w:sz="12" w:space="0" w:color="auto"/>
              <w:left w:val="single" w:sz="12" w:space="0" w:color="auto"/>
              <w:bottom w:val="single" w:sz="12" w:space="0" w:color="auto"/>
              <w:right w:val="single" w:sz="12" w:space="0" w:color="auto"/>
            </w:tcBorders>
          </w:tcPr>
          <w:p w14:paraId="4F984563" w14:textId="26B584E5" w:rsidR="003746AD" w:rsidRPr="00490BB7" w:rsidRDefault="003746AD" w:rsidP="003746AD">
            <w:pPr>
              <w:spacing w:line="300" w:lineRule="exact"/>
              <w:rPr>
                <w:rFonts w:ascii="ＭＳ ゴシック" w:eastAsia="ＭＳ ゴシック" w:hAnsi="ＭＳ ゴシック"/>
                <w:b/>
                <w:bCs/>
                <w:sz w:val="26"/>
                <w:szCs w:val="26"/>
                <w:shd w:val="pct15" w:color="auto" w:fill="FFFFFF"/>
              </w:rPr>
            </w:pPr>
            <w:r>
              <w:rPr>
                <w:rFonts w:ascii="ＭＳ ゴシック" w:eastAsia="ＭＳ ゴシック" w:hAnsi="ＭＳ ゴシック" w:hint="eastAsia"/>
                <w:b/>
                <w:bCs/>
                <w:sz w:val="26"/>
                <w:szCs w:val="26"/>
                <w:shd w:val="pct15" w:color="auto" w:fill="FFFFFF"/>
              </w:rPr>
              <w:t>５</w:t>
            </w:r>
            <w:r w:rsidRPr="00490BB7">
              <w:rPr>
                <w:rFonts w:ascii="ＭＳ ゴシック" w:eastAsia="ＭＳ ゴシック" w:hAnsi="ＭＳ ゴシック" w:hint="eastAsia"/>
                <w:b/>
                <w:bCs/>
                <w:sz w:val="26"/>
                <w:szCs w:val="26"/>
                <w:shd w:val="pct15" w:color="auto" w:fill="FFFFFF"/>
              </w:rPr>
              <w:t>．</w:t>
            </w:r>
            <w:r w:rsidRPr="003746AD">
              <w:rPr>
                <w:rFonts w:ascii="ＭＳ ゴシック" w:eastAsia="ＭＳ ゴシック" w:hAnsi="ＭＳ ゴシック" w:hint="eastAsia"/>
                <w:b/>
                <w:bCs/>
                <w:sz w:val="26"/>
                <w:szCs w:val="26"/>
                <w:shd w:val="pct15" w:color="auto" w:fill="FFFFFF"/>
              </w:rPr>
              <w:t>適用除外とする手続</w:t>
            </w:r>
          </w:p>
          <w:p w14:paraId="1FAAC839" w14:textId="77777777" w:rsidR="003746AD" w:rsidRPr="003746AD" w:rsidRDefault="003746AD" w:rsidP="003746AD">
            <w:pPr>
              <w:spacing w:line="60" w:lineRule="exact"/>
              <w:ind w:firstLineChars="100" w:firstLine="240"/>
              <w:rPr>
                <w:rFonts w:asciiTheme="majorEastAsia" w:eastAsiaTheme="majorEastAsia" w:hAnsiTheme="majorEastAsia"/>
                <w:b/>
                <w:bCs/>
                <w:sz w:val="24"/>
                <w:szCs w:val="24"/>
              </w:rPr>
            </w:pPr>
          </w:p>
          <w:p w14:paraId="41D81E83" w14:textId="77777777" w:rsidR="003746AD" w:rsidRPr="003746AD" w:rsidRDefault="003746AD" w:rsidP="003746AD">
            <w:pPr>
              <w:spacing w:line="300" w:lineRule="exact"/>
              <w:ind w:leftChars="100" w:left="450" w:hangingChars="100" w:hanging="240"/>
              <w:rPr>
                <w:rFonts w:asciiTheme="majorEastAsia" w:eastAsiaTheme="majorEastAsia" w:hAnsiTheme="majorEastAsia"/>
                <w:b/>
                <w:bCs/>
                <w:sz w:val="24"/>
                <w:szCs w:val="24"/>
              </w:rPr>
            </w:pPr>
            <w:r w:rsidRPr="003746AD">
              <w:rPr>
                <w:rFonts w:asciiTheme="majorEastAsia" w:eastAsiaTheme="majorEastAsia" w:hAnsiTheme="majorEastAsia" w:hint="eastAsia"/>
                <w:b/>
                <w:bCs/>
                <w:sz w:val="24"/>
                <w:szCs w:val="24"/>
              </w:rPr>
              <w:t>○　手続の性質上、原本・対面による確認、原本の交付、法的な制限等によりオンライン化等が不可能なものについては適用除外とする。</w:t>
            </w:r>
          </w:p>
          <w:p w14:paraId="24A1E172" w14:textId="3C7A033C" w:rsidR="003746AD" w:rsidRDefault="003746AD" w:rsidP="003746AD">
            <w:pPr>
              <w:spacing w:line="300" w:lineRule="exact"/>
              <w:ind w:leftChars="100" w:left="450" w:hangingChars="100" w:hanging="240"/>
              <w:rPr>
                <w:rFonts w:ascii="ＭＳ ゴシック" w:eastAsia="ＭＳ ゴシック" w:hAnsi="ＭＳ ゴシック"/>
                <w:b/>
                <w:bCs/>
                <w:sz w:val="26"/>
                <w:szCs w:val="26"/>
                <w:shd w:val="pct15" w:color="auto" w:fill="FFFFFF"/>
              </w:rPr>
            </w:pPr>
            <w:r>
              <w:rPr>
                <w:rFonts w:asciiTheme="majorEastAsia" w:eastAsiaTheme="majorEastAsia" w:hAnsiTheme="majorEastAsia" w:hint="eastAsia"/>
                <w:b/>
                <w:bCs/>
                <w:sz w:val="24"/>
                <w:szCs w:val="24"/>
              </w:rPr>
              <w:t xml:space="preserve">○　</w:t>
            </w:r>
            <w:r w:rsidRPr="003746AD">
              <w:rPr>
                <w:rFonts w:asciiTheme="majorEastAsia" w:eastAsiaTheme="majorEastAsia" w:hAnsiTheme="majorEastAsia" w:hint="eastAsia"/>
                <w:b/>
                <w:bCs/>
                <w:sz w:val="24"/>
                <w:szCs w:val="24"/>
              </w:rPr>
              <w:t>また、各条例において、既にオンライン化の規定が定めているものについては、そちらを優先し、本条例を適用しない。</w:t>
            </w:r>
          </w:p>
        </w:tc>
      </w:tr>
      <w:tr w:rsidR="003746AD" w14:paraId="1D87068E" w14:textId="77777777" w:rsidTr="003746AD">
        <w:trPr>
          <w:trHeight w:val="1113"/>
        </w:trPr>
        <w:tc>
          <w:tcPr>
            <w:tcW w:w="9722" w:type="dxa"/>
            <w:tcBorders>
              <w:top w:val="single" w:sz="12" w:space="0" w:color="auto"/>
              <w:left w:val="single" w:sz="12" w:space="0" w:color="auto"/>
              <w:bottom w:val="single" w:sz="12" w:space="0" w:color="auto"/>
              <w:right w:val="single" w:sz="12" w:space="0" w:color="auto"/>
            </w:tcBorders>
          </w:tcPr>
          <w:p w14:paraId="645DDC0D" w14:textId="4F094362" w:rsidR="003746AD" w:rsidRPr="00490BB7" w:rsidRDefault="003746AD" w:rsidP="003746AD">
            <w:pPr>
              <w:spacing w:line="300" w:lineRule="exact"/>
              <w:rPr>
                <w:rFonts w:ascii="ＭＳ ゴシック" w:eastAsia="ＭＳ ゴシック" w:hAnsi="ＭＳ ゴシック"/>
                <w:b/>
                <w:bCs/>
                <w:sz w:val="26"/>
                <w:szCs w:val="26"/>
                <w:shd w:val="pct15" w:color="auto" w:fill="FFFFFF"/>
              </w:rPr>
            </w:pPr>
            <w:r>
              <w:rPr>
                <w:rFonts w:ascii="ＭＳ ゴシック" w:eastAsia="ＭＳ ゴシック" w:hAnsi="ＭＳ ゴシック" w:hint="eastAsia"/>
                <w:b/>
                <w:bCs/>
                <w:sz w:val="26"/>
                <w:szCs w:val="26"/>
                <w:shd w:val="pct15" w:color="auto" w:fill="FFFFFF"/>
              </w:rPr>
              <w:t>６</w:t>
            </w:r>
            <w:r w:rsidRPr="00490BB7">
              <w:rPr>
                <w:rFonts w:ascii="ＭＳ ゴシック" w:eastAsia="ＭＳ ゴシック" w:hAnsi="ＭＳ ゴシック" w:hint="eastAsia"/>
                <w:b/>
                <w:bCs/>
                <w:sz w:val="26"/>
                <w:szCs w:val="26"/>
                <w:shd w:val="pct15" w:color="auto" w:fill="FFFFFF"/>
              </w:rPr>
              <w:t>．</w:t>
            </w:r>
            <w:r w:rsidRPr="003746AD">
              <w:rPr>
                <w:rFonts w:ascii="ＭＳ ゴシック" w:eastAsia="ＭＳ ゴシック" w:hAnsi="ＭＳ ゴシック" w:hint="eastAsia"/>
                <w:b/>
                <w:bCs/>
                <w:sz w:val="26"/>
                <w:szCs w:val="26"/>
                <w:shd w:val="pct15" w:color="auto" w:fill="FFFFFF"/>
              </w:rPr>
              <w:t>提出する書面の省略</w:t>
            </w:r>
          </w:p>
          <w:p w14:paraId="7FCFBC3B" w14:textId="77777777" w:rsidR="003746AD" w:rsidRPr="003746AD" w:rsidRDefault="003746AD" w:rsidP="003746AD">
            <w:pPr>
              <w:spacing w:line="60" w:lineRule="exact"/>
              <w:ind w:firstLineChars="100" w:firstLine="240"/>
              <w:rPr>
                <w:rFonts w:asciiTheme="majorEastAsia" w:eastAsiaTheme="majorEastAsia" w:hAnsiTheme="majorEastAsia"/>
                <w:b/>
                <w:bCs/>
                <w:sz w:val="24"/>
                <w:szCs w:val="24"/>
              </w:rPr>
            </w:pPr>
          </w:p>
          <w:p w14:paraId="2124D834" w14:textId="359214E1" w:rsidR="003746AD" w:rsidRDefault="003746AD" w:rsidP="003746AD">
            <w:pPr>
              <w:spacing w:line="300" w:lineRule="exact"/>
              <w:ind w:leftChars="100" w:left="450" w:hangingChars="100" w:hanging="240"/>
              <w:rPr>
                <w:rFonts w:ascii="ＭＳ ゴシック" w:eastAsia="ＭＳ ゴシック" w:hAnsi="ＭＳ ゴシック"/>
                <w:b/>
                <w:bCs/>
                <w:sz w:val="26"/>
                <w:szCs w:val="26"/>
                <w:shd w:val="pct15" w:color="auto" w:fill="FFFFFF"/>
              </w:rPr>
            </w:pPr>
            <w:r w:rsidRPr="003746AD">
              <w:rPr>
                <w:rFonts w:asciiTheme="majorEastAsia" w:eastAsiaTheme="majorEastAsia" w:hAnsiTheme="majorEastAsia" w:hint="eastAsia"/>
                <w:b/>
                <w:bCs/>
                <w:sz w:val="24"/>
                <w:szCs w:val="24"/>
              </w:rPr>
              <w:t>○　手続において添付することとなっている書面について、書面の内容が情報システムを利用する方法で確認できる場合に、</w:t>
            </w:r>
            <w:r w:rsidR="00F217B2">
              <w:rPr>
                <w:rFonts w:asciiTheme="majorEastAsia" w:eastAsiaTheme="majorEastAsia" w:hAnsiTheme="majorEastAsia" w:hint="eastAsia"/>
                <w:b/>
                <w:bCs/>
                <w:sz w:val="24"/>
                <w:szCs w:val="24"/>
              </w:rPr>
              <w:t>書面の省略を可能とする</w:t>
            </w:r>
            <w:r w:rsidRPr="003746AD">
              <w:rPr>
                <w:rFonts w:asciiTheme="majorEastAsia" w:eastAsiaTheme="majorEastAsia" w:hAnsiTheme="majorEastAsia" w:hint="eastAsia"/>
                <w:b/>
                <w:bCs/>
                <w:sz w:val="24"/>
                <w:szCs w:val="24"/>
              </w:rPr>
              <w:t>。</w:t>
            </w:r>
          </w:p>
        </w:tc>
      </w:tr>
    </w:tbl>
    <w:p w14:paraId="073A0218" w14:textId="6ACCEABB" w:rsidR="00EB5509" w:rsidRDefault="00EB5509" w:rsidP="00C4702F">
      <w:pPr>
        <w:spacing w:line="320" w:lineRule="exact"/>
        <w:rPr>
          <w:rFonts w:ascii="BIZ UDゴシック" w:eastAsia="BIZ UDゴシック" w:hAnsi="BIZ UDゴシック"/>
          <w:sz w:val="24"/>
          <w:szCs w:val="24"/>
        </w:rPr>
      </w:pPr>
    </w:p>
    <w:p w14:paraId="5255F1CE" w14:textId="6D9273DC" w:rsidR="00784F91" w:rsidRDefault="00784F91" w:rsidP="00C4702F">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【施行日】</w:t>
      </w:r>
    </w:p>
    <w:p w14:paraId="2673B802" w14:textId="6968316A" w:rsidR="00784F91" w:rsidRPr="003746AD" w:rsidRDefault="00784F91" w:rsidP="00C4702F">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令和６年４月１日</w:t>
      </w:r>
    </w:p>
    <w:bookmarkEnd w:id="0"/>
    <w:sectPr w:rsidR="00784F91" w:rsidRPr="003746AD" w:rsidSect="00A8298F">
      <w:pgSz w:w="11906" w:h="16838" w:code="9"/>
      <w:pgMar w:top="1560" w:right="1077" w:bottom="1701" w:left="1077" w:header="45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D81C" w14:textId="77777777" w:rsidR="00C6509B" w:rsidRDefault="00C6509B" w:rsidP="00697498">
      <w:r>
        <w:separator/>
      </w:r>
    </w:p>
  </w:endnote>
  <w:endnote w:type="continuationSeparator" w:id="0">
    <w:p w14:paraId="52A1C7C3" w14:textId="77777777" w:rsidR="00C6509B" w:rsidRDefault="00C6509B" w:rsidP="0069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EB14" w14:textId="77777777" w:rsidR="00C6509B" w:rsidRDefault="00C6509B" w:rsidP="00697498">
      <w:r>
        <w:separator/>
      </w:r>
    </w:p>
  </w:footnote>
  <w:footnote w:type="continuationSeparator" w:id="0">
    <w:p w14:paraId="03A46C60" w14:textId="77777777" w:rsidR="00C6509B" w:rsidRDefault="00C6509B" w:rsidP="0069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925"/>
    <w:multiLevelType w:val="hybridMultilevel"/>
    <w:tmpl w:val="A81826CA"/>
    <w:lvl w:ilvl="0" w:tplc="70608E9E">
      <w:numFmt w:val="bullet"/>
      <w:lvlText w:val="※"/>
      <w:lvlJc w:val="left"/>
      <w:pPr>
        <w:ind w:left="1060" w:hanging="360"/>
      </w:pPr>
      <w:rPr>
        <w:rFonts w:ascii="BIZ UDP明朝 Medium" w:eastAsia="BIZ UDP明朝 Medium" w:hAnsi="BIZ UDP明朝 Medium" w:cstheme="minorBidi" w:hint="eastAsia"/>
        <w:sz w:val="20"/>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B2"/>
    <w:rsid w:val="000418EC"/>
    <w:rsid w:val="00042D55"/>
    <w:rsid w:val="0005565C"/>
    <w:rsid w:val="000625C4"/>
    <w:rsid w:val="00066456"/>
    <w:rsid w:val="00091E94"/>
    <w:rsid w:val="000C6D7B"/>
    <w:rsid w:val="000D093D"/>
    <w:rsid w:val="000D1C82"/>
    <w:rsid w:val="00102E90"/>
    <w:rsid w:val="00121987"/>
    <w:rsid w:val="00131E45"/>
    <w:rsid w:val="001615C8"/>
    <w:rsid w:val="00186D9B"/>
    <w:rsid w:val="001910AB"/>
    <w:rsid w:val="001C5957"/>
    <w:rsid w:val="001D2824"/>
    <w:rsid w:val="001D2A98"/>
    <w:rsid w:val="001D5C23"/>
    <w:rsid w:val="001E060D"/>
    <w:rsid w:val="001E53AC"/>
    <w:rsid w:val="001E706A"/>
    <w:rsid w:val="001F2195"/>
    <w:rsid w:val="001F2A18"/>
    <w:rsid w:val="002219B9"/>
    <w:rsid w:val="00227C8A"/>
    <w:rsid w:val="002549C3"/>
    <w:rsid w:val="00275200"/>
    <w:rsid w:val="002B4689"/>
    <w:rsid w:val="002D1C26"/>
    <w:rsid w:val="002F5F6D"/>
    <w:rsid w:val="002F6BDD"/>
    <w:rsid w:val="00300287"/>
    <w:rsid w:val="00300F1D"/>
    <w:rsid w:val="003044A2"/>
    <w:rsid w:val="003521DA"/>
    <w:rsid w:val="003549F0"/>
    <w:rsid w:val="0035543D"/>
    <w:rsid w:val="003746AD"/>
    <w:rsid w:val="00392668"/>
    <w:rsid w:val="003938D4"/>
    <w:rsid w:val="003955E9"/>
    <w:rsid w:val="00396348"/>
    <w:rsid w:val="00397BC6"/>
    <w:rsid w:val="003D2388"/>
    <w:rsid w:val="003E07D3"/>
    <w:rsid w:val="003F3977"/>
    <w:rsid w:val="003F3E62"/>
    <w:rsid w:val="00400574"/>
    <w:rsid w:val="00403E62"/>
    <w:rsid w:val="0040743A"/>
    <w:rsid w:val="00412424"/>
    <w:rsid w:val="00416015"/>
    <w:rsid w:val="004274CE"/>
    <w:rsid w:val="00453987"/>
    <w:rsid w:val="00471143"/>
    <w:rsid w:val="00485389"/>
    <w:rsid w:val="00490BB7"/>
    <w:rsid w:val="004B5F30"/>
    <w:rsid w:val="004E6A3E"/>
    <w:rsid w:val="00524034"/>
    <w:rsid w:val="00535B54"/>
    <w:rsid w:val="0055381C"/>
    <w:rsid w:val="0056407D"/>
    <w:rsid w:val="005719C8"/>
    <w:rsid w:val="005741F6"/>
    <w:rsid w:val="005B06EF"/>
    <w:rsid w:val="005D09B9"/>
    <w:rsid w:val="005D6A44"/>
    <w:rsid w:val="005E5343"/>
    <w:rsid w:val="005F5F68"/>
    <w:rsid w:val="0060062B"/>
    <w:rsid w:val="00611DB2"/>
    <w:rsid w:val="00634ED0"/>
    <w:rsid w:val="00654D1A"/>
    <w:rsid w:val="00674B31"/>
    <w:rsid w:val="00690E70"/>
    <w:rsid w:val="00697498"/>
    <w:rsid w:val="006A4B39"/>
    <w:rsid w:val="006A758F"/>
    <w:rsid w:val="006B20DD"/>
    <w:rsid w:val="006B3E9F"/>
    <w:rsid w:val="006C01B7"/>
    <w:rsid w:val="006C7159"/>
    <w:rsid w:val="006D2F2F"/>
    <w:rsid w:val="006F798E"/>
    <w:rsid w:val="0071291E"/>
    <w:rsid w:val="007340BF"/>
    <w:rsid w:val="00747AED"/>
    <w:rsid w:val="00754BC2"/>
    <w:rsid w:val="00761F81"/>
    <w:rsid w:val="0076513C"/>
    <w:rsid w:val="007701ED"/>
    <w:rsid w:val="00773556"/>
    <w:rsid w:val="00784F91"/>
    <w:rsid w:val="00786D34"/>
    <w:rsid w:val="007932B7"/>
    <w:rsid w:val="007A5C0B"/>
    <w:rsid w:val="007D350C"/>
    <w:rsid w:val="007E0385"/>
    <w:rsid w:val="007E50DD"/>
    <w:rsid w:val="008111B5"/>
    <w:rsid w:val="00833D96"/>
    <w:rsid w:val="008462FC"/>
    <w:rsid w:val="00865AC5"/>
    <w:rsid w:val="00895335"/>
    <w:rsid w:val="008D3334"/>
    <w:rsid w:val="008E4395"/>
    <w:rsid w:val="00930E2E"/>
    <w:rsid w:val="00931519"/>
    <w:rsid w:val="0096272B"/>
    <w:rsid w:val="00982047"/>
    <w:rsid w:val="009907A6"/>
    <w:rsid w:val="009B2D8E"/>
    <w:rsid w:val="009D7FCA"/>
    <w:rsid w:val="00A025FA"/>
    <w:rsid w:val="00A1411E"/>
    <w:rsid w:val="00A22A62"/>
    <w:rsid w:val="00A3752E"/>
    <w:rsid w:val="00A57828"/>
    <w:rsid w:val="00A57A31"/>
    <w:rsid w:val="00A6561A"/>
    <w:rsid w:val="00A65C85"/>
    <w:rsid w:val="00A66BB0"/>
    <w:rsid w:val="00A80238"/>
    <w:rsid w:val="00A8298F"/>
    <w:rsid w:val="00A905A9"/>
    <w:rsid w:val="00AA1524"/>
    <w:rsid w:val="00AB0587"/>
    <w:rsid w:val="00AC5AB7"/>
    <w:rsid w:val="00AF6859"/>
    <w:rsid w:val="00B03830"/>
    <w:rsid w:val="00B11582"/>
    <w:rsid w:val="00B16035"/>
    <w:rsid w:val="00B41CB6"/>
    <w:rsid w:val="00B53323"/>
    <w:rsid w:val="00B66765"/>
    <w:rsid w:val="00B82B0E"/>
    <w:rsid w:val="00B859F0"/>
    <w:rsid w:val="00B93F9E"/>
    <w:rsid w:val="00BB25A1"/>
    <w:rsid w:val="00BC0E8D"/>
    <w:rsid w:val="00BE7A81"/>
    <w:rsid w:val="00BF29A1"/>
    <w:rsid w:val="00C4702F"/>
    <w:rsid w:val="00C62978"/>
    <w:rsid w:val="00C6509B"/>
    <w:rsid w:val="00C70527"/>
    <w:rsid w:val="00C72EA5"/>
    <w:rsid w:val="00C8512A"/>
    <w:rsid w:val="00C93096"/>
    <w:rsid w:val="00C9582C"/>
    <w:rsid w:val="00C96EC3"/>
    <w:rsid w:val="00CA164F"/>
    <w:rsid w:val="00D20345"/>
    <w:rsid w:val="00D47392"/>
    <w:rsid w:val="00D5351B"/>
    <w:rsid w:val="00D8457D"/>
    <w:rsid w:val="00D85934"/>
    <w:rsid w:val="00D90A3F"/>
    <w:rsid w:val="00D94425"/>
    <w:rsid w:val="00DB3415"/>
    <w:rsid w:val="00DB3786"/>
    <w:rsid w:val="00DD5D6D"/>
    <w:rsid w:val="00DE4D8A"/>
    <w:rsid w:val="00E05B43"/>
    <w:rsid w:val="00E1001F"/>
    <w:rsid w:val="00E21928"/>
    <w:rsid w:val="00E25694"/>
    <w:rsid w:val="00E30D26"/>
    <w:rsid w:val="00E45E11"/>
    <w:rsid w:val="00E478EC"/>
    <w:rsid w:val="00E62E34"/>
    <w:rsid w:val="00E74567"/>
    <w:rsid w:val="00E8367A"/>
    <w:rsid w:val="00EB22BC"/>
    <w:rsid w:val="00EB5509"/>
    <w:rsid w:val="00EC6575"/>
    <w:rsid w:val="00EC6807"/>
    <w:rsid w:val="00ED1CD5"/>
    <w:rsid w:val="00ED76FB"/>
    <w:rsid w:val="00EE0A43"/>
    <w:rsid w:val="00F052ED"/>
    <w:rsid w:val="00F144B0"/>
    <w:rsid w:val="00F217B2"/>
    <w:rsid w:val="00F25A6D"/>
    <w:rsid w:val="00F27B35"/>
    <w:rsid w:val="00F60B38"/>
    <w:rsid w:val="00F709F3"/>
    <w:rsid w:val="00F86541"/>
    <w:rsid w:val="00FA437B"/>
    <w:rsid w:val="00FC1211"/>
    <w:rsid w:val="00FD06F4"/>
    <w:rsid w:val="00FD6C34"/>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17C033"/>
  <w15:chartTrackingRefBased/>
  <w15:docId w15:val="{80532CE7-883E-4D03-9418-C5197A78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498"/>
    <w:pPr>
      <w:tabs>
        <w:tab w:val="center" w:pos="4252"/>
        <w:tab w:val="right" w:pos="8504"/>
      </w:tabs>
      <w:snapToGrid w:val="0"/>
    </w:pPr>
  </w:style>
  <w:style w:type="character" w:customStyle="1" w:styleId="a4">
    <w:name w:val="ヘッダー (文字)"/>
    <w:basedOn w:val="a0"/>
    <w:link w:val="a3"/>
    <w:uiPriority w:val="99"/>
    <w:rsid w:val="00697498"/>
  </w:style>
  <w:style w:type="paragraph" w:styleId="a5">
    <w:name w:val="footer"/>
    <w:basedOn w:val="a"/>
    <w:link w:val="a6"/>
    <w:uiPriority w:val="99"/>
    <w:unhideWhenUsed/>
    <w:rsid w:val="00697498"/>
    <w:pPr>
      <w:tabs>
        <w:tab w:val="center" w:pos="4252"/>
        <w:tab w:val="right" w:pos="8504"/>
      </w:tabs>
      <w:snapToGrid w:val="0"/>
    </w:pPr>
  </w:style>
  <w:style w:type="character" w:customStyle="1" w:styleId="a6">
    <w:name w:val="フッター (文字)"/>
    <w:basedOn w:val="a0"/>
    <w:link w:val="a5"/>
    <w:uiPriority w:val="99"/>
    <w:rsid w:val="00697498"/>
  </w:style>
  <w:style w:type="table" w:styleId="a7">
    <w:name w:val="Table Grid"/>
    <w:basedOn w:val="a1"/>
    <w:uiPriority w:val="39"/>
    <w:rsid w:val="006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0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3561-A456-4FAC-8B7F-5F1B86E4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和信</dc:creator>
  <cp:keywords/>
  <dc:description/>
  <cp:lastModifiedBy>武本　秀也</cp:lastModifiedBy>
  <cp:revision>12</cp:revision>
  <cp:lastPrinted>2024-02-06T02:12:00Z</cp:lastPrinted>
  <dcterms:created xsi:type="dcterms:W3CDTF">2024-01-12T09:15:00Z</dcterms:created>
  <dcterms:modified xsi:type="dcterms:W3CDTF">2024-02-28T01:31:00Z</dcterms:modified>
</cp:coreProperties>
</file>