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3E66D" w14:textId="196A3215" w:rsidR="00AA75D0" w:rsidRPr="00985C70" w:rsidRDefault="006A0B0F" w:rsidP="00AA75D0">
      <w:pPr>
        <w:snapToGrid w:val="0"/>
        <w:spacing w:line="340" w:lineRule="exact"/>
        <w:jc w:val="center"/>
        <w:rPr>
          <w:rFonts w:ascii="メイリオ" w:eastAsia="メイリオ" w:hAnsi="メイリオ"/>
          <w:b/>
          <w:bCs/>
          <w:color w:val="FF0000"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sz w:val="22"/>
          <w:szCs w:val="24"/>
        </w:rPr>
        <w:t>大阪府中央卸売市場再整備検討会議分科会における今後の検討</w:t>
      </w:r>
      <w:r w:rsidR="00D33605">
        <w:rPr>
          <w:rFonts w:ascii="メイリオ" w:eastAsia="メイリオ" w:hAnsi="メイリオ" w:hint="eastAsia"/>
          <w:b/>
          <w:bCs/>
          <w:sz w:val="22"/>
          <w:szCs w:val="24"/>
        </w:rPr>
        <w:t>内容等</w:t>
      </w:r>
      <w:r w:rsidR="00985C70" w:rsidRPr="001362AA">
        <w:rPr>
          <w:rFonts w:ascii="メイリオ" w:eastAsia="メイリオ" w:hAnsi="メイリオ" w:hint="eastAsia"/>
          <w:b/>
          <w:bCs/>
          <w:sz w:val="22"/>
          <w:szCs w:val="24"/>
        </w:rPr>
        <w:t>（案）</w:t>
      </w:r>
    </w:p>
    <w:p w14:paraId="25126261" w14:textId="60498730" w:rsidR="00AA75D0" w:rsidRPr="00C17D94" w:rsidRDefault="00AA75D0" w:rsidP="009C6C6D">
      <w:pPr>
        <w:snapToGrid w:val="0"/>
        <w:spacing w:line="320" w:lineRule="exact"/>
        <w:jc w:val="center"/>
        <w:rPr>
          <w:rFonts w:ascii="メイリオ" w:eastAsia="メイリオ" w:hAnsi="メイリオ"/>
          <w:sz w:val="22"/>
          <w:szCs w:val="24"/>
        </w:rPr>
      </w:pPr>
    </w:p>
    <w:p w14:paraId="53AD20FE" w14:textId="469C387F" w:rsidR="00E04456" w:rsidRDefault="006A0B0F" w:rsidP="006A0B0F">
      <w:pPr>
        <w:snapToGrid w:val="0"/>
        <w:spacing w:line="340" w:lineRule="exact"/>
        <w:ind w:firstLineChars="100" w:firstLine="22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今年度の再整備基本計画（案）の策定に向け、令和５年７月の再整備検討会議以降も分科会を開催し、下記に掲げる項目等について場内事業者の意見を聴き取りながら、今年度内の再整備基本計画（案）の策定を目指す。</w:t>
      </w:r>
    </w:p>
    <w:p w14:paraId="723032DB" w14:textId="39117AE2" w:rsidR="00D33605" w:rsidRPr="00C17D94" w:rsidRDefault="00D33605" w:rsidP="006A0B0F">
      <w:pPr>
        <w:snapToGrid w:val="0"/>
        <w:spacing w:line="340" w:lineRule="exact"/>
        <w:ind w:firstLineChars="100" w:firstLine="220"/>
        <w:jc w:val="left"/>
        <w:rPr>
          <w:rFonts w:ascii="メイリオ" w:eastAsia="メイリオ" w:hAnsi="メイリオ"/>
          <w:sz w:val="22"/>
          <w:szCs w:val="24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9497"/>
      </w:tblGrid>
      <w:tr w:rsidR="00E04456" w:rsidRPr="00C17D94" w14:paraId="70F2F2BE" w14:textId="77777777" w:rsidTr="002A778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4A7E933" w14:textId="55428E99" w:rsidR="00E04456" w:rsidRPr="00C17D94" w:rsidRDefault="00A04CEB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分科会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8AA0698" w14:textId="30769126" w:rsidR="00E04456" w:rsidRPr="00C17D94" w:rsidRDefault="00E04456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C17D94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開催時期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CBD07C" w14:textId="35C3B786" w:rsidR="00E04456" w:rsidRPr="00C17D94" w:rsidRDefault="006A0B0F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議題</w:t>
            </w:r>
          </w:p>
        </w:tc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5F09E1AA" w14:textId="1808E82E" w:rsidR="00E04456" w:rsidRPr="00C17D94" w:rsidRDefault="006A0B0F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主な検討内容等</w:t>
            </w:r>
          </w:p>
        </w:tc>
      </w:tr>
      <w:tr w:rsidR="00E04456" w:rsidRPr="00C17D94" w14:paraId="6ECA0BF2" w14:textId="77777777" w:rsidTr="002A7780">
        <w:tc>
          <w:tcPr>
            <w:tcW w:w="1129" w:type="dxa"/>
            <w:vAlign w:val="center"/>
          </w:tcPr>
          <w:p w14:paraId="429CA13E" w14:textId="46FB7BF8" w:rsidR="00E04456" w:rsidRPr="00C17D94" w:rsidRDefault="006A0B0F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第７</w:t>
            </w:r>
            <w:r w:rsidR="00E04456" w:rsidRPr="00C17D94">
              <w:rPr>
                <w:rFonts w:ascii="メイリオ" w:eastAsia="メイリオ" w:hAnsi="メイリオ" w:hint="eastAsia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4B0C873B" w14:textId="77777777" w:rsidR="00C17D94" w:rsidRDefault="00E04456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C17D94">
              <w:rPr>
                <w:rFonts w:ascii="メイリオ" w:eastAsia="メイリオ" w:hAnsi="メイリオ" w:hint="eastAsia"/>
                <w:sz w:val="22"/>
                <w:szCs w:val="24"/>
              </w:rPr>
              <w:t>令和５年</w:t>
            </w:r>
          </w:p>
          <w:p w14:paraId="0DE28DBC" w14:textId="5182EECC" w:rsidR="00E04456" w:rsidRPr="00C17D94" w:rsidRDefault="006A0B0F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７月下</w:t>
            </w:r>
            <w:r w:rsidR="00E04456" w:rsidRPr="00C17D94">
              <w:rPr>
                <w:rFonts w:ascii="メイリオ" w:eastAsia="メイリオ" w:hAnsi="メイリオ" w:hint="eastAsia"/>
                <w:sz w:val="22"/>
                <w:szCs w:val="24"/>
              </w:rPr>
              <w:t>旬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頃</w:t>
            </w:r>
          </w:p>
        </w:tc>
        <w:tc>
          <w:tcPr>
            <w:tcW w:w="2693" w:type="dxa"/>
            <w:vAlign w:val="center"/>
          </w:tcPr>
          <w:p w14:paraId="25B64A9C" w14:textId="77777777" w:rsidR="002A7780" w:rsidRDefault="006A0B0F" w:rsidP="006A0B0F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卸・仲卸間で相関する</w:t>
            </w:r>
          </w:p>
          <w:p w14:paraId="47642057" w14:textId="0D12CFB0" w:rsidR="00E04456" w:rsidRPr="00C17D94" w:rsidRDefault="006A0B0F" w:rsidP="006A0B0F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基本性能の合意</w:t>
            </w:r>
          </w:p>
        </w:tc>
        <w:tc>
          <w:tcPr>
            <w:tcW w:w="9497" w:type="dxa"/>
          </w:tcPr>
          <w:p w14:paraId="5AAF9700" w14:textId="1CFC4587" w:rsidR="00E04456" w:rsidRPr="009E68D7" w:rsidRDefault="00D24D96" w:rsidP="00985C70">
            <w:pPr>
              <w:snapToGrid w:val="0"/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2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046A1B7" wp14:editId="15FA8EEA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57785</wp:posOffset>
                      </wp:positionV>
                      <wp:extent cx="954151" cy="2962275"/>
                      <wp:effectExtent l="19050" t="0" r="36830" b="476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151" cy="2962275"/>
                                <a:chOff x="0" y="0"/>
                                <a:chExt cx="996278" cy="2920620"/>
                              </a:xfrm>
                            </wpg:grpSpPr>
                            <wps:wsp>
                              <wps:cNvPr id="1" name="下矢印 1"/>
                              <wps:cNvSpPr/>
                              <wps:spPr>
                                <a:xfrm>
                                  <a:off x="0" y="0"/>
                                  <a:ext cx="996278" cy="2920620"/>
                                </a:xfrm>
                                <a:prstGeom prst="downArrow">
                                  <a:avLst>
                                    <a:gd name="adj1" fmla="val 51818"/>
                                    <a:gd name="adj2" fmla="val 73509"/>
                                  </a:avLst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15875">
                                  <a:solidFill>
                                    <a:schemeClr val="accent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859" y="299814"/>
                                  <a:ext cx="726077" cy="25657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noFill/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45A58B" w14:textId="27AE1F8A" w:rsidR="00BA5D90" w:rsidRPr="00D24D96" w:rsidRDefault="00A04CEB">
                                    <w:pPr>
                                      <w:rPr>
                                        <w:b/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sz w:val="40"/>
                                        <w:szCs w:val="24"/>
                                      </w:rPr>
                                      <w:t>施設</w:t>
                                    </w:r>
                                    <w:r w:rsidR="00BA5D90" w:rsidRPr="00D24D96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sz w:val="40"/>
                                        <w:szCs w:val="24"/>
                                      </w:rPr>
                                      <w:t>規模の</w:t>
                                    </w:r>
                                    <w:r w:rsidR="00D24D96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sz w:val="40"/>
                                        <w:szCs w:val="24"/>
                                      </w:rPr>
                                      <w:t>見極め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46A1B7" id="グループ化 2" o:spid="_x0000_s1026" style="position:absolute;left:0;text-align:left;margin-left:391pt;margin-top:4.55pt;width:75.15pt;height:233.25pt;z-index:251661312;mso-width-relative:margin;mso-height-relative:margin" coordsize="9962,29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1" o:spid="_x0000_s1027" type="#_x0000_t67" style="position:absolute;width:9962;height:29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" adj="16184,5204" fillcolor="#b4c6e7 [1300]" strokecolor="#4472c4 [3204]" strokeweight="1.25pt">
                        <v:stroke dashstyle="1 1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988;top:2998;width:7261;height:2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" filled="f" stroked="f" strokeweight="1.25pt">
                        <v:stroke dashstyle="1 1"/>
                        <v:textbox style="layout-flow:vertical-ideographic">
                          <w:txbxContent>
                            <w:p w14:paraId="3245A58B" w14:textId="27AE1F8A" w:rsidR="00BA5D90" w:rsidRPr="00D24D96" w:rsidRDefault="00A04CEB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40"/>
                                  <w:szCs w:val="24"/>
                                </w:rPr>
                                <w:t>施設</w:t>
                              </w:r>
                              <w:r w:rsidR="00BA5D90" w:rsidRPr="00D24D96">
                                <w:rPr>
                                  <w:rFonts w:ascii="メイリオ" w:eastAsia="メイリオ" w:hAnsi="メイリオ" w:hint="eastAsia"/>
                                  <w:b/>
                                  <w:sz w:val="40"/>
                                  <w:szCs w:val="24"/>
                                </w:rPr>
                                <w:t>規模の</w:t>
                              </w:r>
                              <w:r w:rsidR="00D24D96">
                                <w:rPr>
                                  <w:rFonts w:ascii="メイリオ" w:eastAsia="メイリオ" w:hAnsi="メイリオ" w:hint="eastAsia"/>
                                  <w:b/>
                                  <w:sz w:val="40"/>
                                  <w:szCs w:val="24"/>
                                </w:rPr>
                                <w:t>見極め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E68D7" w:rsidRPr="009E68D7"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 xml:space="preserve">〇　</w:t>
            </w:r>
            <w:r w:rsidR="006A0B0F" w:rsidRPr="009E68D7"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>物流効率化</w:t>
            </w:r>
            <w:r w:rsidR="00985C70" w:rsidRPr="00985C70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 w:rsidR="00985C70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985C70" w:rsidRPr="00985C70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9E68D7" w:rsidRPr="009E68D7">
              <w:rPr>
                <w:rFonts w:ascii="メイリオ" w:eastAsia="メイリオ" w:hAnsi="メイリオ" w:hint="eastAsia"/>
                <w:sz w:val="22"/>
                <w:szCs w:val="24"/>
              </w:rPr>
              <w:t>・</w:t>
            </w:r>
            <w:r w:rsidR="006A0B0F" w:rsidRPr="009E68D7">
              <w:rPr>
                <w:rFonts w:ascii="メイリオ" w:eastAsia="メイリオ" w:hAnsi="メイリオ" w:hint="eastAsia"/>
                <w:sz w:val="22"/>
                <w:szCs w:val="24"/>
              </w:rPr>
              <w:t>配棟計画（敷地内動線・車路計画）</w:t>
            </w:r>
          </w:p>
          <w:p w14:paraId="4D4209EF" w14:textId="01A10235" w:rsidR="009E68D7" w:rsidRPr="001362AA" w:rsidRDefault="009E68D7" w:rsidP="00985C70">
            <w:pPr>
              <w:snapToGrid w:val="0"/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 xml:space="preserve">〇　</w:t>
            </w:r>
            <w:r w:rsidR="006A0B0F" w:rsidRPr="009E68D7"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>場内機能の強化</w:t>
            </w:r>
            <w:r w:rsidR="00985C70" w:rsidRPr="00985C70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 w:rsidR="00985C70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 w:rsidRPr="009E68D7">
              <w:rPr>
                <w:rFonts w:ascii="メイリオ" w:eastAsia="メイリオ" w:hAnsi="メイリオ" w:hint="eastAsia"/>
                <w:sz w:val="22"/>
                <w:szCs w:val="24"/>
              </w:rPr>
              <w:t>・</w:t>
            </w:r>
            <w:r w:rsidR="006A0B0F" w:rsidRPr="009E68D7">
              <w:rPr>
                <w:rFonts w:ascii="メイリオ" w:eastAsia="メイリオ" w:hAnsi="メイリオ" w:hint="eastAsia"/>
                <w:sz w:val="22"/>
                <w:szCs w:val="24"/>
              </w:rPr>
              <w:t>品質衛生管理の高度化</w:t>
            </w:r>
            <w:r w:rsidR="001362AA" w:rsidRPr="001362AA">
              <w:rPr>
                <w:rFonts w:ascii="メイリオ" w:eastAsia="メイリオ" w:hAnsi="メイリオ" w:hint="eastAsia"/>
                <w:sz w:val="22"/>
                <w:szCs w:val="24"/>
              </w:rPr>
              <w:t>（</w:t>
            </w:r>
            <w:r w:rsidR="00BA5D90" w:rsidRPr="001362AA">
              <w:rPr>
                <w:rFonts w:ascii="メイリオ" w:eastAsia="メイリオ" w:hAnsi="メイリオ" w:hint="eastAsia"/>
                <w:sz w:val="22"/>
                <w:szCs w:val="24"/>
              </w:rPr>
              <w:t>閉鎖・開放範囲の検討）</w:t>
            </w:r>
          </w:p>
          <w:p w14:paraId="0C438BF9" w14:textId="72F4B962" w:rsidR="009E68D7" w:rsidRPr="001362AA" w:rsidRDefault="009E68D7" w:rsidP="00985C70">
            <w:pPr>
              <w:snapToGrid w:val="0"/>
              <w:spacing w:line="320" w:lineRule="exact"/>
              <w:ind w:firstLineChars="1100" w:firstLine="2420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 w:rsidRPr="001362AA">
              <w:rPr>
                <w:rFonts w:ascii="メイリオ" w:eastAsia="メイリオ" w:hAnsi="メイリオ" w:hint="eastAsia"/>
                <w:sz w:val="22"/>
                <w:szCs w:val="24"/>
              </w:rPr>
              <w:t>・</w:t>
            </w:r>
            <w:r w:rsidR="006A0B0F" w:rsidRPr="001362AA">
              <w:rPr>
                <w:rFonts w:ascii="メイリオ" w:eastAsia="メイリオ" w:hAnsi="メイリオ" w:hint="eastAsia"/>
                <w:sz w:val="22"/>
                <w:szCs w:val="24"/>
              </w:rPr>
              <w:t>場内作業省力化</w:t>
            </w:r>
            <w:r w:rsidR="00BA5D90" w:rsidRPr="001362AA">
              <w:rPr>
                <w:rFonts w:ascii="メイリオ" w:eastAsia="メイリオ" w:hAnsi="メイリオ" w:hint="eastAsia"/>
                <w:sz w:val="22"/>
                <w:szCs w:val="24"/>
              </w:rPr>
              <w:t>・</w:t>
            </w:r>
            <w:r w:rsidR="006A0B0F" w:rsidRPr="001362AA">
              <w:rPr>
                <w:rFonts w:ascii="メイリオ" w:eastAsia="メイリオ" w:hAnsi="メイリオ" w:hint="eastAsia"/>
                <w:sz w:val="22"/>
                <w:szCs w:val="24"/>
              </w:rPr>
              <w:t>デジタル</w:t>
            </w:r>
            <w:r w:rsidR="00BA5D90" w:rsidRPr="001362AA">
              <w:rPr>
                <w:rFonts w:ascii="メイリオ" w:eastAsia="メイリオ" w:hAnsi="メイリオ" w:hint="eastAsia"/>
                <w:sz w:val="22"/>
                <w:szCs w:val="24"/>
              </w:rPr>
              <w:t>技術</w:t>
            </w:r>
            <w:r w:rsidR="006A0B0F" w:rsidRPr="001362AA">
              <w:rPr>
                <w:rFonts w:ascii="メイリオ" w:eastAsia="メイリオ" w:hAnsi="メイリオ" w:hint="eastAsia"/>
                <w:sz w:val="22"/>
                <w:szCs w:val="24"/>
              </w:rPr>
              <w:t>活用</w:t>
            </w:r>
          </w:p>
          <w:p w14:paraId="6739888A" w14:textId="244BC964" w:rsidR="006A0B0F" w:rsidRPr="009E68D7" w:rsidRDefault="009E68D7" w:rsidP="00985C70">
            <w:pPr>
              <w:snapToGrid w:val="0"/>
              <w:spacing w:line="320" w:lineRule="exact"/>
              <w:ind w:firstLineChars="1100" w:firstLine="2420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 w:rsidRPr="009E68D7">
              <w:rPr>
                <w:rFonts w:ascii="メイリオ" w:eastAsia="メイリオ" w:hAnsi="メイリオ" w:hint="eastAsia"/>
                <w:sz w:val="22"/>
                <w:szCs w:val="24"/>
              </w:rPr>
              <w:t>・</w:t>
            </w:r>
            <w:r w:rsidR="006A0B0F" w:rsidRPr="009E68D7">
              <w:rPr>
                <w:rFonts w:ascii="メイリオ" w:eastAsia="メイリオ" w:hAnsi="メイリオ" w:hint="eastAsia"/>
                <w:sz w:val="22"/>
                <w:szCs w:val="24"/>
              </w:rPr>
              <w:t>場内作業スペースの効率化（共同加工、配送など）</w:t>
            </w:r>
          </w:p>
        </w:tc>
      </w:tr>
      <w:tr w:rsidR="00E04456" w:rsidRPr="00C17D94" w14:paraId="7B78AC3B" w14:textId="77777777" w:rsidTr="002A7780">
        <w:tc>
          <w:tcPr>
            <w:tcW w:w="1129" w:type="dxa"/>
            <w:vAlign w:val="center"/>
          </w:tcPr>
          <w:p w14:paraId="0F6BDEE0" w14:textId="0D2C145B" w:rsidR="00E04456" w:rsidRPr="00C17D94" w:rsidRDefault="006A0B0F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第８</w:t>
            </w:r>
            <w:r w:rsidR="00E04456" w:rsidRPr="00C17D94">
              <w:rPr>
                <w:rFonts w:ascii="メイリオ" w:eastAsia="メイリオ" w:hAnsi="メイリオ" w:hint="eastAsia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0F77D557" w14:textId="77777777" w:rsidR="00C17D94" w:rsidRDefault="00E04456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C17D94">
              <w:rPr>
                <w:rFonts w:ascii="メイリオ" w:eastAsia="メイリオ" w:hAnsi="メイリオ" w:hint="eastAsia"/>
                <w:sz w:val="22"/>
                <w:szCs w:val="24"/>
              </w:rPr>
              <w:t>令和５年</w:t>
            </w:r>
          </w:p>
          <w:p w14:paraId="3851E887" w14:textId="2F94746C" w:rsidR="00E04456" w:rsidRPr="00C17D94" w:rsidRDefault="006A0B0F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９月中</w:t>
            </w:r>
            <w:r w:rsidR="00E04456" w:rsidRPr="00C17D94">
              <w:rPr>
                <w:rFonts w:ascii="メイリオ" w:eastAsia="メイリオ" w:hAnsi="メイリオ" w:hint="eastAsia"/>
                <w:sz w:val="22"/>
                <w:szCs w:val="24"/>
              </w:rPr>
              <w:t>旬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頃</w:t>
            </w:r>
          </w:p>
        </w:tc>
        <w:tc>
          <w:tcPr>
            <w:tcW w:w="2693" w:type="dxa"/>
            <w:vAlign w:val="center"/>
          </w:tcPr>
          <w:p w14:paraId="395262E1" w14:textId="1A2EF25B" w:rsidR="00E04456" w:rsidRPr="00C17D94" w:rsidRDefault="006A0B0F" w:rsidP="006A0B0F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個別機能の合意</w:t>
            </w:r>
          </w:p>
        </w:tc>
        <w:tc>
          <w:tcPr>
            <w:tcW w:w="9497" w:type="dxa"/>
          </w:tcPr>
          <w:p w14:paraId="288ECEDF" w14:textId="02079F3A" w:rsidR="009E68D7" w:rsidRPr="001362AA" w:rsidRDefault="009E68D7" w:rsidP="00985C70">
            <w:pPr>
              <w:snapToGrid w:val="0"/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 xml:space="preserve">〇　</w:t>
            </w:r>
            <w:r w:rsidRPr="009E68D7"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>物流効率化</w:t>
            </w:r>
            <w:r w:rsidR="00985C70" w:rsidRPr="00985C70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　　</w:t>
            </w:r>
            <w:r w:rsidR="00985C70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 w:rsidRPr="009E68D7">
              <w:rPr>
                <w:rFonts w:ascii="メイリオ" w:eastAsia="メイリオ" w:hAnsi="メイリオ" w:hint="eastAsia"/>
                <w:sz w:val="22"/>
                <w:szCs w:val="24"/>
              </w:rPr>
              <w:t>・諸室計画</w:t>
            </w:r>
            <w:r w:rsidR="00FC2850" w:rsidRPr="001362AA">
              <w:rPr>
                <w:rFonts w:ascii="メイリオ" w:eastAsia="メイリオ" w:hAnsi="メイリオ" w:hint="eastAsia"/>
                <w:sz w:val="22"/>
                <w:szCs w:val="24"/>
              </w:rPr>
              <w:t>（機能配置の</w:t>
            </w:r>
            <w:r w:rsidR="00795ACE" w:rsidRPr="001362AA">
              <w:rPr>
                <w:rFonts w:ascii="メイリオ" w:eastAsia="メイリオ" w:hAnsi="メイリオ" w:hint="eastAsia"/>
                <w:sz w:val="22"/>
                <w:szCs w:val="24"/>
              </w:rPr>
              <w:t>詳細</w:t>
            </w:r>
            <w:r w:rsidR="00FC2850" w:rsidRPr="001362AA">
              <w:rPr>
                <w:rFonts w:ascii="メイリオ" w:eastAsia="メイリオ" w:hAnsi="メイリオ" w:hint="eastAsia"/>
                <w:sz w:val="22"/>
                <w:szCs w:val="24"/>
              </w:rPr>
              <w:t>検討）</w:t>
            </w:r>
          </w:p>
          <w:p w14:paraId="18A3EF78" w14:textId="6C29A3C8" w:rsidR="009E68D7" w:rsidRPr="001362AA" w:rsidRDefault="009E68D7" w:rsidP="00985C70">
            <w:pPr>
              <w:snapToGrid w:val="0"/>
              <w:spacing w:line="320" w:lineRule="exact"/>
              <w:ind w:firstLineChars="1100" w:firstLine="2420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 w:rsidRPr="001362AA">
              <w:rPr>
                <w:rFonts w:ascii="メイリオ" w:eastAsia="メイリオ" w:hAnsi="メイリオ" w:hint="eastAsia"/>
                <w:sz w:val="22"/>
                <w:szCs w:val="24"/>
              </w:rPr>
              <w:t>・待機、荷捌き</w:t>
            </w:r>
            <w:r w:rsidR="00FC2850" w:rsidRPr="001362AA">
              <w:rPr>
                <w:rFonts w:ascii="メイリオ" w:eastAsia="メイリオ" w:hAnsi="メイリオ" w:hint="eastAsia"/>
                <w:sz w:val="22"/>
                <w:szCs w:val="24"/>
              </w:rPr>
              <w:t>スペース</w:t>
            </w:r>
            <w:r w:rsidRPr="001362AA">
              <w:rPr>
                <w:rFonts w:ascii="メイリオ" w:eastAsia="メイリオ" w:hAnsi="メイリオ" w:hint="eastAsia"/>
                <w:sz w:val="22"/>
                <w:szCs w:val="24"/>
              </w:rPr>
              <w:t>計画</w:t>
            </w:r>
          </w:p>
          <w:p w14:paraId="125B049A" w14:textId="306E75A4" w:rsidR="009E68D7" w:rsidRPr="001362AA" w:rsidRDefault="009E68D7" w:rsidP="00985C70">
            <w:pPr>
              <w:snapToGrid w:val="0"/>
              <w:spacing w:line="320" w:lineRule="exact"/>
              <w:ind w:firstLineChars="1100" w:firstLine="2420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 w:rsidRPr="001362AA">
              <w:rPr>
                <w:rFonts w:ascii="メイリオ" w:eastAsia="メイリオ" w:hAnsi="メイリオ" w:hint="eastAsia"/>
                <w:sz w:val="22"/>
                <w:szCs w:val="24"/>
              </w:rPr>
              <w:t>・搬出バース計画</w:t>
            </w:r>
          </w:p>
          <w:p w14:paraId="67FE522D" w14:textId="1FDE3714" w:rsidR="009E68D7" w:rsidRDefault="009E68D7" w:rsidP="00985C70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1362AA"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>〇　使用料、負担区分</w:t>
            </w:r>
            <w:r w:rsidR="00985C70" w:rsidRPr="001362AA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 w:rsidRPr="001362AA">
              <w:rPr>
                <w:rFonts w:ascii="メイリオ" w:eastAsia="メイリオ" w:hAnsi="メイリオ" w:hint="eastAsia"/>
                <w:sz w:val="22"/>
                <w:szCs w:val="24"/>
              </w:rPr>
              <w:t>・整備手法</w:t>
            </w:r>
            <w:r w:rsidR="00FC2850" w:rsidRPr="001362AA">
              <w:rPr>
                <w:rFonts w:ascii="メイリオ" w:eastAsia="メイリオ" w:hAnsi="メイリオ" w:hint="eastAsia"/>
                <w:sz w:val="22"/>
                <w:szCs w:val="24"/>
              </w:rPr>
              <w:t>の</w:t>
            </w:r>
            <w:r w:rsidRPr="001362AA">
              <w:rPr>
                <w:rFonts w:ascii="メイリオ" w:eastAsia="メイリオ" w:hAnsi="メイリオ" w:hint="eastAsia"/>
                <w:sz w:val="22"/>
                <w:szCs w:val="24"/>
              </w:rPr>
              <w:t>比較</w:t>
            </w:r>
            <w:r w:rsidR="00FC2850" w:rsidRPr="001362AA">
              <w:rPr>
                <w:rFonts w:ascii="メイリオ" w:eastAsia="メイリオ" w:hAnsi="メイリオ" w:hint="eastAsia"/>
                <w:sz w:val="22"/>
                <w:szCs w:val="24"/>
              </w:rPr>
              <w:t>、整備補助制度の整理</w:t>
            </w:r>
            <w:r w:rsidR="00BA5D90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  <w:p w14:paraId="28A8116E" w14:textId="7AFA4A6B" w:rsidR="009E68D7" w:rsidRPr="009E68D7" w:rsidRDefault="009E68D7" w:rsidP="00985C70">
            <w:pPr>
              <w:snapToGrid w:val="0"/>
              <w:spacing w:line="320" w:lineRule="exact"/>
              <w:ind w:firstLineChars="1100" w:firstLine="242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・費用負担区分の確認</w:t>
            </w:r>
          </w:p>
        </w:tc>
      </w:tr>
      <w:tr w:rsidR="00BA5D90" w:rsidRPr="00C17D94" w14:paraId="4E8F0B5B" w14:textId="77777777" w:rsidTr="001362AA">
        <w:trPr>
          <w:trHeight w:val="1703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14:paraId="4579A739" w14:textId="46A77319" w:rsidR="00BA5D90" w:rsidRPr="00C17D94" w:rsidRDefault="00BA5D90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第９</w:t>
            </w:r>
            <w:r w:rsidRPr="00C17D94">
              <w:rPr>
                <w:rFonts w:ascii="メイリオ" w:eastAsia="メイリオ" w:hAnsi="メイリオ" w:hint="eastAsia"/>
                <w:sz w:val="22"/>
                <w:szCs w:val="24"/>
              </w:rPr>
              <w:t>回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5052C055" w14:textId="77777777" w:rsidR="00BA5D90" w:rsidRDefault="00BA5D90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C17D94">
              <w:rPr>
                <w:rFonts w:ascii="メイリオ" w:eastAsia="メイリオ" w:hAnsi="メイリオ" w:hint="eastAsia"/>
                <w:sz w:val="22"/>
                <w:szCs w:val="24"/>
              </w:rPr>
              <w:t>令和５年</w:t>
            </w:r>
          </w:p>
          <w:p w14:paraId="6711164A" w14:textId="3B39A1AB" w:rsidR="00BA5D90" w:rsidRPr="00C17D94" w:rsidRDefault="00BA5D90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１１月中</w:t>
            </w:r>
            <w:r w:rsidRPr="00C17D94">
              <w:rPr>
                <w:rFonts w:ascii="メイリオ" w:eastAsia="メイリオ" w:hAnsi="メイリオ" w:hint="eastAsia"/>
                <w:sz w:val="22"/>
                <w:szCs w:val="24"/>
              </w:rPr>
              <w:t>旬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1590F3E5" w14:textId="459CDFFC" w:rsidR="00BA5D90" w:rsidRPr="00C17D94" w:rsidRDefault="00BA5D90" w:rsidP="009E68D7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施設運営手法の方針整理</w:t>
            </w:r>
          </w:p>
        </w:tc>
        <w:tc>
          <w:tcPr>
            <w:tcW w:w="9497" w:type="dxa"/>
            <w:tcBorders>
              <w:bottom w:val="dashSmallGap" w:sz="4" w:space="0" w:color="auto"/>
            </w:tcBorders>
          </w:tcPr>
          <w:p w14:paraId="62775E1B" w14:textId="0C61EED4" w:rsidR="00BA5D90" w:rsidRPr="001362AA" w:rsidRDefault="00BA5D90" w:rsidP="00D33605">
            <w:pPr>
              <w:snapToGrid w:val="0"/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 w:rsidRPr="009E68D7"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>〇　場内機能の強化</w:t>
            </w:r>
            <w:r w:rsidRPr="00985C70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 w:rsidR="00FC2850" w:rsidRPr="00FC2850">
              <w:rPr>
                <w:rFonts w:ascii="メイリオ" w:eastAsia="メイリオ" w:hAnsi="メイリオ" w:hint="eastAsia"/>
                <w:sz w:val="22"/>
                <w:szCs w:val="24"/>
              </w:rPr>
              <w:t>・場内作業省力化</w:t>
            </w:r>
            <w:r w:rsidR="00FC2850" w:rsidRPr="004B49D4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・</w:t>
            </w:r>
            <w:r w:rsidR="00FC2850" w:rsidRPr="001362AA">
              <w:rPr>
                <w:rFonts w:ascii="メイリオ" w:eastAsia="メイリオ" w:hAnsi="メイリオ" w:hint="eastAsia"/>
                <w:sz w:val="22"/>
                <w:szCs w:val="24"/>
              </w:rPr>
              <w:t>デジタル技術活用</w:t>
            </w:r>
          </w:p>
          <w:p w14:paraId="68BEB551" w14:textId="5CBCEE85" w:rsidR="00BA5D90" w:rsidRPr="001362AA" w:rsidRDefault="00BA5D90" w:rsidP="00D33605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1362AA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　　　　　　・場内作業スペースの効率化</w:t>
            </w:r>
            <w:r w:rsidR="004B49D4" w:rsidRPr="001362AA">
              <w:rPr>
                <w:rFonts w:ascii="メイリオ" w:eastAsia="メイリオ" w:hAnsi="メイリオ" w:hint="eastAsia"/>
                <w:sz w:val="22"/>
                <w:szCs w:val="24"/>
              </w:rPr>
              <w:t>（共同加工、配送など）</w:t>
            </w:r>
          </w:p>
          <w:p w14:paraId="74E6A9CE" w14:textId="75C15B54" w:rsidR="00BA5D90" w:rsidRPr="001362AA" w:rsidRDefault="00BA5D90" w:rsidP="00D33605">
            <w:pPr>
              <w:snapToGrid w:val="0"/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 w:rsidRPr="001362AA"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>〇　社会課題への対応</w:t>
            </w:r>
            <w:r w:rsidRPr="001362AA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 w:rsidRPr="001362AA">
              <w:rPr>
                <w:rFonts w:ascii="メイリオ" w:eastAsia="メイリオ" w:hAnsi="メイリオ" w:hint="eastAsia"/>
                <w:sz w:val="22"/>
                <w:szCs w:val="24"/>
              </w:rPr>
              <w:t>・環境対応</w:t>
            </w:r>
            <w:r w:rsidR="004B49D4" w:rsidRPr="001362AA">
              <w:rPr>
                <w:rFonts w:ascii="メイリオ" w:eastAsia="メイリオ" w:hAnsi="メイリオ" w:hint="eastAsia"/>
                <w:sz w:val="22"/>
                <w:szCs w:val="24"/>
              </w:rPr>
              <w:t>（ＥＶトラック対応、電動化など）</w:t>
            </w:r>
          </w:p>
          <w:p w14:paraId="5641E50D" w14:textId="29606DA4" w:rsidR="00BA5D90" w:rsidRPr="001362AA" w:rsidRDefault="00BA5D90" w:rsidP="00985C70">
            <w:pPr>
              <w:snapToGrid w:val="0"/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  <w:r w:rsidRPr="001362AA">
              <w:rPr>
                <w:rFonts w:ascii="メイリオ" w:eastAsia="メイリオ" w:hAnsi="メイリオ" w:hint="eastAsia"/>
                <w:b/>
                <w:sz w:val="22"/>
                <w:szCs w:val="24"/>
                <w:u w:val="single"/>
              </w:rPr>
              <w:t>〇　使用料、負担区分</w:t>
            </w:r>
            <w:r w:rsidRPr="001362AA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 w:rsidR="001362AA">
              <w:rPr>
                <w:rFonts w:ascii="メイリオ" w:eastAsia="メイリオ" w:hAnsi="メイリオ" w:hint="eastAsia"/>
                <w:sz w:val="22"/>
                <w:szCs w:val="24"/>
              </w:rPr>
              <w:t>・整備手法比較</w:t>
            </w:r>
          </w:p>
          <w:p w14:paraId="74E957F4" w14:textId="38FD141E" w:rsidR="00BA5D90" w:rsidRPr="009E68D7" w:rsidRDefault="00BA5D90" w:rsidP="00985C70">
            <w:pPr>
              <w:snapToGrid w:val="0"/>
              <w:spacing w:line="320" w:lineRule="exact"/>
              <w:ind w:firstLineChars="1100" w:firstLine="242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・費用負担区分の確認</w:t>
            </w:r>
          </w:p>
        </w:tc>
      </w:tr>
      <w:tr w:rsidR="001362AA" w:rsidRPr="00C17D94" w14:paraId="4A7126E6" w14:textId="77777777" w:rsidTr="001861BD">
        <w:trPr>
          <w:trHeight w:val="16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14:paraId="45BE5ED3" w14:textId="77777777" w:rsidR="001362AA" w:rsidRDefault="001362AA" w:rsidP="001362AA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33489F8B" w14:textId="77777777" w:rsidR="001362AA" w:rsidRPr="00C17D94" w:rsidRDefault="001362AA" w:rsidP="006F790D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14:paraId="041D57A4" w14:textId="77777777" w:rsidR="001362AA" w:rsidRDefault="001362AA" w:rsidP="009E68D7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497" w:type="dxa"/>
            <w:tcBorders>
              <w:top w:val="dashSmallGap" w:sz="4" w:space="0" w:color="auto"/>
            </w:tcBorders>
          </w:tcPr>
          <w:p w14:paraId="274E5C16" w14:textId="0F670CAD" w:rsidR="001362AA" w:rsidRDefault="001362AA" w:rsidP="00D24D96">
            <w:pPr>
              <w:snapToGrid w:val="0"/>
              <w:spacing w:line="320" w:lineRule="exact"/>
              <w:ind w:right="1280"/>
              <w:rPr>
                <w:rFonts w:ascii="メイリオ" w:eastAsia="メイリオ" w:hAnsi="メイリオ"/>
                <w:b/>
                <w:sz w:val="32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noProof/>
                <w:color w:val="FF0000"/>
                <w:sz w:val="32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9F7FF1" wp14:editId="472C67BB">
                      <wp:simplePos x="0" y="0"/>
                      <wp:positionH relativeFrom="column">
                        <wp:posOffset>-2901950</wp:posOffset>
                      </wp:positionH>
                      <wp:positionV relativeFrom="paragraph">
                        <wp:posOffset>186055</wp:posOffset>
                      </wp:positionV>
                      <wp:extent cx="8724900" cy="7239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49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8A78B" w14:textId="7CC9DBC5" w:rsidR="001362AA" w:rsidRPr="001362AA" w:rsidRDefault="001362AA" w:rsidP="001362AA">
                                  <w:pPr>
                                    <w:spacing w:line="34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360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◆</w:t>
                                  </w:r>
                                  <w:r w:rsidRPr="001362A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年内</w:t>
                                  </w:r>
                                  <w:r w:rsidRPr="001362AA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に</w:t>
                                  </w:r>
                                  <w:r w:rsidRPr="001362A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再整備</w:t>
                                  </w:r>
                                  <w:r w:rsidRPr="001362AA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基本計画（素案）</w:t>
                                  </w:r>
                                  <w:r w:rsidRPr="001362A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を</w:t>
                                  </w:r>
                                  <w:r w:rsidRPr="001362AA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作成</w:t>
                                  </w:r>
                                  <w:r w:rsidRPr="001362A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し、庁内調整等を</w:t>
                                  </w:r>
                                  <w:r w:rsidRPr="001362AA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行いながら</w:t>
                                  </w:r>
                                  <w:r w:rsidRPr="001362AA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年度内</w:t>
                                  </w:r>
                                  <w:r w:rsidRPr="001362A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に</w:t>
                                  </w:r>
                                  <w:r w:rsidRPr="001362AA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成案</w:t>
                                  </w:r>
                                  <w:r w:rsidRPr="001362A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化</w:t>
                                  </w:r>
                                  <w:r w:rsidRPr="001362AA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を図る</w:t>
                                  </w:r>
                                  <w:r w:rsidRPr="001362A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FF1" id="正方形/長方形 3" o:spid="_x0000_s1029" style="position:absolute;left:0;text-align:left;margin-left:-228.5pt;margin-top:14.65pt;width:687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" fillcolor="#ff9" strokecolor="red" strokeweight="1.75pt">
                      <v:stroke dashstyle="1 1"/>
                      <v:textbox>
                        <w:txbxContent>
                          <w:p w14:paraId="56F8A78B" w14:textId="7CC9DBC5" w:rsidR="001362AA" w:rsidRPr="001362AA" w:rsidRDefault="001362AA" w:rsidP="001362AA">
                            <w:pPr>
                              <w:spacing w:line="34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3636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1362A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年内</w:t>
                            </w:r>
                            <w:r w:rsidRPr="001362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Pr="001362A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再整備</w:t>
                            </w:r>
                            <w:r w:rsidRPr="001362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基本計画（素案）</w:t>
                            </w:r>
                            <w:r w:rsidRPr="001362A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 w:rsidRPr="001362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作成</w:t>
                            </w:r>
                            <w:r w:rsidRPr="001362A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し、庁内調整等を</w:t>
                            </w:r>
                            <w:r w:rsidRPr="001362A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行いながら</w:t>
                            </w:r>
                            <w:r w:rsidRPr="001362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年度内</w:t>
                            </w:r>
                            <w:r w:rsidRPr="001362A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Pr="001362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成案</w:t>
                            </w:r>
                            <w:r w:rsidRPr="001362A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化</w:t>
                            </w:r>
                            <w:r w:rsidRPr="001362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を図る</w:t>
                            </w:r>
                            <w:r w:rsidRPr="001362A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68772D" w14:textId="59E03648" w:rsidR="001362AA" w:rsidRPr="00D24D96" w:rsidRDefault="001362AA" w:rsidP="0036360B">
            <w:pPr>
              <w:snapToGrid w:val="0"/>
              <w:spacing w:line="320" w:lineRule="exact"/>
              <w:ind w:right="1280"/>
              <w:rPr>
                <w:rFonts w:ascii="メイリオ" w:eastAsia="メイリオ" w:hAnsi="メイリオ"/>
                <w:b/>
                <w:color w:val="FF0000"/>
                <w:sz w:val="32"/>
                <w:szCs w:val="24"/>
                <w:u w:val="single"/>
              </w:rPr>
            </w:pPr>
          </w:p>
          <w:p w14:paraId="1375402D" w14:textId="77777777" w:rsidR="001362AA" w:rsidRPr="0036360B" w:rsidRDefault="001362AA" w:rsidP="00D24D96">
            <w:pPr>
              <w:snapToGrid w:val="0"/>
              <w:spacing w:line="320" w:lineRule="exact"/>
              <w:ind w:right="320"/>
              <w:jc w:val="right"/>
              <w:rPr>
                <w:rFonts w:ascii="メイリオ" w:eastAsia="メイリオ" w:hAnsi="メイリオ"/>
                <w:b/>
                <w:color w:val="FF0000"/>
                <w:sz w:val="32"/>
                <w:szCs w:val="24"/>
                <w:u w:val="single"/>
              </w:rPr>
            </w:pPr>
          </w:p>
          <w:p w14:paraId="1C9E535C" w14:textId="098F44EC" w:rsidR="001362AA" w:rsidRPr="00D24D96" w:rsidRDefault="001362AA" w:rsidP="0036360B">
            <w:pPr>
              <w:wordWrap w:val="0"/>
              <w:snapToGrid w:val="0"/>
              <w:spacing w:line="320" w:lineRule="exact"/>
              <w:ind w:right="1280"/>
              <w:rPr>
                <w:rFonts w:ascii="メイリオ" w:eastAsia="メイリオ" w:hAnsi="メイリオ"/>
                <w:b/>
                <w:color w:val="FF0000"/>
                <w:sz w:val="32"/>
                <w:szCs w:val="24"/>
                <w:u w:val="single"/>
              </w:rPr>
            </w:pPr>
          </w:p>
          <w:p w14:paraId="74B7CE45" w14:textId="5A8788F7" w:rsidR="001362AA" w:rsidRPr="009E68D7" w:rsidRDefault="001362AA" w:rsidP="00D24D96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b/>
                <w:sz w:val="22"/>
                <w:szCs w:val="24"/>
                <w:u w:val="single"/>
              </w:rPr>
            </w:pPr>
          </w:p>
        </w:tc>
      </w:tr>
    </w:tbl>
    <w:p w14:paraId="2003C2D4" w14:textId="0EB9DC4F" w:rsidR="0036360B" w:rsidRPr="0036360B" w:rsidRDefault="0036360B" w:rsidP="00D33605">
      <w:pPr>
        <w:snapToGrid w:val="0"/>
        <w:spacing w:line="300" w:lineRule="exact"/>
        <w:jc w:val="left"/>
        <w:rPr>
          <w:rFonts w:ascii="メイリオ" w:eastAsia="メイリオ" w:hAnsi="メイリオ"/>
          <w:bCs/>
          <w:sz w:val="22"/>
          <w:szCs w:val="24"/>
        </w:rPr>
      </w:pPr>
      <w:r>
        <w:rPr>
          <w:rFonts w:ascii="メイリオ" w:eastAsia="メイリオ" w:hAnsi="メイリオ" w:hint="eastAsia"/>
          <w:bCs/>
          <w:sz w:val="22"/>
          <w:szCs w:val="24"/>
        </w:rPr>
        <w:t>※上記</w:t>
      </w:r>
      <w:r w:rsidR="00D81EEC">
        <w:rPr>
          <w:rFonts w:ascii="メイリオ" w:eastAsia="メイリオ" w:hAnsi="メイリオ" w:hint="eastAsia"/>
          <w:bCs/>
          <w:sz w:val="22"/>
          <w:szCs w:val="24"/>
        </w:rPr>
        <w:t>分科会の開催頻度</w:t>
      </w:r>
      <w:r w:rsidR="00D33605" w:rsidRPr="00D33605">
        <w:rPr>
          <w:rFonts w:ascii="メイリオ" w:eastAsia="メイリオ" w:hAnsi="メイリオ" w:hint="eastAsia"/>
          <w:bCs/>
          <w:sz w:val="22"/>
          <w:szCs w:val="24"/>
        </w:rPr>
        <w:t>は、あくまでも予定であり、場内協議の状況を踏まえ</w:t>
      </w:r>
      <w:r w:rsidR="00D81EEC">
        <w:rPr>
          <w:rFonts w:ascii="メイリオ" w:eastAsia="メイリオ" w:hAnsi="メイリオ" w:hint="eastAsia"/>
          <w:bCs/>
          <w:sz w:val="22"/>
          <w:szCs w:val="24"/>
        </w:rPr>
        <w:t>適宜変更する</w:t>
      </w:r>
      <w:r w:rsidR="00D33605" w:rsidRPr="00D33605">
        <w:rPr>
          <w:rFonts w:ascii="メイリオ" w:eastAsia="メイリオ" w:hAnsi="メイリオ" w:hint="eastAsia"/>
          <w:bCs/>
          <w:sz w:val="22"/>
          <w:szCs w:val="24"/>
        </w:rPr>
        <w:t>。</w:t>
      </w:r>
    </w:p>
    <w:p w14:paraId="2898466E" w14:textId="1FB60854" w:rsidR="00D33605" w:rsidRPr="00C17D94" w:rsidRDefault="00D81EEC" w:rsidP="00D81EEC">
      <w:pPr>
        <w:snapToGrid w:val="0"/>
        <w:spacing w:line="300" w:lineRule="exact"/>
        <w:ind w:leftChars="100" w:left="210"/>
        <w:jc w:val="left"/>
        <w:rPr>
          <w:rFonts w:ascii="メイリオ" w:eastAsia="メイリオ" w:hAnsi="メイリオ"/>
          <w:b/>
          <w:bCs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sz w:val="22"/>
          <w:szCs w:val="24"/>
          <w:u w:val="single"/>
        </w:rPr>
        <w:t>また、</w:t>
      </w:r>
      <w:r w:rsidR="00D33605" w:rsidRPr="00D33605">
        <w:rPr>
          <w:rFonts w:ascii="メイリオ" w:eastAsia="メイリオ" w:hAnsi="メイリオ" w:hint="eastAsia"/>
          <w:b/>
          <w:bCs/>
          <w:sz w:val="22"/>
          <w:szCs w:val="24"/>
          <w:u w:val="single"/>
        </w:rPr>
        <w:t>再整備検討会議については、第４回目（令和５年９月下旬頃）、第５回目（</w:t>
      </w:r>
      <w:r w:rsidR="00D33605">
        <w:rPr>
          <w:rFonts w:ascii="メイリオ" w:eastAsia="メイリオ" w:hAnsi="メイリオ" w:hint="eastAsia"/>
          <w:b/>
          <w:bCs/>
          <w:sz w:val="22"/>
          <w:szCs w:val="24"/>
          <w:u w:val="single"/>
        </w:rPr>
        <w:t>１１</w:t>
      </w:r>
      <w:r w:rsidR="00D33605" w:rsidRPr="00D33605">
        <w:rPr>
          <w:rFonts w:ascii="メイリオ" w:eastAsia="メイリオ" w:hAnsi="メイリオ" w:hint="eastAsia"/>
          <w:b/>
          <w:bCs/>
          <w:sz w:val="22"/>
          <w:szCs w:val="24"/>
          <w:u w:val="single"/>
        </w:rPr>
        <w:t>月</w:t>
      </w:r>
      <w:r w:rsidR="00D33605">
        <w:rPr>
          <w:rFonts w:ascii="メイリオ" w:eastAsia="メイリオ" w:hAnsi="メイリオ" w:hint="eastAsia"/>
          <w:b/>
          <w:bCs/>
          <w:sz w:val="22"/>
          <w:szCs w:val="24"/>
          <w:u w:val="single"/>
        </w:rPr>
        <w:t>下</w:t>
      </w:r>
      <w:r w:rsidR="00D33605" w:rsidRPr="00D33605">
        <w:rPr>
          <w:rFonts w:ascii="メイリオ" w:eastAsia="メイリオ" w:hAnsi="メイリオ" w:hint="eastAsia"/>
          <w:b/>
          <w:bCs/>
          <w:sz w:val="22"/>
          <w:szCs w:val="24"/>
          <w:u w:val="single"/>
        </w:rPr>
        <w:t>旬頃）に開催する予定</w:t>
      </w:r>
      <w:r>
        <w:rPr>
          <w:rFonts w:ascii="メイリオ" w:eastAsia="メイリオ" w:hAnsi="メイリオ" w:hint="eastAsia"/>
          <w:b/>
          <w:bCs/>
          <w:sz w:val="22"/>
          <w:szCs w:val="24"/>
        </w:rPr>
        <w:t>であるが、実施時期や開催頻度については、場内協議の状況を踏まえ変更することがある。</w:t>
      </w:r>
    </w:p>
    <w:sectPr w:rsidR="00D33605" w:rsidRPr="00C17D94" w:rsidSect="009E6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077" w:bottom="1134" w:left="1077" w:header="680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E418" w14:textId="77777777" w:rsidR="00DE0B62" w:rsidRDefault="00DE0B62" w:rsidP="00AA75D0">
      <w:r>
        <w:separator/>
      </w:r>
    </w:p>
  </w:endnote>
  <w:endnote w:type="continuationSeparator" w:id="0">
    <w:p w14:paraId="12C39AE4" w14:textId="77777777" w:rsidR="00DE0B62" w:rsidRDefault="00DE0B62" w:rsidP="00AA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D1C2" w14:textId="77777777" w:rsidR="00E74FD1" w:rsidRDefault="00E74F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A1D3" w14:textId="77777777" w:rsidR="00E74FD1" w:rsidRDefault="00E74F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25361" w14:textId="77777777" w:rsidR="00E74FD1" w:rsidRDefault="00E74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3FBAA" w14:textId="77777777" w:rsidR="00DE0B62" w:rsidRDefault="00DE0B62" w:rsidP="00AA75D0">
      <w:r>
        <w:separator/>
      </w:r>
    </w:p>
  </w:footnote>
  <w:footnote w:type="continuationSeparator" w:id="0">
    <w:p w14:paraId="416B1868" w14:textId="77777777" w:rsidR="00DE0B62" w:rsidRDefault="00DE0B62" w:rsidP="00AA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5F582" w14:textId="77777777" w:rsidR="00E74FD1" w:rsidRDefault="00E74F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D84B" w14:textId="06A2465F" w:rsidR="00AA75D0" w:rsidRPr="006404E3" w:rsidRDefault="00AA75D0" w:rsidP="00AA75D0">
    <w:pPr>
      <w:pStyle w:val="a6"/>
      <w:jc w:val="right"/>
      <w:rPr>
        <w:rFonts w:ascii="メイリオ" w:eastAsia="メイリオ" w:hAnsi="メイリオ"/>
        <w:b/>
        <w:bCs/>
        <w:sz w:val="22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7CB35" w14:textId="77777777" w:rsidR="00E74FD1" w:rsidRDefault="00E74F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B18"/>
    <w:multiLevelType w:val="hybridMultilevel"/>
    <w:tmpl w:val="DE0AE88E"/>
    <w:lvl w:ilvl="0" w:tplc="10A84538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B0FFD"/>
    <w:multiLevelType w:val="hybridMultilevel"/>
    <w:tmpl w:val="0FE8879E"/>
    <w:lvl w:ilvl="0" w:tplc="27B0F15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84D6E"/>
    <w:multiLevelType w:val="hybridMultilevel"/>
    <w:tmpl w:val="5D643706"/>
    <w:lvl w:ilvl="0" w:tplc="A11298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5151A6"/>
    <w:multiLevelType w:val="hybridMultilevel"/>
    <w:tmpl w:val="0FE8879E"/>
    <w:lvl w:ilvl="0" w:tplc="27B0F15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06E60"/>
    <w:multiLevelType w:val="hybridMultilevel"/>
    <w:tmpl w:val="7054C89C"/>
    <w:lvl w:ilvl="0" w:tplc="E11EF81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4A567A"/>
    <w:multiLevelType w:val="hybridMultilevel"/>
    <w:tmpl w:val="B1A48B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45"/>
    <w:rsid w:val="00056C6E"/>
    <w:rsid w:val="00061BBF"/>
    <w:rsid w:val="00101562"/>
    <w:rsid w:val="001362AA"/>
    <w:rsid w:val="002414A2"/>
    <w:rsid w:val="002A7780"/>
    <w:rsid w:val="002C307B"/>
    <w:rsid w:val="003268FB"/>
    <w:rsid w:val="0036360B"/>
    <w:rsid w:val="00380508"/>
    <w:rsid w:val="003C672A"/>
    <w:rsid w:val="003E7651"/>
    <w:rsid w:val="004B49D4"/>
    <w:rsid w:val="00583BFE"/>
    <w:rsid w:val="005938B8"/>
    <w:rsid w:val="005C61EF"/>
    <w:rsid w:val="005E2EBB"/>
    <w:rsid w:val="006404E3"/>
    <w:rsid w:val="00641AC8"/>
    <w:rsid w:val="006A0B0F"/>
    <w:rsid w:val="006F790D"/>
    <w:rsid w:val="00795ACE"/>
    <w:rsid w:val="007D46AB"/>
    <w:rsid w:val="008454AB"/>
    <w:rsid w:val="008943D9"/>
    <w:rsid w:val="008C0A1C"/>
    <w:rsid w:val="00966056"/>
    <w:rsid w:val="00985C70"/>
    <w:rsid w:val="009C6C6D"/>
    <w:rsid w:val="009E68D7"/>
    <w:rsid w:val="00A04CEB"/>
    <w:rsid w:val="00AA75D0"/>
    <w:rsid w:val="00B40DD8"/>
    <w:rsid w:val="00B62C31"/>
    <w:rsid w:val="00BA5D90"/>
    <w:rsid w:val="00BE4DA3"/>
    <w:rsid w:val="00C17D94"/>
    <w:rsid w:val="00D24D96"/>
    <w:rsid w:val="00D33605"/>
    <w:rsid w:val="00D35E6D"/>
    <w:rsid w:val="00D37EC9"/>
    <w:rsid w:val="00D81EEC"/>
    <w:rsid w:val="00DA6D52"/>
    <w:rsid w:val="00DE0B62"/>
    <w:rsid w:val="00E04456"/>
    <w:rsid w:val="00E74FD1"/>
    <w:rsid w:val="00FC2850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DCA895"/>
  <w15:chartTrackingRefBased/>
  <w15:docId w15:val="{4F2861A4-06B7-4BFB-8173-3BCC6CBC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45"/>
    <w:pPr>
      <w:ind w:leftChars="400" w:left="840"/>
    </w:pPr>
  </w:style>
  <w:style w:type="paragraph" w:styleId="a4">
    <w:name w:val="caption"/>
    <w:aliases w:val="図番号,図表番号 Char,図番号 Char"/>
    <w:basedOn w:val="a"/>
    <w:next w:val="a"/>
    <w:link w:val="a5"/>
    <w:uiPriority w:val="99"/>
    <w:qFormat/>
    <w:rsid w:val="00FE6145"/>
    <w:pPr>
      <w:overflowPunct w:val="0"/>
      <w:adjustRightInd w:val="0"/>
      <w:textAlignment w:val="baseline"/>
    </w:pPr>
    <w:rPr>
      <w:rFonts w:ascii="ＭＳ 明朝" w:eastAsia="ＭＳ Ｐ明朝" w:hAnsi="Times New Roman" w:cs="Times New Roman"/>
      <w:b/>
      <w:bCs/>
      <w:color w:val="000000"/>
      <w:kern w:val="0"/>
      <w:szCs w:val="21"/>
    </w:rPr>
  </w:style>
  <w:style w:type="character" w:customStyle="1" w:styleId="a5">
    <w:name w:val="図表番号 (文字)"/>
    <w:aliases w:val="図番号 (文字),図表番号 Char (文字),図番号 Char (文字)"/>
    <w:link w:val="a4"/>
    <w:uiPriority w:val="99"/>
    <w:locked/>
    <w:rsid w:val="00FE6145"/>
    <w:rPr>
      <w:rFonts w:ascii="ＭＳ 明朝" w:eastAsia="ＭＳ Ｐ明朝" w:hAnsi="Times New Roman" w:cs="Times New Roman"/>
      <w:b/>
      <w:bCs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A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5D0"/>
  </w:style>
  <w:style w:type="paragraph" w:styleId="a8">
    <w:name w:val="footer"/>
    <w:basedOn w:val="a"/>
    <w:link w:val="a9"/>
    <w:uiPriority w:val="99"/>
    <w:unhideWhenUsed/>
    <w:rsid w:val="00AA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5D0"/>
  </w:style>
  <w:style w:type="table" w:styleId="aa">
    <w:name w:val="Table Grid"/>
    <w:basedOn w:val="a1"/>
    <w:uiPriority w:val="39"/>
    <w:rsid w:val="00AA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3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3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6A2D-7680-4504-9D71-F543DFDA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Kiyotani Kohei(清谷 康平)</dc:creator>
  <cp:keywords/>
  <dc:description/>
  <cp:lastModifiedBy>大渕　勝晴</cp:lastModifiedBy>
  <cp:revision>4</cp:revision>
  <cp:lastPrinted>2023-07-18T08:05:00Z</cp:lastPrinted>
  <dcterms:created xsi:type="dcterms:W3CDTF">2023-06-12T06:00:00Z</dcterms:created>
  <dcterms:modified xsi:type="dcterms:W3CDTF">2023-07-18T08:09:00Z</dcterms:modified>
</cp:coreProperties>
</file>