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79" w:rsidRDefault="00AD7779" w:rsidP="00AD7779">
      <w:pPr>
        <w:widowControl/>
        <w:spacing w:line="240" w:lineRule="atLeast"/>
        <w:jc w:val="center"/>
        <w:rPr>
          <w:rFonts w:ascii="ＭＳ 明朝" w:eastAsia="ＭＳ 明朝" w:hAnsi="ＭＳ 明朝" w:cs="Times New Roman"/>
          <w:b/>
          <w:sz w:val="24"/>
          <w:szCs w:val="24"/>
        </w:rPr>
      </w:pPr>
      <w:r w:rsidRPr="00AD7779">
        <w:rPr>
          <w:rFonts w:ascii="ＭＳ 明朝" w:eastAsia="ＭＳ 明朝" w:hAnsi="ＭＳ 明朝" w:cs="Times New Roman" w:hint="eastAsia"/>
          <w:b/>
          <w:sz w:val="24"/>
          <w:szCs w:val="24"/>
        </w:rPr>
        <w:t>大阪府中央卸売市場再整備検討会議設置要綱</w:t>
      </w:r>
    </w:p>
    <w:p w:rsidR="00AD7779" w:rsidRDefault="00AD7779" w:rsidP="00AD7779">
      <w:pPr>
        <w:widowControl/>
        <w:spacing w:line="240" w:lineRule="atLeast"/>
        <w:jc w:val="center"/>
        <w:rPr>
          <w:rFonts w:ascii="ＭＳ 明朝" w:eastAsia="ＭＳ 明朝" w:hAnsi="ＭＳ 明朝" w:cs="Times New Roman"/>
          <w:szCs w:val="24"/>
        </w:rPr>
      </w:pPr>
    </w:p>
    <w:p w:rsidR="00AD7779" w:rsidRPr="00AD7779" w:rsidRDefault="00AD7779" w:rsidP="00AD7779">
      <w:pPr>
        <w:widowControl/>
        <w:spacing w:line="240" w:lineRule="atLeast"/>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（目的）</w:t>
      </w:r>
    </w:p>
    <w:p w:rsidR="00AD7779" w:rsidRPr="00AD7779" w:rsidRDefault="00AD7779" w:rsidP="00AD7779">
      <w:pPr>
        <w:widowControl/>
        <w:spacing w:line="240" w:lineRule="atLeast"/>
        <w:ind w:leftChars="100" w:left="420" w:hangingChars="100" w:hanging="210"/>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第１条　大阪府中央卸売市場（以下「府市場」という。）では、施設の老朽化や食品流通構造の変化等の市場を取り巻く環境変化への対応が迫られる中、府民に対し安全・安心な生鮮食料品を安定的に供給するため、ハード面を中心とした機能強化が喫緊の課題となっている。</w:t>
      </w:r>
    </w:p>
    <w:p w:rsidR="00AD7779" w:rsidRPr="00AD7779" w:rsidRDefault="00AD7779" w:rsidP="00AD7779">
      <w:pPr>
        <w:widowControl/>
        <w:spacing w:line="240" w:lineRule="atLeast"/>
        <w:ind w:leftChars="200" w:left="420" w:firstLineChars="100" w:firstLine="210"/>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このため、建替え再整備による市場機能の強化を図るための再整備基本計画を令和４年度から２ヵ年かけて策定することとし、場内事業者をはじめとする市場関係者や有識者、行政等（以下「関係者」という。）多方面の意見を収集、交換し、計画</w:t>
      </w:r>
      <w:r w:rsidR="003A6EC8">
        <w:rPr>
          <w:rFonts w:ascii="ＭＳ 明朝" w:eastAsia="ＭＳ 明朝" w:hAnsi="ＭＳ 明朝" w:cs="Times New Roman" w:hint="eastAsia"/>
          <w:szCs w:val="24"/>
        </w:rPr>
        <w:t>を</w:t>
      </w:r>
      <w:r w:rsidRPr="00AD7779">
        <w:rPr>
          <w:rFonts w:ascii="ＭＳ 明朝" w:eastAsia="ＭＳ 明朝" w:hAnsi="ＭＳ 明朝" w:cs="Times New Roman" w:hint="eastAsia"/>
          <w:szCs w:val="24"/>
        </w:rPr>
        <w:t>策定する際の参考とすることを目的として、「懇話会等行政運営上の会合に関する取扱要領（平成２４年１０月２３日付け人事第２１５２号）」に基づき、大阪府中央卸売市場再整備検討会議（以下「検討会議</w:t>
      </w:r>
      <w:r w:rsidRPr="00AD7779">
        <w:rPr>
          <w:rFonts w:ascii="ＭＳ 明朝" w:eastAsia="ＭＳ 明朝" w:hAnsi="ＭＳ 明朝" w:cs="Times New Roman"/>
          <w:szCs w:val="24"/>
        </w:rPr>
        <w:t>」</w:t>
      </w:r>
      <w:r w:rsidRPr="00AD7779">
        <w:rPr>
          <w:rFonts w:ascii="ＭＳ 明朝" w:eastAsia="ＭＳ 明朝" w:hAnsi="ＭＳ 明朝" w:cs="Times New Roman" w:hint="eastAsia"/>
          <w:szCs w:val="24"/>
        </w:rPr>
        <w:t>という。）を設置する。</w:t>
      </w:r>
    </w:p>
    <w:p w:rsidR="00AD7779" w:rsidRDefault="00AD7779" w:rsidP="00AD7779">
      <w:pPr>
        <w:widowControl/>
        <w:spacing w:line="240" w:lineRule="atLeast"/>
        <w:jc w:val="left"/>
        <w:rPr>
          <w:rFonts w:ascii="ＭＳ 明朝" w:eastAsia="ＭＳ 明朝" w:hAnsi="ＭＳ 明朝" w:cs="Times New Roman"/>
          <w:szCs w:val="24"/>
        </w:rPr>
      </w:pPr>
    </w:p>
    <w:p w:rsidR="00AD7779" w:rsidRPr="00AD7779" w:rsidRDefault="00AD7779" w:rsidP="00AD7779">
      <w:pPr>
        <w:widowControl/>
        <w:spacing w:line="240" w:lineRule="atLeast"/>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（検討事項）</w:t>
      </w:r>
    </w:p>
    <w:p w:rsidR="00AD7779" w:rsidRPr="00AD7779" w:rsidRDefault="00AD7779" w:rsidP="00AD7779">
      <w:pPr>
        <w:widowControl/>
        <w:spacing w:line="240" w:lineRule="atLeast"/>
        <w:ind w:left="210" w:hangingChars="100" w:hanging="210"/>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第２条　前条の目的を達成するため、検討会議では関係者がそれぞれの立場から、府市場の機能強化に向けた建替え再整備の具体的な計画内容の検討及び意見交換を行う。</w:t>
      </w:r>
    </w:p>
    <w:p w:rsidR="00AD7779" w:rsidRDefault="00AD7779" w:rsidP="00AD7779">
      <w:pPr>
        <w:widowControl/>
        <w:spacing w:line="240" w:lineRule="atLeast"/>
        <w:jc w:val="left"/>
        <w:rPr>
          <w:rFonts w:ascii="ＭＳ 明朝" w:eastAsia="ＭＳ 明朝" w:hAnsi="ＭＳ 明朝" w:cs="Times New Roman"/>
          <w:szCs w:val="24"/>
        </w:rPr>
      </w:pPr>
    </w:p>
    <w:p w:rsidR="00AD7779" w:rsidRPr="00AD7779" w:rsidRDefault="00AD7779" w:rsidP="00AD7779">
      <w:pPr>
        <w:widowControl/>
        <w:spacing w:line="240" w:lineRule="atLeast"/>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（組織）</w:t>
      </w:r>
    </w:p>
    <w:p w:rsidR="00AD7779" w:rsidRPr="00AD7779" w:rsidRDefault="00AD7779" w:rsidP="00AD7779">
      <w:pPr>
        <w:widowControl/>
        <w:autoSpaceDE w:val="0"/>
        <w:autoSpaceDN w:val="0"/>
        <w:adjustRightInd w:val="0"/>
        <w:spacing w:line="240" w:lineRule="atLeast"/>
        <w:ind w:left="420" w:hangingChars="200" w:hanging="420"/>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第３条　検討会議は、１５名以内の委員で組織する。</w:t>
      </w:r>
    </w:p>
    <w:p w:rsidR="00AD7779" w:rsidRPr="00AD7779" w:rsidRDefault="00AD7779" w:rsidP="00AD7779">
      <w:pPr>
        <w:widowControl/>
        <w:autoSpaceDE w:val="0"/>
        <w:autoSpaceDN w:val="0"/>
        <w:adjustRightInd w:val="0"/>
        <w:spacing w:line="240" w:lineRule="atLeast"/>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２　検討会議は、別表に掲げる</w:t>
      </w:r>
      <w:r w:rsidR="003A6EC8">
        <w:rPr>
          <w:rFonts w:ascii="ＭＳ 明朝" w:eastAsia="ＭＳ 明朝" w:hAnsi="ＭＳ 明朝" w:cs="Times New Roman" w:hint="eastAsia"/>
          <w:szCs w:val="24"/>
        </w:rPr>
        <w:t>関係者</w:t>
      </w:r>
      <w:r w:rsidRPr="00AD7779">
        <w:rPr>
          <w:rFonts w:ascii="ＭＳ 明朝" w:eastAsia="ＭＳ 明朝" w:hAnsi="ＭＳ 明朝" w:cs="Times New Roman" w:hint="eastAsia"/>
          <w:szCs w:val="24"/>
        </w:rPr>
        <w:t>で構成する。</w:t>
      </w:r>
    </w:p>
    <w:p w:rsidR="00AD7779" w:rsidRPr="00AD7779" w:rsidRDefault="00AD7779" w:rsidP="00AD7779">
      <w:pPr>
        <w:widowControl/>
        <w:autoSpaceDE w:val="0"/>
        <w:autoSpaceDN w:val="0"/>
        <w:adjustRightInd w:val="0"/>
        <w:spacing w:line="240" w:lineRule="atLeast"/>
        <w:ind w:firstLineChars="100" w:firstLine="210"/>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なお、必要に応じて委員以外の者をオブザーバーとして招聘することができる。</w:t>
      </w:r>
    </w:p>
    <w:p w:rsidR="00AD7779" w:rsidRDefault="00AD7779" w:rsidP="00AD7779">
      <w:pPr>
        <w:widowControl/>
        <w:spacing w:line="240" w:lineRule="atLeast"/>
        <w:jc w:val="left"/>
        <w:rPr>
          <w:rFonts w:ascii="ＭＳ 明朝" w:eastAsia="ＭＳ 明朝" w:hAnsi="ＭＳ 明朝" w:cs="Times New Roman"/>
          <w:szCs w:val="24"/>
        </w:rPr>
      </w:pPr>
    </w:p>
    <w:p w:rsidR="00AD7779" w:rsidRPr="00AD7779" w:rsidRDefault="00AD7779" w:rsidP="00AD7779">
      <w:pPr>
        <w:widowControl/>
        <w:spacing w:line="240" w:lineRule="atLeast"/>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w:t>
      </w:r>
      <w:r w:rsidRPr="00AD7779">
        <w:rPr>
          <w:rFonts w:ascii="ＭＳ 明朝" w:eastAsia="ＭＳ 明朝" w:hAnsi="ＭＳ 明朝" w:cs="ＭＳゴシック" w:hint="eastAsia"/>
          <w:kern w:val="0"/>
          <w:szCs w:val="24"/>
        </w:rPr>
        <w:t>運営方法</w:t>
      </w:r>
      <w:r w:rsidRPr="00AD7779">
        <w:rPr>
          <w:rFonts w:ascii="ＭＳ 明朝" w:eastAsia="ＭＳ 明朝" w:hAnsi="ＭＳ 明朝" w:cs="Times New Roman" w:hint="eastAsia"/>
          <w:szCs w:val="24"/>
        </w:rPr>
        <w:t>）</w:t>
      </w:r>
    </w:p>
    <w:p w:rsidR="00AD7779" w:rsidRPr="00AD7779" w:rsidRDefault="00AD7779" w:rsidP="00AD7779">
      <w:pPr>
        <w:widowControl/>
        <w:spacing w:line="240" w:lineRule="atLeast"/>
        <w:ind w:left="210" w:hangingChars="100" w:hanging="210"/>
        <w:jc w:val="left"/>
        <w:rPr>
          <w:rFonts w:ascii="ＭＳ 明朝" w:eastAsia="ＭＳ 明朝" w:hAnsi="ＭＳ 明朝" w:cs="ＭＳゴシック"/>
          <w:kern w:val="0"/>
          <w:szCs w:val="24"/>
        </w:rPr>
      </w:pPr>
      <w:r w:rsidRPr="00AD7779">
        <w:rPr>
          <w:rFonts w:ascii="ＭＳ 明朝" w:eastAsia="ＭＳ 明朝" w:hAnsi="ＭＳ 明朝" w:cs="Times New Roman" w:hint="eastAsia"/>
          <w:szCs w:val="24"/>
        </w:rPr>
        <w:t>第４条　検討会議は、大阪府が招集し開催する。</w:t>
      </w:r>
    </w:p>
    <w:p w:rsidR="00AD7779" w:rsidRPr="00AD7779" w:rsidRDefault="00AD7779" w:rsidP="00AD7779">
      <w:pPr>
        <w:widowControl/>
        <w:spacing w:line="240" w:lineRule="atLeast"/>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２　検討会議に座長を置き、座長は委員の互選により決定し、副座長は座長が指名する。</w:t>
      </w:r>
    </w:p>
    <w:p w:rsidR="00AD7779" w:rsidRPr="00AD7779" w:rsidRDefault="00AD7779" w:rsidP="00AD7779">
      <w:pPr>
        <w:widowControl/>
        <w:spacing w:line="240" w:lineRule="atLeast"/>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３　委員がやむを得ない事情により出席できないときは、</w:t>
      </w:r>
      <w:r>
        <w:rPr>
          <w:rFonts w:ascii="ＭＳ 明朝" w:eastAsia="ＭＳ 明朝" w:hAnsi="ＭＳ 明朝" w:cs="ＭＳゴシック" w:hint="eastAsia"/>
          <w:kern w:val="0"/>
          <w:szCs w:val="24"/>
        </w:rPr>
        <w:t>代理人が出席することができ</w:t>
      </w:r>
      <w:r w:rsidRPr="00AD7779">
        <w:rPr>
          <w:rFonts w:ascii="ＭＳ 明朝" w:eastAsia="ＭＳ 明朝" w:hAnsi="ＭＳ 明朝" w:cs="ＭＳゴシック" w:hint="eastAsia"/>
          <w:kern w:val="0"/>
          <w:szCs w:val="24"/>
        </w:rPr>
        <w:t>る。</w:t>
      </w:r>
    </w:p>
    <w:p w:rsidR="00AD7779" w:rsidRPr="00AD7779" w:rsidRDefault="00AD7779" w:rsidP="00AD7779">
      <w:pPr>
        <w:widowControl/>
        <w:spacing w:line="240" w:lineRule="atLeast"/>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４　会議終了後、事務局において開催概要をホームページで公表する。</w:t>
      </w:r>
    </w:p>
    <w:p w:rsidR="00AD7779" w:rsidRDefault="00AD7779" w:rsidP="00AD7779">
      <w:pPr>
        <w:widowControl/>
        <w:autoSpaceDE w:val="0"/>
        <w:autoSpaceDN w:val="0"/>
        <w:adjustRightInd w:val="0"/>
        <w:spacing w:line="240" w:lineRule="atLeast"/>
        <w:jc w:val="left"/>
        <w:rPr>
          <w:rFonts w:ascii="ＭＳ 明朝" w:eastAsia="ＭＳ 明朝" w:hAnsi="ＭＳ 明朝" w:cs="ＭＳゴシック"/>
          <w:kern w:val="0"/>
          <w:szCs w:val="24"/>
        </w:rPr>
      </w:pPr>
    </w:p>
    <w:p w:rsidR="00AD7779" w:rsidRPr="00AD7779" w:rsidRDefault="00AD7779" w:rsidP="00AD7779">
      <w:pPr>
        <w:widowControl/>
        <w:autoSpaceDE w:val="0"/>
        <w:autoSpaceDN w:val="0"/>
        <w:adjustRightInd w:val="0"/>
        <w:spacing w:line="240" w:lineRule="atLeast"/>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（分科会）</w:t>
      </w:r>
    </w:p>
    <w:p w:rsidR="00AD7779" w:rsidRPr="00AD7779" w:rsidRDefault="00AD7779" w:rsidP="00AD7779">
      <w:pPr>
        <w:widowControl/>
        <w:autoSpaceDE w:val="0"/>
        <w:autoSpaceDN w:val="0"/>
        <w:adjustRightInd w:val="0"/>
        <w:spacing w:line="240" w:lineRule="atLeast"/>
        <w:ind w:left="210" w:hangingChars="100" w:hanging="210"/>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第５条　検討会議の取組みを円滑かつ効率的に推進するため、必要に応じて分科会を置くことができる。</w:t>
      </w:r>
    </w:p>
    <w:p w:rsidR="00AD7779" w:rsidRDefault="00AD7779" w:rsidP="00AD7779">
      <w:pPr>
        <w:widowControl/>
        <w:spacing w:line="240" w:lineRule="atLeast"/>
        <w:ind w:left="210" w:hangingChars="100" w:hanging="210"/>
        <w:jc w:val="left"/>
        <w:rPr>
          <w:rFonts w:ascii="ＭＳ 明朝" w:eastAsia="ＭＳ 明朝" w:hAnsi="ＭＳ 明朝" w:cs="ＭＳゴシック"/>
          <w:kern w:val="0"/>
          <w:szCs w:val="24"/>
        </w:rPr>
      </w:pPr>
    </w:p>
    <w:p w:rsidR="00AD7779" w:rsidRDefault="00AD7779" w:rsidP="00AD7779">
      <w:pPr>
        <w:widowControl/>
        <w:spacing w:line="240" w:lineRule="atLeast"/>
        <w:ind w:left="210" w:hangingChars="100" w:hanging="210"/>
        <w:jc w:val="left"/>
        <w:rPr>
          <w:rFonts w:ascii="ＭＳ 明朝" w:eastAsia="ＭＳ 明朝" w:hAnsi="ＭＳ 明朝" w:cs="ＭＳゴシック"/>
          <w:kern w:val="0"/>
          <w:szCs w:val="24"/>
        </w:rPr>
      </w:pPr>
    </w:p>
    <w:p w:rsidR="00AD7779" w:rsidRDefault="00AD7779" w:rsidP="00AD7779">
      <w:pPr>
        <w:widowControl/>
        <w:spacing w:line="240" w:lineRule="atLeast"/>
        <w:ind w:left="210" w:hangingChars="100" w:hanging="210"/>
        <w:jc w:val="left"/>
        <w:rPr>
          <w:rFonts w:ascii="ＭＳ 明朝" w:eastAsia="ＭＳ 明朝" w:hAnsi="ＭＳ 明朝" w:cs="ＭＳゴシック"/>
          <w:kern w:val="0"/>
          <w:szCs w:val="24"/>
        </w:rPr>
      </w:pPr>
    </w:p>
    <w:p w:rsidR="00AD7779" w:rsidRPr="00AD7779" w:rsidRDefault="00AD7779" w:rsidP="00AD7779">
      <w:pPr>
        <w:widowControl/>
        <w:spacing w:line="240" w:lineRule="atLeast"/>
        <w:ind w:left="210" w:hangingChars="100" w:hanging="210"/>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lastRenderedPageBreak/>
        <w:t>（守秘義務）</w:t>
      </w:r>
    </w:p>
    <w:p w:rsidR="00AD7779" w:rsidRDefault="00AD7779" w:rsidP="00AD7779">
      <w:pPr>
        <w:widowControl/>
        <w:spacing w:line="240" w:lineRule="atLeast"/>
        <w:ind w:left="210" w:hangingChars="100" w:hanging="210"/>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第６条　検討会議及び分科会の各委員は、会議等で知り得た秘密を外部へ漏らしてはならない。</w:t>
      </w:r>
    </w:p>
    <w:p w:rsidR="00AD7779" w:rsidRPr="00AD7779" w:rsidRDefault="00AD7779" w:rsidP="00AD7779">
      <w:pPr>
        <w:widowControl/>
        <w:spacing w:line="240" w:lineRule="atLeast"/>
        <w:ind w:left="210" w:hangingChars="100" w:hanging="210"/>
        <w:jc w:val="left"/>
        <w:rPr>
          <w:rFonts w:ascii="ＭＳ 明朝" w:eastAsia="ＭＳ 明朝" w:hAnsi="ＭＳ 明朝" w:cs="ＭＳゴシック"/>
          <w:kern w:val="0"/>
          <w:szCs w:val="24"/>
        </w:rPr>
      </w:pPr>
    </w:p>
    <w:p w:rsidR="00AD7779" w:rsidRPr="00AD7779" w:rsidRDefault="00AD7779" w:rsidP="00AD7779">
      <w:pPr>
        <w:widowControl/>
        <w:spacing w:line="240" w:lineRule="atLeast"/>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（設置期間）</w:t>
      </w:r>
    </w:p>
    <w:p w:rsidR="00AD7779" w:rsidRPr="00AD7779" w:rsidRDefault="00AD7779" w:rsidP="00AD7779">
      <w:pPr>
        <w:widowControl/>
        <w:spacing w:line="240" w:lineRule="atLeast"/>
        <w:ind w:left="210" w:hangingChars="100" w:hanging="210"/>
        <w:jc w:val="left"/>
        <w:rPr>
          <w:rFonts w:ascii="ＭＳ 明朝" w:eastAsia="ＭＳ 明朝" w:hAnsi="ＭＳ 明朝" w:cs="ＭＳゴシック"/>
          <w:kern w:val="0"/>
          <w:szCs w:val="24"/>
        </w:rPr>
      </w:pPr>
      <w:r w:rsidRPr="00AD7779">
        <w:rPr>
          <w:rFonts w:ascii="ＭＳ 明朝" w:eastAsia="ＭＳ 明朝" w:hAnsi="ＭＳ 明朝" w:cs="Times New Roman" w:hint="eastAsia"/>
          <w:szCs w:val="24"/>
        </w:rPr>
        <w:t>第７条　検討会議</w:t>
      </w:r>
      <w:r w:rsidRPr="00AD7779">
        <w:rPr>
          <w:rFonts w:ascii="ＭＳ 明朝" w:eastAsia="ＭＳ 明朝" w:hAnsi="ＭＳ 明朝" w:cs="ＭＳゴシック" w:hint="eastAsia"/>
          <w:kern w:val="0"/>
          <w:szCs w:val="24"/>
        </w:rPr>
        <w:t>の設置期間は、令和６年３月31日までとする。ただし、期間の延長は妨げない。</w:t>
      </w:r>
    </w:p>
    <w:p w:rsidR="00AD7779" w:rsidRDefault="00AD7779" w:rsidP="00AD7779">
      <w:pPr>
        <w:widowControl/>
        <w:spacing w:line="240" w:lineRule="atLeast"/>
        <w:jc w:val="left"/>
        <w:rPr>
          <w:rFonts w:ascii="ＭＳ 明朝" w:eastAsia="ＭＳ 明朝" w:hAnsi="ＭＳ 明朝" w:cs="Times New Roman"/>
          <w:szCs w:val="24"/>
        </w:rPr>
      </w:pPr>
    </w:p>
    <w:p w:rsidR="00AD7779" w:rsidRPr="00AD7779" w:rsidRDefault="00AD7779" w:rsidP="00AD7779">
      <w:pPr>
        <w:widowControl/>
        <w:spacing w:line="240" w:lineRule="atLeast"/>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w:t>
      </w:r>
      <w:r w:rsidRPr="00AD7779">
        <w:rPr>
          <w:rFonts w:ascii="ＭＳ 明朝" w:eastAsia="ＭＳ 明朝" w:hAnsi="ＭＳ 明朝" w:cs="ＭＳゴシック" w:hint="eastAsia"/>
          <w:kern w:val="0"/>
          <w:szCs w:val="24"/>
        </w:rPr>
        <w:t>謝礼等</w:t>
      </w:r>
      <w:r w:rsidRPr="00AD7779">
        <w:rPr>
          <w:rFonts w:ascii="ＭＳ 明朝" w:eastAsia="ＭＳ 明朝" w:hAnsi="ＭＳ 明朝" w:cs="Times New Roman" w:hint="eastAsia"/>
          <w:szCs w:val="24"/>
        </w:rPr>
        <w:t>）</w:t>
      </w:r>
    </w:p>
    <w:p w:rsidR="00AD7779" w:rsidRPr="00AD7779" w:rsidRDefault="00AD7779" w:rsidP="00AD7779">
      <w:pPr>
        <w:widowControl/>
        <w:autoSpaceDE w:val="0"/>
        <w:autoSpaceDN w:val="0"/>
        <w:adjustRightInd w:val="0"/>
        <w:spacing w:line="240" w:lineRule="atLeast"/>
        <w:ind w:left="210" w:hangingChars="100" w:hanging="210"/>
        <w:jc w:val="left"/>
        <w:rPr>
          <w:rFonts w:ascii="ＭＳ 明朝" w:eastAsia="ＭＳ 明朝" w:hAnsi="ＭＳ 明朝" w:cs="ＭＳゴシック"/>
          <w:kern w:val="0"/>
          <w:szCs w:val="24"/>
        </w:rPr>
      </w:pPr>
      <w:r w:rsidRPr="00AD7779">
        <w:rPr>
          <w:rFonts w:ascii="ＭＳ 明朝" w:eastAsia="ＭＳ 明朝" w:hAnsi="ＭＳ 明朝" w:cs="Times New Roman" w:hint="eastAsia"/>
          <w:szCs w:val="24"/>
        </w:rPr>
        <w:t xml:space="preserve">第８条　</w:t>
      </w:r>
      <w:r w:rsidRPr="00AD7779">
        <w:rPr>
          <w:rFonts w:ascii="ＭＳ 明朝" w:eastAsia="ＭＳ 明朝" w:hAnsi="ＭＳ 明朝" w:cs="ＭＳゴシック" w:hint="eastAsia"/>
          <w:kern w:val="0"/>
          <w:szCs w:val="24"/>
        </w:rPr>
        <w:t>学識経験者及びオブザーバーに対する謝礼の額は、日額九千八百円とする。また、学識経験者等に対する費用弁償の額は、職員の旅費に関する条例（昭和四十年大阪府条例第三十七号)</w:t>
      </w:r>
      <w:r w:rsidRPr="00AD7779">
        <w:rPr>
          <w:rFonts w:ascii="ＭＳ 明朝" w:eastAsia="ＭＳ 明朝" w:hAnsi="ＭＳ 明朝" w:cs="Times New Roman" w:hint="eastAsia"/>
          <w:sz w:val="18"/>
        </w:rPr>
        <w:t xml:space="preserve"> </w:t>
      </w:r>
      <w:r w:rsidRPr="00AD7779">
        <w:rPr>
          <w:rFonts w:ascii="ＭＳ 明朝" w:eastAsia="ＭＳ 明朝" w:hAnsi="ＭＳ 明朝" w:cs="ＭＳゴシック" w:hint="eastAsia"/>
          <w:kern w:val="0"/>
          <w:szCs w:val="24"/>
        </w:rPr>
        <w:t>による指定職等の職務にある者以外の者の額相当額とする。</w:t>
      </w:r>
    </w:p>
    <w:p w:rsidR="00AD7779" w:rsidRPr="00AD7779" w:rsidRDefault="00AD7779" w:rsidP="00AD7779">
      <w:pPr>
        <w:widowControl/>
        <w:autoSpaceDE w:val="0"/>
        <w:autoSpaceDN w:val="0"/>
        <w:adjustRightInd w:val="0"/>
        <w:spacing w:line="240" w:lineRule="atLeast"/>
        <w:ind w:left="210" w:hangingChars="100" w:hanging="210"/>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２　場内関係者及び大阪府の経済に属する常勤の職員である者に対しては支給しない。</w:t>
      </w:r>
    </w:p>
    <w:p w:rsidR="00AD7779" w:rsidRDefault="00AD7779" w:rsidP="00AD7779">
      <w:pPr>
        <w:widowControl/>
        <w:spacing w:line="240" w:lineRule="atLeast"/>
        <w:jc w:val="left"/>
        <w:rPr>
          <w:rFonts w:ascii="ＭＳ 明朝" w:eastAsia="ＭＳ 明朝" w:hAnsi="ＭＳ 明朝" w:cs="Times New Roman"/>
          <w:szCs w:val="24"/>
        </w:rPr>
      </w:pPr>
    </w:p>
    <w:p w:rsidR="00AD7779" w:rsidRPr="00AD7779" w:rsidRDefault="00AD7779" w:rsidP="00AD7779">
      <w:pPr>
        <w:widowControl/>
        <w:spacing w:line="240" w:lineRule="atLeast"/>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w:t>
      </w:r>
      <w:r w:rsidRPr="00AD7779">
        <w:rPr>
          <w:rFonts w:ascii="ＭＳ 明朝" w:eastAsia="ＭＳ 明朝" w:hAnsi="ＭＳ 明朝" w:cs="ＭＳゴシック" w:hint="eastAsia"/>
          <w:kern w:val="0"/>
          <w:szCs w:val="24"/>
        </w:rPr>
        <w:t>事務局</w:t>
      </w:r>
      <w:r w:rsidRPr="00AD7779">
        <w:rPr>
          <w:rFonts w:ascii="ＭＳ 明朝" w:eastAsia="ＭＳ 明朝" w:hAnsi="ＭＳ 明朝" w:cs="Times New Roman" w:hint="eastAsia"/>
          <w:szCs w:val="24"/>
        </w:rPr>
        <w:t>）</w:t>
      </w:r>
    </w:p>
    <w:p w:rsidR="00AD7779" w:rsidRPr="00AD7779" w:rsidRDefault="00AD7779" w:rsidP="00AD7779">
      <w:pPr>
        <w:widowControl/>
        <w:autoSpaceDE w:val="0"/>
        <w:autoSpaceDN w:val="0"/>
        <w:adjustRightInd w:val="0"/>
        <w:spacing w:line="240" w:lineRule="atLeast"/>
        <w:ind w:left="210" w:hangingChars="100" w:hanging="210"/>
        <w:jc w:val="left"/>
        <w:rPr>
          <w:rFonts w:ascii="ＭＳ 明朝" w:eastAsia="ＭＳ 明朝" w:hAnsi="ＭＳ 明朝" w:cs="ＭＳゴシック"/>
          <w:kern w:val="0"/>
          <w:szCs w:val="24"/>
        </w:rPr>
      </w:pPr>
      <w:r w:rsidRPr="00AD7779">
        <w:rPr>
          <w:rFonts w:ascii="ＭＳ 明朝" w:eastAsia="ＭＳ 明朝" w:hAnsi="ＭＳ 明朝" w:cs="Times New Roman" w:hint="eastAsia"/>
          <w:szCs w:val="24"/>
        </w:rPr>
        <w:t>第９条</w:t>
      </w:r>
      <w:r w:rsidRPr="00AD7779">
        <w:rPr>
          <w:rFonts w:ascii="ＭＳ 明朝" w:eastAsia="ＭＳ 明朝" w:hAnsi="ＭＳ 明朝" w:cs="ＭＳゴシック" w:hint="eastAsia"/>
          <w:kern w:val="0"/>
          <w:szCs w:val="24"/>
        </w:rPr>
        <w:t xml:space="preserve">　検討会議の事務局を府市場に置き、府市場及び山下PMC・三菱UFJリサーチ＆コンサルティング共同事業体においてその事務を担う。</w:t>
      </w:r>
    </w:p>
    <w:p w:rsidR="00AD7779" w:rsidRDefault="00AD7779" w:rsidP="00AD7779">
      <w:pPr>
        <w:widowControl/>
        <w:autoSpaceDE w:val="0"/>
        <w:autoSpaceDN w:val="0"/>
        <w:adjustRightInd w:val="0"/>
        <w:spacing w:line="240" w:lineRule="atLeast"/>
        <w:jc w:val="left"/>
        <w:rPr>
          <w:rFonts w:ascii="ＭＳ 明朝" w:eastAsia="ＭＳ 明朝" w:hAnsi="ＭＳ 明朝" w:cs="ＭＳゴシック"/>
          <w:kern w:val="0"/>
          <w:szCs w:val="24"/>
        </w:rPr>
      </w:pPr>
    </w:p>
    <w:p w:rsidR="00AD7779" w:rsidRPr="00AD7779" w:rsidRDefault="00AD7779" w:rsidP="00AD7779">
      <w:pPr>
        <w:widowControl/>
        <w:autoSpaceDE w:val="0"/>
        <w:autoSpaceDN w:val="0"/>
        <w:adjustRightInd w:val="0"/>
        <w:spacing w:line="240" w:lineRule="atLeast"/>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（その他）</w:t>
      </w:r>
    </w:p>
    <w:p w:rsidR="00AD7779" w:rsidRPr="00AD7779" w:rsidRDefault="00AD7779" w:rsidP="00AD7779">
      <w:pPr>
        <w:widowControl/>
        <w:spacing w:line="240" w:lineRule="atLeast"/>
        <w:ind w:left="210" w:hangingChars="100" w:hanging="210"/>
        <w:jc w:val="left"/>
        <w:rPr>
          <w:rFonts w:ascii="ＭＳ 明朝" w:eastAsia="ＭＳ 明朝" w:hAnsi="ＭＳ 明朝" w:cs="Times New Roman"/>
          <w:szCs w:val="24"/>
        </w:rPr>
      </w:pPr>
      <w:r w:rsidRPr="00AD7779">
        <w:rPr>
          <w:rFonts w:ascii="ＭＳ 明朝" w:eastAsia="ＭＳ 明朝" w:hAnsi="ＭＳ 明朝" w:cs="Times New Roman" w:hint="eastAsia"/>
          <w:szCs w:val="24"/>
        </w:rPr>
        <w:t>第10条　この要綱に定めるもののほか、検討会議の運営に関し必要な事項は別途定める。</w:t>
      </w:r>
    </w:p>
    <w:p w:rsidR="00AD7779" w:rsidRDefault="00AD7779" w:rsidP="00AD7779">
      <w:pPr>
        <w:widowControl/>
        <w:autoSpaceDE w:val="0"/>
        <w:autoSpaceDN w:val="0"/>
        <w:adjustRightInd w:val="0"/>
        <w:spacing w:line="240" w:lineRule="atLeast"/>
        <w:jc w:val="left"/>
        <w:rPr>
          <w:rFonts w:ascii="ＭＳ 明朝" w:eastAsia="ＭＳ 明朝" w:hAnsi="ＭＳ 明朝" w:cs="ＭＳゴシック"/>
          <w:kern w:val="0"/>
          <w:szCs w:val="24"/>
        </w:rPr>
      </w:pPr>
    </w:p>
    <w:p w:rsidR="00AD7779" w:rsidRPr="00AD7779" w:rsidRDefault="00AD7779" w:rsidP="00AD7779">
      <w:pPr>
        <w:widowControl/>
        <w:autoSpaceDE w:val="0"/>
        <w:autoSpaceDN w:val="0"/>
        <w:adjustRightInd w:val="0"/>
        <w:spacing w:line="240" w:lineRule="atLeast"/>
        <w:jc w:val="left"/>
        <w:rPr>
          <w:rFonts w:ascii="ＭＳ 明朝" w:eastAsia="ＭＳ 明朝" w:hAnsi="ＭＳ 明朝" w:cs="ＭＳゴシック"/>
          <w:kern w:val="0"/>
          <w:szCs w:val="24"/>
        </w:rPr>
      </w:pPr>
    </w:p>
    <w:p w:rsidR="00AD7779" w:rsidRPr="00AD7779" w:rsidRDefault="00AD7779" w:rsidP="00AD7779">
      <w:pPr>
        <w:widowControl/>
        <w:spacing w:line="240" w:lineRule="atLeast"/>
        <w:jc w:val="left"/>
        <w:rPr>
          <w:rFonts w:ascii="ＭＳ 明朝" w:eastAsia="ＭＳ 明朝" w:hAnsi="ＭＳ 明朝" w:cs="ＭＳゴシック"/>
          <w:kern w:val="0"/>
          <w:szCs w:val="24"/>
        </w:rPr>
      </w:pPr>
      <w:r w:rsidRPr="00AD7779">
        <w:rPr>
          <w:rFonts w:ascii="ＭＳ 明朝" w:eastAsia="ＭＳ 明朝" w:hAnsi="ＭＳ 明朝" w:cs="ＭＳゴシック" w:hint="eastAsia"/>
          <w:kern w:val="0"/>
          <w:szCs w:val="24"/>
        </w:rPr>
        <w:t xml:space="preserve">附　則　　</w:t>
      </w:r>
    </w:p>
    <w:p w:rsidR="00AD7779" w:rsidRPr="00AD7779" w:rsidRDefault="00B94969" w:rsidP="00AD7779">
      <w:pPr>
        <w:widowControl/>
        <w:spacing w:line="240" w:lineRule="atLeast"/>
        <w:ind w:firstLineChars="100" w:firstLine="210"/>
        <w:jc w:val="left"/>
        <w:rPr>
          <w:rFonts w:ascii="ＭＳ 明朝" w:eastAsia="ＭＳ 明朝" w:hAnsi="ＭＳ 明朝" w:cs="ＭＳゴシック"/>
          <w:kern w:val="0"/>
          <w:szCs w:val="24"/>
        </w:rPr>
      </w:pPr>
      <w:r>
        <w:rPr>
          <w:rFonts w:ascii="ＭＳ 明朝" w:eastAsia="ＭＳ 明朝" w:hAnsi="ＭＳ 明朝" w:cs="ＭＳゴシック" w:hint="eastAsia"/>
          <w:kern w:val="0"/>
          <w:szCs w:val="24"/>
        </w:rPr>
        <w:t>この要綱は、令和４年６月６</w:t>
      </w:r>
      <w:bookmarkStart w:id="0" w:name="_GoBack"/>
      <w:bookmarkEnd w:id="0"/>
      <w:r w:rsidR="00AD7779" w:rsidRPr="00AD7779">
        <w:rPr>
          <w:rFonts w:ascii="ＭＳ 明朝" w:eastAsia="ＭＳ 明朝" w:hAnsi="ＭＳ 明朝" w:cs="ＭＳゴシック" w:hint="eastAsia"/>
          <w:kern w:val="0"/>
          <w:szCs w:val="24"/>
        </w:rPr>
        <w:t>日から施行する。</w:t>
      </w:r>
    </w:p>
    <w:p w:rsidR="005F0870" w:rsidRPr="00AD7779" w:rsidRDefault="005F0870"/>
    <w:sectPr w:rsidR="005F0870" w:rsidRPr="00AD77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69" w:rsidRDefault="00B94969" w:rsidP="00B94969">
      <w:r>
        <w:separator/>
      </w:r>
    </w:p>
  </w:endnote>
  <w:endnote w:type="continuationSeparator" w:id="0">
    <w:p w:rsidR="00B94969" w:rsidRDefault="00B94969" w:rsidP="00B9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69" w:rsidRDefault="00B94969" w:rsidP="00B94969">
      <w:r>
        <w:separator/>
      </w:r>
    </w:p>
  </w:footnote>
  <w:footnote w:type="continuationSeparator" w:id="0">
    <w:p w:rsidR="00B94969" w:rsidRDefault="00B94969" w:rsidP="00B94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79"/>
    <w:rsid w:val="003A6EC8"/>
    <w:rsid w:val="005F0870"/>
    <w:rsid w:val="00AD7779"/>
    <w:rsid w:val="00B94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5F357"/>
  <w15:chartTrackingRefBased/>
  <w15:docId w15:val="{860B8926-03BE-4BEE-ACC2-86894245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69"/>
    <w:pPr>
      <w:tabs>
        <w:tab w:val="center" w:pos="4252"/>
        <w:tab w:val="right" w:pos="8504"/>
      </w:tabs>
      <w:snapToGrid w:val="0"/>
    </w:pPr>
  </w:style>
  <w:style w:type="character" w:customStyle="1" w:styleId="a4">
    <w:name w:val="ヘッダー (文字)"/>
    <w:basedOn w:val="a0"/>
    <w:link w:val="a3"/>
    <w:uiPriority w:val="99"/>
    <w:rsid w:val="00B94969"/>
  </w:style>
  <w:style w:type="paragraph" w:styleId="a5">
    <w:name w:val="footer"/>
    <w:basedOn w:val="a"/>
    <w:link w:val="a6"/>
    <w:uiPriority w:val="99"/>
    <w:unhideWhenUsed/>
    <w:rsid w:val="00B94969"/>
    <w:pPr>
      <w:tabs>
        <w:tab w:val="center" w:pos="4252"/>
        <w:tab w:val="right" w:pos="8504"/>
      </w:tabs>
      <w:snapToGrid w:val="0"/>
    </w:pPr>
  </w:style>
  <w:style w:type="character" w:customStyle="1" w:styleId="a6">
    <w:name w:val="フッター (文字)"/>
    <w:basedOn w:val="a0"/>
    <w:link w:val="a5"/>
    <w:uiPriority w:val="99"/>
    <w:rsid w:val="00B9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安江　良介</cp:lastModifiedBy>
  <cp:revision>3</cp:revision>
  <dcterms:created xsi:type="dcterms:W3CDTF">2022-05-31T09:22:00Z</dcterms:created>
  <dcterms:modified xsi:type="dcterms:W3CDTF">2022-06-04T00:27:00Z</dcterms:modified>
</cp:coreProperties>
</file>