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220B6875" w:rsidR="00C611DD" w:rsidRDefault="00C611DD">
      <w:pPr>
        <w:kinsoku w:val="0"/>
        <w:wordWrap w:val="0"/>
        <w:overflowPunct w:val="0"/>
        <w:ind w:right="89"/>
      </w:pPr>
      <w:r>
        <w:rPr>
          <w:rFonts w:hint="eastAsia"/>
        </w:rPr>
        <w:t xml:space="preserve">　　　　　　　　　　　　　　　　　　　　　　　　　　　　　</w:t>
      </w:r>
      <w:r w:rsidR="00496187">
        <w:rPr>
          <w:rFonts w:hint="eastAsia"/>
        </w:rPr>
        <w:t xml:space="preserve">　</w:t>
      </w:r>
      <w:r w:rsidR="00FD4AE8">
        <w:rPr>
          <w:rFonts w:hint="eastAsia"/>
        </w:rPr>
        <w:t>令和</w:t>
      </w:r>
      <w:r w:rsidR="000025F3">
        <w:rPr>
          <w:rFonts w:hint="eastAsia"/>
        </w:rPr>
        <w:t>６</w:t>
      </w:r>
      <w:r w:rsidR="00FD4AE8">
        <w:rPr>
          <w:rFonts w:hint="eastAsia"/>
        </w:rPr>
        <w:t>年</w:t>
      </w:r>
      <w:r w:rsidR="00FE24B2">
        <w:rPr>
          <w:rFonts w:hint="eastAsia"/>
        </w:rPr>
        <w:t>１０</w:t>
      </w:r>
      <w:r w:rsidR="00FD4AE8">
        <w:rPr>
          <w:rFonts w:hint="eastAsia"/>
        </w:rPr>
        <w:t>月</w:t>
      </w:r>
      <w:r w:rsidR="00FE24B2">
        <w:rPr>
          <w:rFonts w:hint="eastAsia"/>
        </w:rPr>
        <w:t>２５</w:t>
      </w:r>
      <w:r w:rsidR="00FD4AE8">
        <w:rPr>
          <w:rFonts w:hint="eastAsia"/>
        </w:rPr>
        <w:t>日（</w:t>
      </w:r>
      <w:r w:rsidR="00397F45">
        <w:rPr>
          <w:rFonts w:hint="eastAsia"/>
        </w:rPr>
        <w:t>金</w:t>
      </w:r>
      <w:r w:rsidR="00FD4AE8">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055"/>
      </w:tblGrid>
      <w:tr w:rsidR="00C3234E" w14:paraId="033CEE83" w14:textId="77777777" w:rsidTr="009C7DC4">
        <w:trPr>
          <w:cantSplit/>
          <w:trHeight w:val="1706"/>
        </w:trPr>
        <w:tc>
          <w:tcPr>
            <w:tcW w:w="425" w:type="dxa"/>
            <w:vAlign w:val="center"/>
          </w:tcPr>
          <w:p w14:paraId="10D33BFB" w14:textId="77777777" w:rsidR="00C3234E" w:rsidRDefault="00C3234E" w:rsidP="00C3234E">
            <w:pPr>
              <w:kinsoku w:val="0"/>
              <w:overflowPunct w:val="0"/>
              <w:ind w:right="452"/>
              <w:jc w:val="center"/>
            </w:pPr>
            <w:bookmarkStart w:id="0" w:name="_Hlk172028852"/>
            <w:r>
              <w:rPr>
                <w:rFonts w:hint="eastAsia"/>
              </w:rPr>
              <w:t>問合せ先</w:t>
            </w:r>
          </w:p>
        </w:tc>
        <w:tc>
          <w:tcPr>
            <w:tcW w:w="4055" w:type="dxa"/>
            <w:vAlign w:val="center"/>
          </w:tcPr>
          <w:p w14:paraId="12B0D026" w14:textId="77777777" w:rsidR="00C3234E" w:rsidRPr="00620482" w:rsidRDefault="00C3234E" w:rsidP="00C3234E">
            <w:pPr>
              <w:kinsoku w:val="0"/>
              <w:wordWrap w:val="0"/>
              <w:overflowPunct w:val="0"/>
              <w:ind w:right="452" w:firstLineChars="100" w:firstLine="226"/>
            </w:pPr>
            <w:r w:rsidRPr="00620482">
              <w:rPr>
                <w:rFonts w:hint="eastAsia"/>
              </w:rPr>
              <w:t>日本万国博覧会記念公園事務所</w:t>
            </w:r>
          </w:p>
          <w:p w14:paraId="242DEB9E" w14:textId="77777777" w:rsidR="00C3234E" w:rsidRDefault="00C3234E" w:rsidP="00C3234E">
            <w:pPr>
              <w:kinsoku w:val="0"/>
              <w:wordWrap w:val="0"/>
              <w:overflowPunct w:val="0"/>
              <w:ind w:right="452" w:firstLineChars="100" w:firstLine="226"/>
            </w:pPr>
            <w:r w:rsidRPr="00620482">
              <w:rPr>
                <w:rFonts w:hint="eastAsia"/>
              </w:rPr>
              <w:t>総務・管理課</w:t>
            </w:r>
          </w:p>
          <w:p w14:paraId="10B4CD84" w14:textId="77777777" w:rsidR="00C3234E" w:rsidRDefault="00C3234E" w:rsidP="00C3234E">
            <w:pPr>
              <w:kinsoku w:val="0"/>
              <w:wordWrap w:val="0"/>
              <w:overflowPunct w:val="0"/>
              <w:ind w:right="452" w:firstLineChars="100" w:firstLine="226"/>
            </w:pPr>
            <w:r w:rsidRPr="00620482">
              <w:rPr>
                <w:rFonts w:hint="eastAsia"/>
              </w:rPr>
              <w:t>電話 06-6877-3337</w:t>
            </w:r>
          </w:p>
        </w:tc>
      </w:tr>
      <w:bookmarkEnd w:id="0"/>
    </w:tbl>
    <w:p w14:paraId="5B13E0FB" w14:textId="77777777" w:rsidR="00C611DD" w:rsidRDefault="00C611DD">
      <w:pPr>
        <w:kinsoku w:val="0"/>
        <w:wordWrap w:val="0"/>
        <w:overflowPunct w:val="0"/>
        <w:ind w:right="452"/>
      </w:pPr>
    </w:p>
    <w:p w14:paraId="24AAEB68" w14:textId="77777777" w:rsidR="00C611DD" w:rsidRDefault="00C611DD">
      <w:pPr>
        <w:kinsoku w:val="0"/>
        <w:wordWrap w:val="0"/>
        <w:overflowPunct w:val="0"/>
        <w:ind w:right="452"/>
      </w:pPr>
    </w:p>
    <w:p w14:paraId="4C15AFAD" w14:textId="77777777" w:rsidR="00C611DD" w:rsidRDefault="00C611DD">
      <w:pPr>
        <w:kinsoku w:val="0"/>
        <w:wordWrap w:val="0"/>
        <w:overflowPunct w:val="0"/>
        <w:ind w:right="452"/>
      </w:pPr>
    </w:p>
    <w:p w14:paraId="770150D8" w14:textId="77777777" w:rsidR="00C611DD" w:rsidRDefault="00C611DD">
      <w:pPr>
        <w:kinsoku w:val="0"/>
        <w:wordWrap w:val="0"/>
        <w:overflowPunct w:val="0"/>
        <w:ind w:right="452"/>
      </w:pPr>
      <w:r>
        <w:rPr>
          <w:rFonts w:hint="eastAsia"/>
        </w:rPr>
        <w:t xml:space="preserve">　　　　　　　　　　　　　　　　　　　　　　　</w:t>
      </w:r>
    </w:p>
    <w:p w14:paraId="088755E0" w14:textId="77777777" w:rsidR="00C611DD" w:rsidRDefault="00C611DD">
      <w:pPr>
        <w:kinsoku w:val="0"/>
        <w:wordWrap w:val="0"/>
        <w:overflowPunct w:val="0"/>
        <w:ind w:right="452"/>
      </w:pPr>
    </w:p>
    <w:p w14:paraId="4AF618F6" w14:textId="77777777" w:rsidR="00C611DD" w:rsidRDefault="00C611DD">
      <w:pPr>
        <w:kinsoku w:val="0"/>
        <w:wordWrap w:val="0"/>
        <w:overflowPunct w:val="0"/>
        <w:ind w:right="452"/>
      </w:pPr>
    </w:p>
    <w:p w14:paraId="5E28841C" w14:textId="77777777" w:rsidR="00062ABA" w:rsidRDefault="00062ABA">
      <w:pPr>
        <w:kinsoku w:val="0"/>
        <w:wordWrap w:val="0"/>
        <w:overflowPunct w:val="0"/>
        <w:ind w:right="452"/>
      </w:pPr>
    </w:p>
    <w:p w14:paraId="536111D8" w14:textId="2DDC7E95" w:rsidR="005B5F9E" w:rsidRDefault="00146A70" w:rsidP="005B5F9E">
      <w:pPr>
        <w:kinsoku w:val="0"/>
        <w:overflowPunct w:val="0"/>
        <w:ind w:right="452"/>
        <w:jc w:val="center"/>
        <w:rPr>
          <w:sz w:val="48"/>
        </w:rPr>
      </w:pPr>
      <w:r>
        <w:rPr>
          <w:rFonts w:hint="eastAsia"/>
          <w:sz w:val="48"/>
        </w:rPr>
        <w:t>令和</w:t>
      </w:r>
      <w:r w:rsidR="000025F3">
        <w:rPr>
          <w:rFonts w:hint="eastAsia"/>
          <w:sz w:val="48"/>
        </w:rPr>
        <w:t>６</w:t>
      </w:r>
      <w:r w:rsidR="00C611DD">
        <w:rPr>
          <w:rFonts w:hint="eastAsia"/>
          <w:sz w:val="48"/>
        </w:rPr>
        <w:t>年度</w:t>
      </w:r>
      <w:r w:rsidR="005B5F9E">
        <w:rPr>
          <w:rFonts w:hint="eastAsia"/>
          <w:sz w:val="48"/>
        </w:rPr>
        <w:t xml:space="preserve">　発注予定工事</w:t>
      </w:r>
    </w:p>
    <w:p w14:paraId="4DF665FB" w14:textId="28758E96" w:rsidR="005B5F9E" w:rsidRDefault="005B5F9E" w:rsidP="005B5F9E">
      <w:pPr>
        <w:kinsoku w:val="0"/>
        <w:overflowPunct w:val="0"/>
        <w:spacing w:line="152" w:lineRule="atLeast"/>
        <w:jc w:val="center"/>
        <w:rPr>
          <w:b/>
          <w:bCs/>
          <w:sz w:val="32"/>
        </w:rPr>
      </w:pPr>
      <w:r>
        <w:rPr>
          <w:rFonts w:hint="eastAsia"/>
          <w:b/>
          <w:bCs/>
          <w:sz w:val="32"/>
        </w:rPr>
        <w:t>(</w:t>
      </w:r>
      <w:r w:rsidR="00FE24B2">
        <w:rPr>
          <w:rFonts w:hint="eastAsia"/>
          <w:b/>
          <w:bCs/>
          <w:sz w:val="32"/>
        </w:rPr>
        <w:t>１１</w:t>
      </w:r>
      <w:r w:rsidR="00FD4AE8">
        <w:rPr>
          <w:rFonts w:hint="eastAsia"/>
          <w:b/>
          <w:bCs/>
          <w:sz w:val="32"/>
        </w:rPr>
        <w:t>月１日以降</w:t>
      </w:r>
      <w:r>
        <w:rPr>
          <w:rFonts w:hint="eastAsia"/>
          <w:b/>
          <w:bCs/>
          <w:sz w:val="32"/>
        </w:rPr>
        <w:t>公告予定)</w:t>
      </w:r>
    </w:p>
    <w:p w14:paraId="00B33836" w14:textId="77777777" w:rsidR="00C611DD" w:rsidRDefault="00C611DD">
      <w:pPr>
        <w:kinsoku w:val="0"/>
        <w:overflowPunct w:val="0"/>
        <w:spacing w:line="152" w:lineRule="atLeast"/>
        <w:jc w:val="center"/>
        <w:rPr>
          <w:b/>
          <w:bCs/>
          <w:sz w:val="32"/>
        </w:rPr>
      </w:pPr>
    </w:p>
    <w:p w14:paraId="768023EA" w14:textId="4D0E34BF" w:rsidR="00C611DD" w:rsidRDefault="00FD4AE8" w:rsidP="005F685C">
      <w:pPr>
        <w:kinsoku w:val="0"/>
        <w:overflowPunct w:val="0"/>
        <w:ind w:right="452"/>
        <w:jc w:val="center"/>
        <w:rPr>
          <w:sz w:val="44"/>
        </w:rPr>
      </w:pPr>
      <w:r>
        <w:rPr>
          <w:rFonts w:hint="eastAsia"/>
          <w:spacing w:val="0"/>
          <w:kern w:val="0"/>
          <w:sz w:val="44"/>
        </w:rPr>
        <w:t xml:space="preserve">令和 </w:t>
      </w:r>
      <w:r w:rsidR="000025F3">
        <w:rPr>
          <w:rFonts w:hint="eastAsia"/>
          <w:spacing w:val="0"/>
          <w:kern w:val="0"/>
          <w:sz w:val="44"/>
        </w:rPr>
        <w:t>６</w:t>
      </w:r>
      <w:r>
        <w:rPr>
          <w:rFonts w:hint="eastAsia"/>
          <w:spacing w:val="0"/>
          <w:kern w:val="0"/>
          <w:sz w:val="44"/>
        </w:rPr>
        <w:t xml:space="preserve"> 年 </w:t>
      </w:r>
      <w:r w:rsidR="00FE24B2">
        <w:rPr>
          <w:rFonts w:hint="eastAsia"/>
          <w:spacing w:val="0"/>
          <w:kern w:val="0"/>
          <w:sz w:val="44"/>
        </w:rPr>
        <w:t>１１</w:t>
      </w:r>
      <w:r>
        <w:rPr>
          <w:rFonts w:hint="eastAsia"/>
          <w:spacing w:val="0"/>
          <w:kern w:val="0"/>
          <w:sz w:val="44"/>
        </w:rPr>
        <w:t xml:space="preserve"> 月</w:t>
      </w:r>
    </w:p>
    <w:p w14:paraId="2CEEBFF8" w14:textId="77777777" w:rsidR="00C611DD" w:rsidRPr="00CC6376" w:rsidRDefault="00C611DD">
      <w:pPr>
        <w:kinsoku w:val="0"/>
        <w:wordWrap w:val="0"/>
        <w:overflowPunct w:val="0"/>
        <w:ind w:right="452"/>
      </w:pPr>
    </w:p>
    <w:p w14:paraId="5E476B21" w14:textId="32229A43" w:rsidR="00C611DD" w:rsidRPr="00200C2C" w:rsidRDefault="00C3234E">
      <w:pPr>
        <w:kinsoku w:val="0"/>
        <w:overflowPunct w:val="0"/>
        <w:spacing w:line="240" w:lineRule="auto"/>
        <w:ind w:right="454"/>
        <w:jc w:val="center"/>
        <w:rPr>
          <w:sz w:val="44"/>
          <w:szCs w:val="44"/>
        </w:rPr>
      </w:pPr>
      <w:r w:rsidRPr="00C3234E">
        <w:rPr>
          <w:rFonts w:hint="eastAsia"/>
          <w:sz w:val="44"/>
          <w:szCs w:val="44"/>
        </w:rPr>
        <w:t>日本万国博覧会記念公園事務所</w:t>
      </w:r>
    </w:p>
    <w:p w14:paraId="74E5A940" w14:textId="77777777" w:rsidR="00C611DD" w:rsidRDefault="00C611DD">
      <w:pPr>
        <w:kinsoku w:val="0"/>
        <w:overflowPunct w:val="0"/>
        <w:spacing w:line="240" w:lineRule="auto"/>
        <w:ind w:right="454"/>
        <w:jc w:val="center"/>
      </w:pPr>
    </w:p>
    <w:p w14:paraId="299AFB68"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trPr>
          <w:trHeight w:val="6446"/>
        </w:trPr>
        <w:tc>
          <w:tcPr>
            <w:tcW w:w="9045" w:type="dxa"/>
          </w:tcPr>
          <w:p w14:paraId="39AB81B3" w14:textId="77777777" w:rsidR="00C611DD" w:rsidRDefault="00C611DD">
            <w:pPr>
              <w:kinsoku w:val="0"/>
              <w:overflowPunct w:val="0"/>
              <w:spacing w:line="240" w:lineRule="auto"/>
              <w:ind w:leftChars="100" w:left="452" w:right="454" w:hangingChars="100" w:hanging="226"/>
              <w:jc w:val="left"/>
            </w:pPr>
          </w:p>
          <w:p w14:paraId="039B7D5B" w14:textId="77777777" w:rsidR="00062ABA" w:rsidRDefault="00062ABA">
            <w:pPr>
              <w:kinsoku w:val="0"/>
              <w:overflowPunct w:val="0"/>
              <w:spacing w:line="240" w:lineRule="auto"/>
              <w:ind w:leftChars="100" w:left="452" w:right="454" w:hangingChars="100" w:hanging="226"/>
              <w:jc w:val="left"/>
            </w:pPr>
          </w:p>
          <w:p w14:paraId="7F24D0EA"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77777777"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1692EACE"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1D46A938" w14:textId="77777777" w:rsidR="00C611DD" w:rsidRDefault="00C611DD" w:rsidP="00F721BB">
            <w:pPr>
              <w:kinsoku w:val="0"/>
              <w:overflowPunct w:val="0"/>
              <w:spacing w:line="240" w:lineRule="auto"/>
              <w:ind w:right="452"/>
            </w:pPr>
          </w:p>
          <w:p w14:paraId="3AD68EA7" w14:textId="77777777" w:rsidR="00064E32" w:rsidRDefault="00064E32" w:rsidP="00F721BB">
            <w:pPr>
              <w:kinsoku w:val="0"/>
              <w:overflowPunct w:val="0"/>
              <w:spacing w:line="240" w:lineRule="auto"/>
              <w:ind w:right="452"/>
            </w:pPr>
          </w:p>
        </w:tc>
      </w:tr>
    </w:tbl>
    <w:p w14:paraId="228809BD" w14:textId="77777777" w:rsidR="00062ABA" w:rsidRDefault="00062ABA" w:rsidP="009060B8">
      <w:pPr>
        <w:kinsoku w:val="0"/>
        <w:overflowPunct w:val="0"/>
        <w:spacing w:line="240" w:lineRule="auto"/>
        <w:ind w:right="454" w:firstLineChars="300" w:firstLine="678"/>
        <w:jc w:val="left"/>
      </w:pPr>
    </w:p>
    <w:p w14:paraId="57EA4BF5" w14:textId="77777777" w:rsidR="005B5F9E" w:rsidRDefault="005B5F9E">
      <w:pPr>
        <w:widowControl/>
        <w:autoSpaceDE/>
        <w:autoSpaceDN/>
        <w:spacing w:line="240" w:lineRule="auto"/>
        <w:jc w:val="left"/>
      </w:pPr>
      <w:r>
        <w:br w:type="page"/>
      </w:r>
    </w:p>
    <w:p w14:paraId="5270EDF7"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14:paraId="5165EF27" w14:textId="77777777"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14:paraId="4E947D83" w14:textId="77777777"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627"/>
        <w:tblW w:w="9733" w:type="dxa"/>
        <w:tblCellMar>
          <w:left w:w="0" w:type="dxa"/>
          <w:right w:w="0" w:type="dxa"/>
        </w:tblCellMar>
        <w:tblLook w:val="0000" w:firstRow="0" w:lastRow="0" w:firstColumn="0" w:lastColumn="0" w:noHBand="0" w:noVBand="0"/>
      </w:tblPr>
      <w:tblGrid>
        <w:gridCol w:w="1374"/>
        <w:gridCol w:w="1428"/>
        <w:gridCol w:w="1394"/>
        <w:gridCol w:w="1356"/>
        <w:gridCol w:w="1356"/>
        <w:gridCol w:w="1469"/>
        <w:gridCol w:w="1356"/>
      </w:tblGrid>
      <w:tr w:rsidR="006F3E9E" w:rsidRPr="002D37D9" w14:paraId="18349E50" w14:textId="77777777" w:rsidTr="009C7DC4">
        <w:trPr>
          <w:trHeight w:val="982"/>
        </w:trPr>
        <w:tc>
          <w:tcPr>
            <w:tcW w:w="1374"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4F728624"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2D37D9">
              <w:rPr>
                <w:rFonts w:ascii="ＭＳ Ｐゴシック" w:eastAsia="ＭＳ Ｐゴシック" w:hAnsi="ＭＳ Ｐゴシック" w:cs="ＭＳ Ｐゴシック" w:hint="eastAsia"/>
                <w:spacing w:val="0"/>
                <w:kern w:val="0"/>
                <w:sz w:val="18"/>
                <w:szCs w:val="18"/>
              </w:rPr>
              <w:t xml:space="preserve">　　工事種別</w:t>
            </w:r>
          </w:p>
          <w:p w14:paraId="7790FE39" w14:textId="77777777" w:rsidR="006F3E9E" w:rsidRPr="002D37D9" w:rsidRDefault="006F3E9E" w:rsidP="006F3E9E">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1075C72C" w14:textId="77777777" w:rsidR="006F3E9E" w:rsidRPr="002D37D9" w:rsidRDefault="006F3E9E" w:rsidP="006F3E9E">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2D37D9">
              <w:rPr>
                <w:rFonts w:ascii="ＭＳ Ｐゴシック" w:eastAsia="ＭＳ Ｐゴシック" w:hAnsi="ＭＳ Ｐゴシック" w:cs="ＭＳ Ｐゴシック" w:hint="eastAsia"/>
                <w:spacing w:val="0"/>
                <w:kern w:val="0"/>
                <w:sz w:val="18"/>
                <w:szCs w:val="18"/>
              </w:rPr>
              <w:t xml:space="preserve"> 工事規模</w:t>
            </w:r>
          </w:p>
          <w:p w14:paraId="11669D35" w14:textId="77777777" w:rsidR="006F3E9E" w:rsidRPr="002D37D9" w:rsidRDefault="006F3E9E" w:rsidP="006F3E9E">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2D37D9">
              <w:rPr>
                <w:rFonts w:ascii="ＭＳ Ｐゴシック" w:eastAsia="ＭＳ Ｐゴシック" w:hAnsi="ＭＳ Ｐゴシック" w:cs="ＭＳ Ｐゴシック" w:hint="eastAsia"/>
                <w:spacing w:val="0"/>
                <w:kern w:val="0"/>
                <w:sz w:val="18"/>
                <w:szCs w:val="18"/>
              </w:rPr>
              <w:t xml:space="preserve">　記号</w:t>
            </w:r>
          </w:p>
        </w:tc>
        <w:tc>
          <w:tcPr>
            <w:tcW w:w="1428" w:type="dxa"/>
            <w:tcBorders>
              <w:top w:val="single" w:sz="12" w:space="0" w:color="auto"/>
              <w:left w:val="nil"/>
              <w:bottom w:val="double" w:sz="6" w:space="0" w:color="auto"/>
              <w:right w:val="single" w:sz="4" w:space="0" w:color="auto"/>
            </w:tcBorders>
            <w:shd w:val="clear" w:color="auto" w:fill="auto"/>
            <w:vAlign w:val="center"/>
          </w:tcPr>
          <w:p w14:paraId="28A9B2E7"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土木一式</w:t>
            </w:r>
            <w:r w:rsidRPr="002D37D9">
              <w:rPr>
                <w:rFonts w:ascii="ＭＳ Ｐゴシック" w:eastAsia="ＭＳ Ｐゴシック" w:hAnsi="ＭＳ Ｐゴシック" w:cs="ＭＳ Ｐゴシック" w:hint="eastAsia"/>
                <w:spacing w:val="0"/>
                <w:kern w:val="0"/>
                <w:sz w:val="22"/>
                <w:szCs w:val="22"/>
              </w:rPr>
              <w:br/>
              <w:t>工　　　事</w:t>
            </w:r>
          </w:p>
        </w:tc>
        <w:tc>
          <w:tcPr>
            <w:tcW w:w="1394" w:type="dxa"/>
            <w:tcBorders>
              <w:top w:val="single" w:sz="12" w:space="0" w:color="auto"/>
              <w:left w:val="nil"/>
              <w:bottom w:val="double" w:sz="6" w:space="0" w:color="auto"/>
              <w:right w:val="single" w:sz="4" w:space="0" w:color="auto"/>
            </w:tcBorders>
            <w:shd w:val="clear" w:color="auto" w:fill="auto"/>
            <w:vAlign w:val="center"/>
          </w:tcPr>
          <w:p w14:paraId="114107AF"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建築一式</w:t>
            </w:r>
            <w:r w:rsidRPr="002D37D9">
              <w:rPr>
                <w:rFonts w:ascii="ＭＳ Ｐゴシック" w:eastAsia="ＭＳ Ｐゴシック" w:hAnsi="ＭＳ Ｐゴシック" w:cs="ＭＳ Ｐゴシック" w:hint="eastAsia"/>
                <w:spacing w:val="0"/>
                <w:kern w:val="0"/>
                <w:sz w:val="22"/>
                <w:szCs w:val="22"/>
              </w:rPr>
              <w:br/>
              <w:t>工　　　事</w:t>
            </w:r>
          </w:p>
        </w:tc>
        <w:tc>
          <w:tcPr>
            <w:tcW w:w="1356" w:type="dxa"/>
            <w:tcBorders>
              <w:top w:val="single" w:sz="12" w:space="0" w:color="auto"/>
              <w:left w:val="nil"/>
              <w:bottom w:val="double" w:sz="6" w:space="0" w:color="auto"/>
              <w:right w:val="single" w:sz="4" w:space="0" w:color="auto"/>
            </w:tcBorders>
            <w:shd w:val="clear" w:color="auto" w:fill="auto"/>
            <w:vAlign w:val="center"/>
          </w:tcPr>
          <w:p w14:paraId="06D08E28"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電気工事</w:t>
            </w:r>
            <w:r w:rsidRPr="002D37D9">
              <w:rPr>
                <w:rFonts w:ascii="ＭＳ Ｐゴシック" w:eastAsia="ＭＳ Ｐゴシック" w:hAnsi="ＭＳ Ｐゴシック" w:cs="ＭＳ Ｐゴシック" w:hint="eastAsia"/>
                <w:spacing w:val="0"/>
                <w:kern w:val="0"/>
                <w:sz w:val="22"/>
                <w:szCs w:val="22"/>
              </w:rPr>
              <w:br/>
              <w:t>・管工事</w:t>
            </w:r>
          </w:p>
        </w:tc>
        <w:tc>
          <w:tcPr>
            <w:tcW w:w="1356" w:type="dxa"/>
            <w:tcBorders>
              <w:top w:val="single" w:sz="12" w:space="0" w:color="auto"/>
              <w:left w:val="nil"/>
              <w:bottom w:val="double" w:sz="6" w:space="0" w:color="auto"/>
              <w:right w:val="single" w:sz="4" w:space="0" w:color="auto"/>
            </w:tcBorders>
            <w:shd w:val="clear" w:color="auto" w:fill="auto"/>
            <w:vAlign w:val="center"/>
          </w:tcPr>
          <w:p w14:paraId="09EA563F"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舗装工事</w:t>
            </w:r>
          </w:p>
        </w:tc>
        <w:tc>
          <w:tcPr>
            <w:tcW w:w="1469" w:type="dxa"/>
            <w:tcBorders>
              <w:top w:val="single" w:sz="12" w:space="0" w:color="auto"/>
              <w:left w:val="nil"/>
              <w:bottom w:val="double" w:sz="6" w:space="0" w:color="auto"/>
              <w:right w:val="single" w:sz="4" w:space="0" w:color="auto"/>
            </w:tcBorders>
            <w:vAlign w:val="center"/>
          </w:tcPr>
          <w:p w14:paraId="7DFB6DD3"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造園工事</w:t>
            </w:r>
          </w:p>
        </w:tc>
        <w:tc>
          <w:tcPr>
            <w:tcW w:w="1356" w:type="dxa"/>
            <w:tcBorders>
              <w:top w:val="single" w:sz="12" w:space="0" w:color="auto"/>
              <w:left w:val="single" w:sz="4" w:space="0" w:color="auto"/>
              <w:bottom w:val="double" w:sz="6" w:space="0" w:color="auto"/>
              <w:right w:val="single" w:sz="12" w:space="0" w:color="auto"/>
            </w:tcBorders>
            <w:shd w:val="clear" w:color="auto" w:fill="auto"/>
            <w:vAlign w:val="center"/>
          </w:tcPr>
          <w:p w14:paraId="31B127AC"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その他の</w:t>
            </w:r>
          </w:p>
          <w:p w14:paraId="744BBA3D"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工事</w:t>
            </w:r>
          </w:p>
        </w:tc>
      </w:tr>
      <w:tr w:rsidR="006F3E9E" w:rsidRPr="002D37D9" w14:paraId="6230B61C" w14:textId="77777777" w:rsidTr="009C7DC4">
        <w:trPr>
          <w:trHeight w:val="585"/>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35AA291F"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w:t>
            </w:r>
          </w:p>
        </w:tc>
        <w:tc>
          <w:tcPr>
            <w:tcW w:w="8359" w:type="dxa"/>
            <w:gridSpan w:val="6"/>
            <w:tcBorders>
              <w:top w:val="nil"/>
              <w:left w:val="nil"/>
              <w:bottom w:val="single" w:sz="4" w:space="0" w:color="auto"/>
              <w:right w:val="single" w:sz="12" w:space="0" w:color="auto"/>
            </w:tcBorders>
            <w:vAlign w:val="center"/>
          </w:tcPr>
          <w:p w14:paraId="5BF85DBB"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highlight w:val="cyan"/>
              </w:rPr>
            </w:pP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億円（ＷＴＯ対象額）以上</w:t>
            </w:r>
          </w:p>
        </w:tc>
      </w:tr>
      <w:tr w:rsidR="006F3E9E" w:rsidRPr="002D37D9" w14:paraId="475C073E" w14:textId="77777777" w:rsidTr="009C7DC4">
        <w:trPr>
          <w:trHeight w:val="624"/>
        </w:trPr>
        <w:tc>
          <w:tcPr>
            <w:tcW w:w="1374"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01C72E96" w14:textId="77777777" w:rsidR="006F3E9E" w:rsidRPr="002D37D9" w:rsidRDefault="006F3E9E" w:rsidP="006F3E9E">
            <w:pPr>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152DEDF" w14:textId="77777777" w:rsidR="006F3E9E" w:rsidRPr="002D37D9" w:rsidRDefault="006F3E9E" w:rsidP="006F3E9E">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１３．５億円～</w:t>
            </w:r>
            <w:r w:rsidRPr="008B631B">
              <w:rPr>
                <w:rFonts w:ascii="ＭＳ Ｐゴシック" w:eastAsia="ＭＳ Ｐゴシック" w:hAnsi="ＭＳ Ｐゴシック" w:hint="eastAsia"/>
                <w:color w:val="000000"/>
                <w:sz w:val="22"/>
                <w:szCs w:val="22"/>
              </w:rPr>
              <w:t>２７．２</w:t>
            </w:r>
            <w:r w:rsidRPr="002D37D9">
              <w:rPr>
                <w:rFonts w:ascii="ＭＳ Ｐゴシック" w:eastAsia="ＭＳ Ｐゴシック" w:hAnsi="ＭＳ Ｐゴシック" w:hint="eastAsia"/>
                <w:color w:val="000000"/>
                <w:sz w:val="22"/>
                <w:szCs w:val="22"/>
              </w:rPr>
              <w:t>億円</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733CFB8F" w14:textId="77777777" w:rsidR="006F3E9E" w:rsidRPr="002D37D9" w:rsidRDefault="006F3E9E" w:rsidP="006F3E9E">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１５．０億円～</w:t>
            </w:r>
            <w:r w:rsidRPr="008B631B">
              <w:rPr>
                <w:rFonts w:ascii="ＭＳ Ｐゴシック" w:eastAsia="ＭＳ Ｐゴシック" w:hAnsi="ＭＳ Ｐゴシック" w:hint="eastAsia"/>
                <w:color w:val="000000"/>
                <w:sz w:val="22"/>
                <w:szCs w:val="22"/>
              </w:rPr>
              <w:t>２７．２</w:t>
            </w:r>
            <w:r w:rsidRPr="002D37D9">
              <w:rPr>
                <w:rFonts w:ascii="ＭＳ Ｐゴシック" w:eastAsia="ＭＳ Ｐゴシック" w:hAnsi="ＭＳ Ｐゴシック" w:hint="eastAsia"/>
                <w:color w:val="000000"/>
                <w:sz w:val="22"/>
                <w:szCs w:val="22"/>
              </w:rPr>
              <w:t>億円</w:t>
            </w:r>
          </w:p>
        </w:tc>
        <w:tc>
          <w:tcPr>
            <w:tcW w:w="1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58B9909" w14:textId="77777777" w:rsidR="006F3E9E" w:rsidRPr="002D37D9" w:rsidRDefault="006F3E9E" w:rsidP="006F3E9E">
            <w:pPr>
              <w:spacing w:line="240" w:lineRule="auto"/>
              <w:jc w:val="center"/>
              <w:rPr>
                <w:rFonts w:ascii="ＭＳ Ｐゴシック" w:eastAsia="ＭＳ Ｐゴシック" w:hAnsi="ＭＳ Ｐゴシック" w:cs="ＭＳ Ｐゴシック"/>
                <w:spacing w:val="0"/>
                <w:kern w:val="0"/>
                <w:sz w:val="22"/>
                <w:szCs w:val="22"/>
              </w:rPr>
            </w:pPr>
          </w:p>
        </w:tc>
        <w:tc>
          <w:tcPr>
            <w:tcW w:w="1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7A99F4" w14:textId="77777777" w:rsidR="006F3E9E" w:rsidRPr="002D37D9" w:rsidRDefault="006F3E9E" w:rsidP="006F3E9E">
            <w:pPr>
              <w:spacing w:line="240" w:lineRule="auto"/>
              <w:jc w:val="center"/>
              <w:rPr>
                <w:rFonts w:ascii="ＭＳ Ｐゴシック" w:eastAsia="ＭＳ Ｐゴシック" w:hAnsi="ＭＳ Ｐゴシック" w:cs="ＭＳ Ｐゴシック"/>
                <w:spacing w:val="0"/>
                <w:kern w:val="0"/>
                <w:sz w:val="22"/>
                <w:szCs w:val="22"/>
              </w:rPr>
            </w:pPr>
          </w:p>
        </w:tc>
        <w:tc>
          <w:tcPr>
            <w:tcW w:w="1469" w:type="dxa"/>
            <w:tcBorders>
              <w:top w:val="single" w:sz="4" w:space="0" w:color="auto"/>
              <w:left w:val="single" w:sz="4" w:space="0" w:color="auto"/>
              <w:bottom w:val="single" w:sz="4" w:space="0" w:color="auto"/>
              <w:right w:val="single" w:sz="4" w:space="0" w:color="auto"/>
              <w:tr2bl w:val="single" w:sz="4" w:space="0" w:color="auto"/>
            </w:tcBorders>
          </w:tcPr>
          <w:p w14:paraId="1570FB83" w14:textId="77777777" w:rsidR="006F3E9E" w:rsidRPr="002D37D9" w:rsidRDefault="006F3E9E" w:rsidP="006F3E9E">
            <w:pPr>
              <w:spacing w:line="240" w:lineRule="auto"/>
              <w:jc w:val="center"/>
              <w:rPr>
                <w:rFonts w:ascii="ＭＳ Ｐゴシック" w:eastAsia="ＭＳ Ｐゴシック" w:hAnsi="ＭＳ Ｐゴシック" w:cs="ＭＳ Ｐゴシック"/>
                <w:spacing w:val="0"/>
                <w:kern w:val="0"/>
                <w:sz w:val="22"/>
                <w:szCs w:val="22"/>
              </w:rPr>
            </w:pPr>
          </w:p>
        </w:tc>
        <w:tc>
          <w:tcPr>
            <w:tcW w:w="1356"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14:paraId="2A6D8A36" w14:textId="77777777" w:rsidR="006F3E9E" w:rsidRPr="002D37D9" w:rsidRDefault="006F3E9E" w:rsidP="006F3E9E">
            <w:pPr>
              <w:spacing w:line="240" w:lineRule="auto"/>
              <w:jc w:val="center"/>
              <w:rPr>
                <w:rFonts w:ascii="ＭＳ Ｐゴシック" w:eastAsia="ＭＳ Ｐゴシック" w:hAnsi="ＭＳ Ｐゴシック" w:cs="ＭＳ Ｐゴシック"/>
                <w:spacing w:val="0"/>
                <w:kern w:val="0"/>
                <w:sz w:val="22"/>
                <w:szCs w:val="22"/>
              </w:rPr>
            </w:pPr>
          </w:p>
        </w:tc>
      </w:tr>
      <w:tr w:rsidR="006F3E9E" w:rsidRPr="002D37D9" w14:paraId="3DBA68FB" w14:textId="77777777" w:rsidTr="009C7DC4">
        <w:trPr>
          <w:trHeight w:val="630"/>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308EB642"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★-１</w:t>
            </w:r>
          </w:p>
        </w:tc>
        <w:tc>
          <w:tcPr>
            <w:tcW w:w="1428" w:type="dxa"/>
            <w:tcBorders>
              <w:top w:val="nil"/>
              <w:left w:val="nil"/>
              <w:bottom w:val="single" w:sz="4" w:space="0" w:color="auto"/>
              <w:right w:val="single" w:sz="4" w:space="0" w:color="auto"/>
            </w:tcBorders>
            <w:shd w:val="clear" w:color="auto" w:fill="auto"/>
            <w:vAlign w:val="center"/>
          </w:tcPr>
          <w:p w14:paraId="6DF2C88E" w14:textId="77777777" w:rsidR="006F3E9E" w:rsidRPr="002D37D9" w:rsidRDefault="006F3E9E" w:rsidP="006F3E9E">
            <w:pPr>
              <w:spacing w:line="240" w:lineRule="auto"/>
              <w:jc w:val="center"/>
              <w:rPr>
                <w:rFonts w:ascii="ＭＳ Ｐゴシック" w:eastAsia="ＭＳ Ｐゴシック" w:hAnsi="ＭＳ Ｐゴシック"/>
                <w:color w:val="000000"/>
                <w:sz w:val="22"/>
                <w:szCs w:val="22"/>
              </w:rPr>
            </w:pPr>
            <w:r w:rsidRPr="002D37D9">
              <w:rPr>
                <w:rFonts w:ascii="ＭＳ Ｐゴシック" w:eastAsia="ＭＳ Ｐゴシック" w:hAnsi="ＭＳ Ｐゴシック" w:hint="eastAsia"/>
                <w:color w:val="000000"/>
                <w:sz w:val="22"/>
                <w:szCs w:val="22"/>
              </w:rPr>
              <w:t>３．５億円～</w:t>
            </w:r>
            <w:r w:rsidRPr="002D37D9">
              <w:rPr>
                <w:rFonts w:ascii="ＭＳ Ｐゴシック" w:eastAsia="ＭＳ Ｐゴシック" w:hAnsi="ＭＳ Ｐゴシック" w:hint="eastAsia"/>
                <w:color w:val="000000"/>
                <w:sz w:val="22"/>
                <w:szCs w:val="22"/>
              </w:rPr>
              <w:br/>
              <w:t>１３．５億円</w:t>
            </w:r>
          </w:p>
        </w:tc>
        <w:tc>
          <w:tcPr>
            <w:tcW w:w="1394" w:type="dxa"/>
            <w:tcBorders>
              <w:top w:val="nil"/>
              <w:left w:val="nil"/>
              <w:bottom w:val="single" w:sz="4" w:space="0" w:color="auto"/>
              <w:right w:val="single" w:sz="4" w:space="0" w:color="auto"/>
            </w:tcBorders>
            <w:shd w:val="clear" w:color="auto" w:fill="auto"/>
            <w:vAlign w:val="center"/>
          </w:tcPr>
          <w:p w14:paraId="1604F3D6" w14:textId="77777777" w:rsidR="006F3E9E" w:rsidRPr="002D37D9" w:rsidRDefault="006F3E9E" w:rsidP="006F3E9E">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６．０億円～</w:t>
            </w:r>
            <w:r w:rsidRPr="002D37D9">
              <w:rPr>
                <w:rFonts w:ascii="ＭＳ Ｐゴシック" w:eastAsia="ＭＳ Ｐゴシック" w:hAnsi="ＭＳ Ｐゴシック" w:hint="eastAsia"/>
                <w:color w:val="000000"/>
                <w:sz w:val="22"/>
                <w:szCs w:val="22"/>
              </w:rPr>
              <w:br/>
              <w:t>１５．０億円</w:t>
            </w:r>
          </w:p>
        </w:tc>
        <w:tc>
          <w:tcPr>
            <w:tcW w:w="1356" w:type="dxa"/>
            <w:tcBorders>
              <w:top w:val="nil"/>
              <w:left w:val="nil"/>
              <w:bottom w:val="single" w:sz="4" w:space="0" w:color="auto"/>
              <w:right w:val="single" w:sz="4" w:space="0" w:color="auto"/>
            </w:tcBorders>
            <w:shd w:val="clear" w:color="auto" w:fill="auto"/>
            <w:vAlign w:val="center"/>
          </w:tcPr>
          <w:p w14:paraId="570B2325"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２．０億円～</w:t>
            </w:r>
          </w:p>
          <w:p w14:paraId="61502A71"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w:t>
            </w:r>
          </w:p>
        </w:tc>
        <w:tc>
          <w:tcPr>
            <w:tcW w:w="1356" w:type="dxa"/>
            <w:tcBorders>
              <w:top w:val="nil"/>
              <w:left w:val="nil"/>
              <w:bottom w:val="single" w:sz="4" w:space="0" w:color="auto"/>
              <w:right w:val="single" w:sz="4" w:space="0" w:color="auto"/>
              <w:tr2bl w:val="single" w:sz="4" w:space="0" w:color="auto"/>
            </w:tcBorders>
            <w:shd w:val="clear" w:color="auto" w:fill="auto"/>
            <w:vAlign w:val="center"/>
          </w:tcPr>
          <w:p w14:paraId="5B790F62"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4E5016BD" w14:textId="77777777" w:rsidR="006F3E9E"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０．５億円～</w:t>
            </w:r>
          </w:p>
          <w:p w14:paraId="71853F54"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w:t>
            </w:r>
          </w:p>
        </w:tc>
        <w:tc>
          <w:tcPr>
            <w:tcW w:w="1356" w:type="dxa"/>
            <w:vMerge/>
            <w:tcBorders>
              <w:left w:val="single" w:sz="4" w:space="0" w:color="auto"/>
              <w:right w:val="single" w:sz="12" w:space="0" w:color="auto"/>
            </w:tcBorders>
            <w:shd w:val="clear" w:color="auto" w:fill="auto"/>
            <w:vAlign w:val="center"/>
          </w:tcPr>
          <w:p w14:paraId="1FDB5E39"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6F3E9E" w:rsidRPr="002D37D9" w14:paraId="215BE10C" w14:textId="77777777" w:rsidTr="009C7DC4">
        <w:trPr>
          <w:trHeight w:val="630"/>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335A2878"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w:t>
            </w:r>
          </w:p>
        </w:tc>
        <w:tc>
          <w:tcPr>
            <w:tcW w:w="1428" w:type="dxa"/>
            <w:tcBorders>
              <w:top w:val="nil"/>
              <w:left w:val="nil"/>
              <w:bottom w:val="single" w:sz="4" w:space="0" w:color="auto"/>
              <w:right w:val="single" w:sz="4" w:space="0" w:color="auto"/>
            </w:tcBorders>
            <w:shd w:val="clear" w:color="auto" w:fill="auto"/>
            <w:vAlign w:val="center"/>
          </w:tcPr>
          <w:p w14:paraId="24CF61C8" w14:textId="77777777" w:rsidR="006F3E9E" w:rsidRPr="002D37D9" w:rsidRDefault="006F3E9E" w:rsidP="006F3E9E">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０．９億円～</w:t>
            </w:r>
            <w:r w:rsidRPr="002D37D9">
              <w:rPr>
                <w:rFonts w:ascii="ＭＳ Ｐゴシック" w:eastAsia="ＭＳ Ｐゴシック" w:hAnsi="ＭＳ Ｐゴシック" w:hint="eastAsia"/>
                <w:color w:val="000000"/>
                <w:sz w:val="22"/>
                <w:szCs w:val="22"/>
              </w:rPr>
              <w:br/>
              <w:t>３．５億円</w:t>
            </w:r>
          </w:p>
        </w:tc>
        <w:tc>
          <w:tcPr>
            <w:tcW w:w="1394" w:type="dxa"/>
            <w:tcBorders>
              <w:top w:val="nil"/>
              <w:left w:val="nil"/>
              <w:bottom w:val="single" w:sz="4" w:space="0" w:color="auto"/>
              <w:right w:val="single" w:sz="4" w:space="0" w:color="auto"/>
            </w:tcBorders>
            <w:shd w:val="clear" w:color="auto" w:fill="auto"/>
            <w:noWrap/>
            <w:vAlign w:val="center"/>
          </w:tcPr>
          <w:p w14:paraId="42E6F57F" w14:textId="77777777" w:rsidR="006F3E9E" w:rsidRPr="002D37D9" w:rsidRDefault="006F3E9E" w:rsidP="006F3E9E">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１．８億円～</w:t>
            </w:r>
            <w:r w:rsidRPr="002D37D9">
              <w:rPr>
                <w:rFonts w:ascii="ＭＳ Ｐゴシック" w:eastAsia="ＭＳ Ｐゴシック" w:hAnsi="ＭＳ Ｐゴシック" w:hint="eastAsia"/>
                <w:color w:val="000000"/>
                <w:sz w:val="22"/>
                <w:szCs w:val="22"/>
              </w:rPr>
              <w:br/>
              <w:t>６．０億円</w:t>
            </w:r>
          </w:p>
        </w:tc>
        <w:tc>
          <w:tcPr>
            <w:tcW w:w="1356" w:type="dxa"/>
            <w:tcBorders>
              <w:top w:val="nil"/>
              <w:left w:val="nil"/>
              <w:bottom w:val="single" w:sz="4" w:space="0" w:color="auto"/>
              <w:right w:val="single" w:sz="4" w:space="0" w:color="auto"/>
            </w:tcBorders>
            <w:shd w:val="clear" w:color="auto" w:fill="auto"/>
            <w:noWrap/>
            <w:vAlign w:val="center"/>
          </w:tcPr>
          <w:p w14:paraId="3164D9B0"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０．５億円～</w:t>
            </w:r>
            <w:r w:rsidRPr="002D37D9">
              <w:rPr>
                <w:rFonts w:ascii="ＭＳ Ｐゴシック" w:eastAsia="ＭＳ Ｐゴシック" w:hAnsi="ＭＳ Ｐゴシック" w:cs="ＭＳ Ｐゴシック" w:hint="eastAsia"/>
                <w:spacing w:val="0"/>
                <w:kern w:val="0"/>
                <w:sz w:val="22"/>
                <w:szCs w:val="22"/>
              </w:rPr>
              <w:br/>
              <w:t>２．０億円</w:t>
            </w:r>
          </w:p>
        </w:tc>
        <w:tc>
          <w:tcPr>
            <w:tcW w:w="1356" w:type="dxa"/>
            <w:tcBorders>
              <w:top w:val="nil"/>
              <w:left w:val="nil"/>
              <w:bottom w:val="single" w:sz="4" w:space="0" w:color="auto"/>
              <w:right w:val="single" w:sz="4" w:space="0" w:color="auto"/>
            </w:tcBorders>
            <w:shd w:val="clear" w:color="auto" w:fill="auto"/>
            <w:noWrap/>
            <w:vAlign w:val="center"/>
          </w:tcPr>
          <w:p w14:paraId="04FFF288"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０．２５億円～</w:t>
            </w: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w:t>
            </w:r>
          </w:p>
        </w:tc>
        <w:tc>
          <w:tcPr>
            <w:tcW w:w="1469" w:type="dxa"/>
            <w:tcBorders>
              <w:top w:val="single" w:sz="4" w:space="0" w:color="auto"/>
              <w:left w:val="single" w:sz="4" w:space="0" w:color="auto"/>
              <w:bottom w:val="single" w:sz="4" w:space="0" w:color="auto"/>
              <w:right w:val="single" w:sz="4" w:space="0" w:color="auto"/>
            </w:tcBorders>
            <w:vAlign w:val="center"/>
          </w:tcPr>
          <w:p w14:paraId="6A080AB8"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０．１５億円～０．５億円</w:t>
            </w:r>
          </w:p>
        </w:tc>
        <w:tc>
          <w:tcPr>
            <w:tcW w:w="1356" w:type="dxa"/>
            <w:vMerge/>
            <w:tcBorders>
              <w:left w:val="single" w:sz="4" w:space="0" w:color="auto"/>
              <w:right w:val="single" w:sz="12" w:space="0" w:color="auto"/>
            </w:tcBorders>
            <w:shd w:val="clear" w:color="auto" w:fill="auto"/>
            <w:noWrap/>
            <w:vAlign w:val="center"/>
          </w:tcPr>
          <w:p w14:paraId="51902157"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6F3E9E" w:rsidRPr="002D37D9" w14:paraId="634BFE27" w14:textId="77777777" w:rsidTr="009C7DC4">
        <w:trPr>
          <w:trHeight w:val="630"/>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5CD5460D"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★-３</w:t>
            </w:r>
          </w:p>
        </w:tc>
        <w:tc>
          <w:tcPr>
            <w:tcW w:w="1428" w:type="dxa"/>
            <w:tcBorders>
              <w:top w:val="nil"/>
              <w:left w:val="nil"/>
              <w:bottom w:val="single" w:sz="4" w:space="0" w:color="auto"/>
              <w:right w:val="single" w:sz="4" w:space="0" w:color="auto"/>
            </w:tcBorders>
            <w:shd w:val="clear" w:color="auto" w:fill="auto"/>
            <w:vAlign w:val="center"/>
          </w:tcPr>
          <w:p w14:paraId="7CED3F81" w14:textId="77777777" w:rsidR="006F3E9E" w:rsidRPr="002D37D9" w:rsidRDefault="006F3E9E" w:rsidP="006F3E9E">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０．２億円～</w:t>
            </w:r>
            <w:r w:rsidRPr="002D37D9">
              <w:rPr>
                <w:rFonts w:ascii="ＭＳ Ｐゴシック" w:eastAsia="ＭＳ Ｐゴシック" w:hAnsi="ＭＳ Ｐゴシック" w:hint="eastAsia"/>
                <w:color w:val="000000"/>
                <w:sz w:val="22"/>
                <w:szCs w:val="22"/>
              </w:rPr>
              <w:br/>
              <w:t>０．９億円</w:t>
            </w:r>
          </w:p>
        </w:tc>
        <w:tc>
          <w:tcPr>
            <w:tcW w:w="1394" w:type="dxa"/>
            <w:tcBorders>
              <w:top w:val="nil"/>
              <w:left w:val="nil"/>
              <w:bottom w:val="single" w:sz="4" w:space="0" w:color="auto"/>
              <w:right w:val="single" w:sz="4" w:space="0" w:color="auto"/>
            </w:tcBorders>
            <w:shd w:val="clear" w:color="auto" w:fill="auto"/>
            <w:vAlign w:val="center"/>
          </w:tcPr>
          <w:p w14:paraId="34AA2F73" w14:textId="77777777" w:rsidR="006F3E9E" w:rsidRPr="002D37D9" w:rsidRDefault="006F3E9E" w:rsidP="006F3E9E">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０．５億円～</w:t>
            </w:r>
            <w:r w:rsidRPr="002D37D9">
              <w:rPr>
                <w:rFonts w:ascii="ＭＳ Ｐゴシック" w:eastAsia="ＭＳ Ｐゴシック" w:hAnsi="ＭＳ Ｐゴシック" w:hint="eastAsia"/>
                <w:color w:val="000000"/>
                <w:sz w:val="22"/>
                <w:szCs w:val="22"/>
              </w:rPr>
              <w:br/>
              <w:t>１．８億円</w:t>
            </w:r>
          </w:p>
        </w:tc>
        <w:tc>
          <w:tcPr>
            <w:tcW w:w="1356" w:type="dxa"/>
            <w:tcBorders>
              <w:top w:val="nil"/>
              <w:left w:val="nil"/>
              <w:bottom w:val="single" w:sz="4" w:space="0" w:color="auto"/>
              <w:right w:val="single" w:sz="4" w:space="0" w:color="auto"/>
            </w:tcBorders>
            <w:shd w:val="clear" w:color="auto" w:fill="auto"/>
            <w:vAlign w:val="center"/>
          </w:tcPr>
          <w:p w14:paraId="7FEB24B7"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０．２億円～</w:t>
            </w:r>
            <w:r w:rsidRPr="002D37D9">
              <w:rPr>
                <w:rFonts w:ascii="ＭＳ Ｐゴシック" w:eastAsia="ＭＳ Ｐゴシック" w:hAnsi="ＭＳ Ｐゴシック" w:cs="ＭＳ Ｐゴシック" w:hint="eastAsia"/>
                <w:spacing w:val="0"/>
                <w:kern w:val="0"/>
                <w:sz w:val="22"/>
                <w:szCs w:val="22"/>
              </w:rPr>
              <w:br/>
              <w:t>０．５億円</w:t>
            </w:r>
          </w:p>
        </w:tc>
        <w:tc>
          <w:tcPr>
            <w:tcW w:w="1356" w:type="dxa"/>
            <w:tcBorders>
              <w:top w:val="nil"/>
              <w:left w:val="nil"/>
              <w:bottom w:val="single" w:sz="4" w:space="0" w:color="auto"/>
              <w:right w:val="single" w:sz="4" w:space="0" w:color="auto"/>
            </w:tcBorders>
            <w:shd w:val="clear" w:color="auto" w:fill="auto"/>
            <w:vAlign w:val="center"/>
          </w:tcPr>
          <w:p w14:paraId="7AEC8DCB"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０．１億円～</w:t>
            </w:r>
            <w:r w:rsidRPr="002D37D9">
              <w:rPr>
                <w:rFonts w:ascii="ＭＳ Ｐゴシック" w:eastAsia="ＭＳ Ｐゴシック" w:hAnsi="ＭＳ Ｐゴシック" w:cs="ＭＳ Ｐゴシック" w:hint="eastAsia"/>
                <w:spacing w:val="0"/>
                <w:kern w:val="0"/>
                <w:sz w:val="22"/>
                <w:szCs w:val="22"/>
              </w:rPr>
              <w:br/>
              <w:t>０．２５億円</w:t>
            </w:r>
          </w:p>
        </w:tc>
        <w:tc>
          <w:tcPr>
            <w:tcW w:w="1469" w:type="dxa"/>
            <w:tcBorders>
              <w:top w:val="single" w:sz="4" w:space="0" w:color="auto"/>
              <w:left w:val="single" w:sz="4" w:space="0" w:color="auto"/>
              <w:bottom w:val="single" w:sz="4" w:space="0" w:color="auto"/>
              <w:right w:val="single" w:sz="4" w:space="0" w:color="auto"/>
            </w:tcBorders>
            <w:vAlign w:val="center"/>
          </w:tcPr>
          <w:p w14:paraId="600894C3"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５００万円～</w:t>
            </w:r>
            <w:r w:rsidRPr="002D37D9">
              <w:rPr>
                <w:rFonts w:ascii="ＭＳ Ｐゴシック" w:eastAsia="ＭＳ Ｐゴシック" w:hAnsi="ＭＳ Ｐゴシック" w:cs="ＭＳ Ｐゴシック"/>
                <w:spacing w:val="0"/>
                <w:kern w:val="0"/>
                <w:sz w:val="22"/>
                <w:szCs w:val="22"/>
              </w:rPr>
              <w:br/>
            </w:r>
            <w:r w:rsidRPr="002D37D9">
              <w:rPr>
                <w:rFonts w:ascii="ＭＳ Ｐゴシック" w:eastAsia="ＭＳ Ｐゴシック" w:hAnsi="ＭＳ Ｐゴシック" w:cs="ＭＳ Ｐゴシック" w:hint="eastAsia"/>
                <w:spacing w:val="0"/>
                <w:kern w:val="0"/>
                <w:sz w:val="22"/>
                <w:szCs w:val="22"/>
              </w:rPr>
              <w:t>０．１５億円</w:t>
            </w:r>
          </w:p>
        </w:tc>
        <w:tc>
          <w:tcPr>
            <w:tcW w:w="1356" w:type="dxa"/>
            <w:vMerge/>
            <w:tcBorders>
              <w:left w:val="single" w:sz="4" w:space="0" w:color="auto"/>
              <w:right w:val="single" w:sz="12" w:space="0" w:color="auto"/>
            </w:tcBorders>
            <w:shd w:val="clear" w:color="auto" w:fill="auto"/>
            <w:vAlign w:val="center"/>
          </w:tcPr>
          <w:p w14:paraId="443FEBF5"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6F3E9E" w:rsidRPr="002D37D9" w14:paraId="3B07DA58" w14:textId="77777777" w:rsidTr="009C7DC4">
        <w:trPr>
          <w:trHeight w:val="630"/>
        </w:trPr>
        <w:tc>
          <w:tcPr>
            <w:tcW w:w="1374" w:type="dxa"/>
            <w:tcBorders>
              <w:top w:val="nil"/>
              <w:left w:val="single" w:sz="12" w:space="0" w:color="auto"/>
              <w:bottom w:val="single" w:sz="4" w:space="0" w:color="auto"/>
              <w:right w:val="double" w:sz="6" w:space="0" w:color="auto"/>
            </w:tcBorders>
            <w:shd w:val="clear" w:color="auto" w:fill="auto"/>
            <w:noWrap/>
            <w:vAlign w:val="center"/>
          </w:tcPr>
          <w:p w14:paraId="75620A70"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★-４</w:t>
            </w:r>
          </w:p>
        </w:tc>
        <w:tc>
          <w:tcPr>
            <w:tcW w:w="1428" w:type="dxa"/>
            <w:tcBorders>
              <w:top w:val="nil"/>
              <w:left w:val="nil"/>
              <w:bottom w:val="single" w:sz="4" w:space="0" w:color="auto"/>
              <w:right w:val="single" w:sz="4" w:space="0" w:color="auto"/>
            </w:tcBorders>
            <w:shd w:val="clear" w:color="auto" w:fill="auto"/>
            <w:vAlign w:val="center"/>
          </w:tcPr>
          <w:p w14:paraId="4D375695" w14:textId="77777777" w:rsidR="006F3E9E" w:rsidRPr="002D37D9" w:rsidRDefault="006F3E9E" w:rsidP="006F3E9E">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２５０万円～</w:t>
            </w:r>
            <w:r w:rsidRPr="002D37D9">
              <w:rPr>
                <w:rFonts w:ascii="ＭＳ Ｐゴシック" w:eastAsia="ＭＳ Ｐゴシック" w:hAnsi="ＭＳ Ｐゴシック" w:hint="eastAsia"/>
                <w:color w:val="000000"/>
                <w:sz w:val="22"/>
                <w:szCs w:val="22"/>
              </w:rPr>
              <w:br/>
              <w:t>０．２億円</w:t>
            </w:r>
          </w:p>
        </w:tc>
        <w:tc>
          <w:tcPr>
            <w:tcW w:w="1394" w:type="dxa"/>
            <w:tcBorders>
              <w:top w:val="nil"/>
              <w:left w:val="nil"/>
              <w:bottom w:val="single" w:sz="4" w:space="0" w:color="auto"/>
              <w:right w:val="single" w:sz="4" w:space="0" w:color="auto"/>
            </w:tcBorders>
            <w:shd w:val="clear" w:color="auto" w:fill="auto"/>
            <w:vAlign w:val="center"/>
          </w:tcPr>
          <w:p w14:paraId="5F01818C" w14:textId="77777777" w:rsidR="006F3E9E" w:rsidRPr="002D37D9" w:rsidRDefault="006F3E9E" w:rsidP="006F3E9E">
            <w:pPr>
              <w:spacing w:line="240" w:lineRule="auto"/>
              <w:jc w:val="center"/>
              <w:rPr>
                <w:rFonts w:ascii="ＭＳ Ｐゴシック" w:eastAsia="ＭＳ Ｐゴシック" w:hAnsi="ＭＳ Ｐゴシック" w:cs="ＭＳ Ｐゴシック"/>
                <w:color w:val="000000"/>
                <w:sz w:val="22"/>
                <w:szCs w:val="22"/>
              </w:rPr>
            </w:pPr>
            <w:r w:rsidRPr="002D37D9">
              <w:rPr>
                <w:rFonts w:ascii="ＭＳ Ｐゴシック" w:eastAsia="ＭＳ Ｐゴシック" w:hAnsi="ＭＳ Ｐゴシック" w:hint="eastAsia"/>
                <w:color w:val="000000"/>
                <w:sz w:val="22"/>
                <w:szCs w:val="22"/>
              </w:rPr>
              <w:t>２５０万円～</w:t>
            </w:r>
            <w:r w:rsidRPr="002D37D9">
              <w:rPr>
                <w:rFonts w:ascii="ＭＳ Ｐゴシック" w:eastAsia="ＭＳ Ｐゴシック" w:hAnsi="ＭＳ Ｐゴシック" w:hint="eastAsia"/>
                <w:color w:val="000000"/>
                <w:sz w:val="22"/>
                <w:szCs w:val="22"/>
              </w:rPr>
              <w:br/>
              <w:t>０．５億円</w:t>
            </w:r>
          </w:p>
        </w:tc>
        <w:tc>
          <w:tcPr>
            <w:tcW w:w="1356" w:type="dxa"/>
            <w:tcBorders>
              <w:top w:val="nil"/>
              <w:left w:val="nil"/>
              <w:bottom w:val="single" w:sz="4" w:space="0" w:color="auto"/>
              <w:right w:val="single" w:sz="4" w:space="0" w:color="auto"/>
            </w:tcBorders>
            <w:shd w:val="clear" w:color="auto" w:fill="auto"/>
            <w:vAlign w:val="center"/>
          </w:tcPr>
          <w:p w14:paraId="57D3B585"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２５０万円～</w:t>
            </w:r>
          </w:p>
          <w:p w14:paraId="6FE78B1A"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０．２億円</w:t>
            </w:r>
          </w:p>
        </w:tc>
        <w:tc>
          <w:tcPr>
            <w:tcW w:w="1356" w:type="dxa"/>
            <w:tcBorders>
              <w:top w:val="nil"/>
              <w:left w:val="nil"/>
              <w:bottom w:val="single" w:sz="4" w:space="0" w:color="auto"/>
              <w:right w:val="single" w:sz="4" w:space="0" w:color="auto"/>
            </w:tcBorders>
            <w:shd w:val="clear" w:color="auto" w:fill="auto"/>
            <w:vAlign w:val="center"/>
          </w:tcPr>
          <w:p w14:paraId="20D051D8"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２５０万円～</w:t>
            </w:r>
          </w:p>
          <w:p w14:paraId="72E0866F"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０．１億円</w:t>
            </w:r>
          </w:p>
        </w:tc>
        <w:tc>
          <w:tcPr>
            <w:tcW w:w="1469" w:type="dxa"/>
            <w:tcBorders>
              <w:top w:val="single" w:sz="4" w:space="0" w:color="auto"/>
              <w:left w:val="single" w:sz="4" w:space="0" w:color="auto"/>
              <w:right w:val="single" w:sz="4" w:space="0" w:color="auto"/>
            </w:tcBorders>
          </w:tcPr>
          <w:p w14:paraId="2A924EA8" w14:textId="77777777" w:rsidR="006F3E9E" w:rsidRPr="002D37D9" w:rsidRDefault="006F3E9E" w:rsidP="006F3E9E">
            <w:pPr>
              <w:snapToGrid w:val="0"/>
              <w:spacing w:line="240" w:lineRule="auto"/>
              <w:jc w:val="center"/>
              <w:rPr>
                <w:rFonts w:ascii="ＭＳ Ｐゴシック" w:eastAsia="ＭＳ Ｐゴシック" w:hAnsi="ＭＳ Ｐゴシック"/>
              </w:rPr>
            </w:pPr>
            <w:r w:rsidRPr="002D37D9">
              <w:rPr>
                <w:rFonts w:ascii="ＭＳ Ｐゴシック" w:eastAsia="ＭＳ Ｐゴシック" w:hAnsi="ＭＳ Ｐゴシック" w:cs="ＭＳ Ｐゴシック" w:hint="eastAsia"/>
                <w:spacing w:val="0"/>
                <w:kern w:val="0"/>
                <w:sz w:val="22"/>
                <w:szCs w:val="22"/>
              </w:rPr>
              <w:t>２５０万円～</w:t>
            </w:r>
            <w:r w:rsidRPr="002D37D9">
              <w:rPr>
                <w:rFonts w:ascii="ＭＳ Ｐゴシック" w:eastAsia="ＭＳ Ｐゴシック" w:hAnsi="ＭＳ Ｐゴシック" w:cs="ＭＳ Ｐゴシック" w:hint="eastAsia"/>
                <w:spacing w:val="0"/>
                <w:kern w:val="0"/>
                <w:sz w:val="22"/>
                <w:szCs w:val="22"/>
              </w:rPr>
              <w:br/>
              <w:t>５００万円</w:t>
            </w:r>
          </w:p>
        </w:tc>
        <w:tc>
          <w:tcPr>
            <w:tcW w:w="1356" w:type="dxa"/>
            <w:vMerge/>
            <w:tcBorders>
              <w:left w:val="single" w:sz="4" w:space="0" w:color="auto"/>
              <w:right w:val="single" w:sz="12" w:space="0" w:color="auto"/>
            </w:tcBorders>
            <w:shd w:val="clear" w:color="auto" w:fill="auto"/>
            <w:vAlign w:val="center"/>
          </w:tcPr>
          <w:p w14:paraId="49E04019"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6F3E9E" w:rsidRPr="002D37D9" w14:paraId="34FD3A3A" w14:textId="77777777" w:rsidTr="009C7DC4">
        <w:trPr>
          <w:trHeight w:val="660"/>
        </w:trPr>
        <w:tc>
          <w:tcPr>
            <w:tcW w:w="1374" w:type="dxa"/>
            <w:tcBorders>
              <w:top w:val="nil"/>
              <w:left w:val="single" w:sz="12" w:space="0" w:color="auto"/>
              <w:bottom w:val="single" w:sz="12" w:space="0" w:color="auto"/>
              <w:right w:val="double" w:sz="6" w:space="0" w:color="auto"/>
            </w:tcBorders>
            <w:shd w:val="clear" w:color="auto" w:fill="auto"/>
            <w:noWrap/>
            <w:vAlign w:val="center"/>
          </w:tcPr>
          <w:p w14:paraId="375044F3"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2D37D9">
              <w:rPr>
                <w:rFonts w:ascii="ＭＳ Ｐゴシック" w:eastAsia="ＭＳ Ｐゴシック" w:hAnsi="ＭＳ Ｐゴシック" w:cs="ＭＳ Ｐゴシック" w:hint="eastAsia"/>
                <w:color w:val="000000"/>
                <w:spacing w:val="0"/>
                <w:kern w:val="0"/>
                <w:sz w:val="22"/>
                <w:szCs w:val="22"/>
              </w:rPr>
              <w:t>★</w:t>
            </w:r>
          </w:p>
        </w:tc>
        <w:tc>
          <w:tcPr>
            <w:tcW w:w="5534"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1D71F619"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69" w:type="dxa"/>
            <w:tcBorders>
              <w:top w:val="single" w:sz="4" w:space="0" w:color="auto"/>
              <w:left w:val="single" w:sz="4" w:space="0" w:color="auto"/>
              <w:bottom w:val="single" w:sz="12" w:space="0" w:color="auto"/>
              <w:right w:val="single" w:sz="4" w:space="0" w:color="auto"/>
            </w:tcBorders>
          </w:tcPr>
          <w:p w14:paraId="37FACC10"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356" w:type="dxa"/>
            <w:tcBorders>
              <w:top w:val="single" w:sz="4" w:space="0" w:color="auto"/>
              <w:left w:val="single" w:sz="4" w:space="0" w:color="auto"/>
              <w:bottom w:val="single" w:sz="12" w:space="0" w:color="auto"/>
              <w:right w:val="single" w:sz="12" w:space="0" w:color="auto"/>
            </w:tcBorders>
            <w:shd w:val="clear" w:color="auto" w:fill="auto"/>
            <w:vAlign w:val="center"/>
          </w:tcPr>
          <w:p w14:paraId="2B735762" w14:textId="77777777" w:rsidR="006F3E9E"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2D37D9">
              <w:rPr>
                <w:rFonts w:ascii="ＭＳ Ｐゴシック" w:eastAsia="ＭＳ Ｐゴシック" w:hAnsi="ＭＳ Ｐゴシック" w:cs="ＭＳ Ｐゴシック" w:hint="eastAsia"/>
                <w:spacing w:val="0"/>
                <w:kern w:val="0"/>
                <w:sz w:val="22"/>
                <w:szCs w:val="22"/>
              </w:rPr>
              <w:t>２５０万円～</w:t>
            </w:r>
          </w:p>
          <w:p w14:paraId="02EC0EB7" w14:textId="77777777" w:rsidR="006F3E9E" w:rsidRPr="002D37D9" w:rsidRDefault="006F3E9E" w:rsidP="006F3E9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8B631B">
              <w:rPr>
                <w:rFonts w:ascii="ＭＳ Ｐゴシック" w:eastAsia="ＭＳ Ｐゴシック" w:hAnsi="ＭＳ Ｐゴシック" w:cs="ＭＳ Ｐゴシック" w:hint="eastAsia"/>
                <w:spacing w:val="0"/>
                <w:kern w:val="0"/>
                <w:sz w:val="22"/>
                <w:szCs w:val="22"/>
              </w:rPr>
              <w:t>２７．２</w:t>
            </w:r>
            <w:r w:rsidRPr="002D37D9">
              <w:rPr>
                <w:rFonts w:ascii="ＭＳ Ｐゴシック" w:eastAsia="ＭＳ Ｐゴシック" w:hAnsi="ＭＳ Ｐゴシック" w:cs="ＭＳ Ｐゴシック" w:hint="eastAsia"/>
                <w:spacing w:val="0"/>
                <w:kern w:val="0"/>
                <w:sz w:val="22"/>
                <w:szCs w:val="22"/>
              </w:rPr>
              <w:t>億円</w:t>
            </w:r>
          </w:p>
        </w:tc>
      </w:tr>
    </w:tbl>
    <w:p w14:paraId="56A00E8F" w14:textId="7F4A0EDA" w:rsidR="00C611DD" w:rsidRPr="005F685C" w:rsidRDefault="00356299">
      <w:pPr>
        <w:kinsoku w:val="0"/>
        <w:wordWrap w:val="0"/>
        <w:overflowPunct w:val="0"/>
        <w:ind w:leftChars="199" w:left="450" w:right="452" w:firstLineChars="100" w:firstLine="226"/>
        <w:rPr>
          <w:highlight w:val="yellow"/>
        </w:rPr>
      </w:pPr>
      <w:r>
        <w:rPr>
          <w:rFonts w:hint="eastAsia"/>
        </w:rPr>
        <w:t xml:space="preserve">　</w:t>
      </w:r>
      <w:r w:rsidR="00C611DD">
        <w:rPr>
          <w:rFonts w:hint="eastAsia"/>
        </w:rPr>
        <w:t>この公表資料は、</w:t>
      </w:r>
      <w:r w:rsidR="006F3E9E" w:rsidRPr="00620482">
        <w:rPr>
          <w:rFonts w:hint="eastAsia"/>
        </w:rPr>
        <w:t>日本万国博覧会記念公園事務所ホームページ</w:t>
      </w:r>
    </w:p>
    <w:p w14:paraId="555B5C10" w14:textId="3D959C76" w:rsidR="00C611DD" w:rsidRDefault="006F3E9E">
      <w:pPr>
        <w:kinsoku w:val="0"/>
        <w:wordWrap w:val="0"/>
        <w:overflowPunct w:val="0"/>
        <w:ind w:leftChars="199" w:left="450" w:right="452" w:firstLineChars="100" w:firstLine="226"/>
      </w:pPr>
      <w:r w:rsidRPr="00620482">
        <w:rPr>
          <w:rFonts w:hint="eastAsia"/>
        </w:rPr>
        <w:t>（</w:t>
      </w:r>
      <w:hyperlink r:id="rId7" w:history="1">
        <w:r w:rsidRPr="006B0E7B">
          <w:rPr>
            <w:rStyle w:val="aff4"/>
          </w:rPr>
          <w:t>https://www.pref.osaka.lg.jp/o070130/bampaku/nyuusatsu/index.html</w:t>
        </w:r>
      </w:hyperlink>
      <w:r w:rsidRPr="00620482">
        <w:rPr>
          <w:rFonts w:hint="eastAsia"/>
        </w:rPr>
        <w:t>）</w:t>
      </w:r>
      <w:r w:rsidR="00C611DD">
        <w:rPr>
          <w:rFonts w:hint="eastAsia"/>
        </w:rPr>
        <w:t>においてもご覧になれます。</w:t>
      </w:r>
    </w:p>
    <w:p w14:paraId="4E3F807A" w14:textId="60979CE5" w:rsidR="00C611DD" w:rsidRPr="00027B88" w:rsidRDefault="00BA35B6" w:rsidP="00027B88">
      <w:pPr>
        <w:kinsoku w:val="0"/>
        <w:wordWrap w:val="0"/>
        <w:overflowPunct w:val="0"/>
        <w:ind w:left="904" w:right="678" w:hangingChars="400" w:hanging="904"/>
        <w:rPr>
          <w:rFonts w:ascii="ＭＳ ゴシック" w:eastAsia="ＭＳ ゴシック" w:hint="eastAsia"/>
          <w:b/>
          <w:bCs/>
          <w:color w:val="000000"/>
          <w:szCs w:val="21"/>
        </w:rPr>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p>
    <w:sectPr w:rsidR="00C611DD" w:rsidRPr="00027B88"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99A2" w14:textId="77777777" w:rsidR="00062842" w:rsidRDefault="00062842" w:rsidP="00177A57">
      <w:pPr>
        <w:spacing w:line="240" w:lineRule="auto"/>
      </w:pPr>
      <w:r>
        <w:separator/>
      </w:r>
    </w:p>
  </w:endnote>
  <w:endnote w:type="continuationSeparator" w:id="0">
    <w:p w14:paraId="1C86CE50" w14:textId="77777777" w:rsidR="00062842" w:rsidRDefault="00062842"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17EB" w14:textId="77777777" w:rsidR="00062842" w:rsidRDefault="00062842" w:rsidP="00177A57">
      <w:pPr>
        <w:spacing w:line="240" w:lineRule="auto"/>
      </w:pPr>
      <w:r>
        <w:separator/>
      </w:r>
    </w:p>
  </w:footnote>
  <w:footnote w:type="continuationSeparator" w:id="0">
    <w:p w14:paraId="76F55913" w14:textId="77777777" w:rsidR="00062842" w:rsidRDefault="00062842"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C2C"/>
    <w:rsid w:val="000025F3"/>
    <w:rsid w:val="00002B89"/>
    <w:rsid w:val="00005FDE"/>
    <w:rsid w:val="00027B88"/>
    <w:rsid w:val="00043B97"/>
    <w:rsid w:val="00060DA8"/>
    <w:rsid w:val="00062842"/>
    <w:rsid w:val="00062ABA"/>
    <w:rsid w:val="00064E32"/>
    <w:rsid w:val="000D526C"/>
    <w:rsid w:val="000D6AC9"/>
    <w:rsid w:val="000D7B00"/>
    <w:rsid w:val="000E05AF"/>
    <w:rsid w:val="000E1515"/>
    <w:rsid w:val="00146A70"/>
    <w:rsid w:val="00163188"/>
    <w:rsid w:val="00177A57"/>
    <w:rsid w:val="00195865"/>
    <w:rsid w:val="001A790A"/>
    <w:rsid w:val="001F495A"/>
    <w:rsid w:val="001F4E73"/>
    <w:rsid w:val="001F75E7"/>
    <w:rsid w:val="00200C2C"/>
    <w:rsid w:val="002133E0"/>
    <w:rsid w:val="00242067"/>
    <w:rsid w:val="002672CF"/>
    <w:rsid w:val="002C577B"/>
    <w:rsid w:val="002D2A69"/>
    <w:rsid w:val="002D471D"/>
    <w:rsid w:val="002F21B5"/>
    <w:rsid w:val="00304716"/>
    <w:rsid w:val="00314325"/>
    <w:rsid w:val="00356299"/>
    <w:rsid w:val="0036307D"/>
    <w:rsid w:val="003669C5"/>
    <w:rsid w:val="00391169"/>
    <w:rsid w:val="00393737"/>
    <w:rsid w:val="00397F45"/>
    <w:rsid w:val="003B5698"/>
    <w:rsid w:val="003B5A93"/>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C2640"/>
    <w:rsid w:val="006D36D6"/>
    <w:rsid w:val="006F3E9E"/>
    <w:rsid w:val="007351BF"/>
    <w:rsid w:val="007411B8"/>
    <w:rsid w:val="00746DF0"/>
    <w:rsid w:val="007566B0"/>
    <w:rsid w:val="007C2AB6"/>
    <w:rsid w:val="007F2D91"/>
    <w:rsid w:val="00851C6C"/>
    <w:rsid w:val="00874FC2"/>
    <w:rsid w:val="0088607F"/>
    <w:rsid w:val="00894EB8"/>
    <w:rsid w:val="008B7099"/>
    <w:rsid w:val="008E6D9E"/>
    <w:rsid w:val="009060B8"/>
    <w:rsid w:val="00907F92"/>
    <w:rsid w:val="009543D4"/>
    <w:rsid w:val="009A7728"/>
    <w:rsid w:val="009E13B7"/>
    <w:rsid w:val="00A8468A"/>
    <w:rsid w:val="00AA6FA1"/>
    <w:rsid w:val="00AC56EE"/>
    <w:rsid w:val="00AC6251"/>
    <w:rsid w:val="00AD33EF"/>
    <w:rsid w:val="00AF0723"/>
    <w:rsid w:val="00B374CC"/>
    <w:rsid w:val="00B52992"/>
    <w:rsid w:val="00B8454C"/>
    <w:rsid w:val="00BA35B6"/>
    <w:rsid w:val="00C053A8"/>
    <w:rsid w:val="00C3234E"/>
    <w:rsid w:val="00C45A8B"/>
    <w:rsid w:val="00C611DD"/>
    <w:rsid w:val="00C92E17"/>
    <w:rsid w:val="00CC6376"/>
    <w:rsid w:val="00CC6A4D"/>
    <w:rsid w:val="00CE039A"/>
    <w:rsid w:val="00D36D28"/>
    <w:rsid w:val="00D47C9F"/>
    <w:rsid w:val="00DB3166"/>
    <w:rsid w:val="00E36C63"/>
    <w:rsid w:val="00E55B99"/>
    <w:rsid w:val="00E6195C"/>
    <w:rsid w:val="00E63428"/>
    <w:rsid w:val="00F13BC7"/>
    <w:rsid w:val="00F15E74"/>
    <w:rsid w:val="00F26EE7"/>
    <w:rsid w:val="00F50099"/>
    <w:rsid w:val="00F532E7"/>
    <w:rsid w:val="00F63A4D"/>
    <w:rsid w:val="00F721BB"/>
    <w:rsid w:val="00F76B5B"/>
    <w:rsid w:val="00FC3450"/>
    <w:rsid w:val="00FD4AE8"/>
    <w:rsid w:val="00FE24B2"/>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235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o070130/bampaku/nyuusats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2024-10-07T05:15:00Z</dcterms:created>
  <dcterms:modified xsi:type="dcterms:W3CDTF">2024-10-07T05:16:00Z</dcterms:modified>
</cp:coreProperties>
</file>