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2D66" w14:textId="1B726A8F" w:rsidR="00D729A0" w:rsidRPr="00CC3B3E" w:rsidRDefault="00625C6A" w:rsidP="00CC3B3E">
      <w:pPr>
        <w:jc w:val="center"/>
        <w:rPr>
          <w:rFonts w:ascii="ＭＳ ゴシック" w:eastAsia="ＭＳ ゴシック" w:hAnsi="ＭＳ ゴシック"/>
          <w:b/>
          <w:sz w:val="24"/>
          <w:szCs w:val="24"/>
        </w:rPr>
      </w:pPr>
      <w:r w:rsidRPr="00625C6A">
        <w:rPr>
          <w:rFonts w:ascii="ＭＳ ゴシック" w:eastAsia="ＭＳ ゴシック" w:hAnsi="ＭＳ ゴシック" w:hint="eastAsia"/>
          <w:b/>
          <w:sz w:val="24"/>
          <w:szCs w:val="24"/>
        </w:rPr>
        <w:t>府民文化部</w:t>
      </w:r>
      <w:r w:rsidR="009C18E1" w:rsidRPr="00625C6A">
        <w:rPr>
          <w:rFonts w:ascii="ＭＳ ゴシック" w:eastAsia="ＭＳ ゴシック" w:hAnsi="ＭＳ ゴシック" w:hint="eastAsia"/>
          <w:b/>
          <w:sz w:val="24"/>
          <w:szCs w:val="24"/>
        </w:rPr>
        <w:t>・令</w:t>
      </w:r>
      <w:r w:rsidR="009C18E1" w:rsidRPr="009C18E1">
        <w:rPr>
          <w:rFonts w:ascii="ＭＳ ゴシック" w:eastAsia="ＭＳ ゴシック" w:hAnsi="ＭＳ ゴシック" w:hint="eastAsia"/>
          <w:b/>
          <w:sz w:val="24"/>
          <w:szCs w:val="24"/>
        </w:rPr>
        <w:t>和</w:t>
      </w:r>
      <w:r w:rsidR="006F1A15">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6835900C" w14:textId="77777777" w:rsidR="00CC3B3E" w:rsidRDefault="00CC3B3E"/>
    <w:p w14:paraId="69E40F13" w14:textId="774CA1A4" w:rsidR="00CC3B3E" w:rsidRDefault="00E835B0">
      <w:pPr>
        <w:rPr>
          <w:rFonts w:ascii="ＭＳ 明朝" w:eastAsia="ＭＳ 明朝" w:hAnsi="ＭＳ 明朝"/>
        </w:rPr>
      </w:pPr>
      <w:r>
        <w:rPr>
          <w:rFonts w:ascii="ＭＳ 明朝" w:eastAsia="ＭＳ 明朝" w:hAnsi="ＭＳ 明朝" w:hint="eastAsia"/>
        </w:rPr>
        <w:t xml:space="preserve">　</w:t>
      </w:r>
      <w:r w:rsidR="006F1A15" w:rsidRPr="006F1A15">
        <w:rPr>
          <w:rFonts w:ascii="ＭＳ 明朝" w:eastAsia="ＭＳ 明朝" w:hAnsi="ＭＳ 明朝" w:hint="eastAsia"/>
        </w:rPr>
        <w:t>令和６年度は、開幕まで１年に迫った</w:t>
      </w:r>
      <w:r w:rsidR="006F1A15" w:rsidRPr="006F1A15">
        <w:rPr>
          <w:rFonts w:ascii="ＭＳ 明朝" w:eastAsia="ＭＳ 明朝" w:hAnsi="ＭＳ 明朝"/>
        </w:rPr>
        <w:t>2025年大阪・関西万博の成功に向けた機運醸成に全力で取り組むとともに、万博のインパクトを最大限に生かした大阪全体の多彩な都市魅力の創出・発信等を行うため、３つのテーマに重点的に取り組みます。</w:t>
      </w:r>
    </w:p>
    <w:p w14:paraId="6D232943" w14:textId="77777777" w:rsidR="00625C6A" w:rsidRDefault="00625C6A"/>
    <w:p w14:paraId="78F2D59D" w14:textId="77777777"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625C6A" w:rsidRPr="00625C6A">
        <w:rPr>
          <w:rFonts w:ascii="ＭＳ ゴシック" w:eastAsia="ＭＳ ゴシック" w:hAnsi="ＭＳ ゴシック" w:hint="eastAsia"/>
          <w:b/>
          <w:bCs/>
          <w:u w:val="single"/>
        </w:rPr>
        <w:t>府民が誇りや愛着を感じることのできる、世界に誇る魅力あふれる大阪</w:t>
      </w:r>
    </w:p>
    <w:p w14:paraId="16F9E5FE" w14:textId="014B876D" w:rsidR="00E835B0" w:rsidRDefault="006F1A15" w:rsidP="007B0E39">
      <w:pPr>
        <w:ind w:firstLineChars="100" w:firstLine="210"/>
        <w:rPr>
          <w:rFonts w:ascii="ＭＳ 明朝" w:eastAsia="ＭＳ 明朝" w:hAnsi="ＭＳ 明朝" w:hint="eastAsia"/>
        </w:rPr>
      </w:pPr>
      <w:r w:rsidRPr="006F1A15">
        <w:rPr>
          <w:rFonts w:ascii="ＭＳ 明朝" w:eastAsia="ＭＳ 明朝" w:hAnsi="ＭＳ 明朝"/>
        </w:rPr>
        <w:t>2025年大阪・関西万博の機運醸成、万博のインパクトを最大限に生かし、大阪の強みである食・歴史・文化芸術・スポーツ・エンタメ等、大阪全体の多彩な都市魅力の創出・発信に取り組みます</w:t>
      </w:r>
      <w:r w:rsidR="00625C6A" w:rsidRPr="00625C6A">
        <w:rPr>
          <w:rFonts w:ascii="ＭＳ 明朝" w:eastAsia="ＭＳ 明朝" w:hAnsi="ＭＳ 明朝"/>
        </w:rPr>
        <w:t>。</w:t>
      </w:r>
    </w:p>
    <w:p w14:paraId="0BF901CA"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AC664EB" w14:textId="69AB01D8"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rPr>
        <w:t>2025年大阪・関西万博のインパクトを最大限に生かした多彩な都市魅力の創出・発信</w:t>
      </w:r>
    </w:p>
    <w:p w14:paraId="581A7099" w14:textId="38E330C2"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地域連携タスクフォース及び市町村と連携した</w:t>
      </w:r>
      <w:r w:rsidRPr="006F1A15">
        <w:rPr>
          <w:rFonts w:ascii="ＭＳ 明朝" w:eastAsia="ＭＳ 明朝" w:hAnsi="ＭＳ 明朝"/>
        </w:rPr>
        <w:t>2025年大阪・関西万博の機運醸成</w:t>
      </w:r>
    </w:p>
    <w:p w14:paraId="095E86B6" w14:textId="3F05136D"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文化芸術活動の活性化・文化芸術の魅力発信</w:t>
      </w:r>
    </w:p>
    <w:p w14:paraId="0A62A187" w14:textId="10458D76"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大阪スポーツコミッションやアーバンスポーツを中心としたスポーツツーリズム等の推進</w:t>
      </w:r>
    </w:p>
    <w:p w14:paraId="04DB6E5F" w14:textId="41582F2B" w:rsidR="00CC3B3E" w:rsidRPr="00756E20"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大規模アリーナを中核とした大阪・関西を代表する新たなスポーツ・文化の拠点づくりの推進</w:t>
      </w:r>
    </w:p>
    <w:p w14:paraId="7125DA12" w14:textId="77777777" w:rsidR="00CC3B3E" w:rsidRPr="00CC3B3E" w:rsidRDefault="00CC3B3E" w:rsidP="00CC3B3E"/>
    <w:p w14:paraId="542BE125" w14:textId="7ED93632"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6F1A15" w:rsidRPr="006F1A15">
        <w:rPr>
          <w:rFonts w:ascii="ＭＳ ゴシック" w:eastAsia="ＭＳ ゴシック" w:hAnsi="ＭＳ ゴシック" w:hint="eastAsia"/>
          <w:b/>
          <w:bCs/>
          <w:u w:val="single"/>
        </w:rPr>
        <w:t>多様な価値を認め合い、誰もが活躍できる国際都市としての質を備えた大阪</w:t>
      </w:r>
    </w:p>
    <w:p w14:paraId="326924FB" w14:textId="1480BDC0" w:rsidR="00E835B0" w:rsidRDefault="006F1A15" w:rsidP="00E835B0">
      <w:pPr>
        <w:ind w:firstLineChars="100" w:firstLine="210"/>
        <w:rPr>
          <w:rFonts w:ascii="ＭＳ 明朝" w:eastAsia="ＭＳ 明朝" w:hAnsi="ＭＳ 明朝"/>
        </w:rPr>
      </w:pPr>
      <w:r w:rsidRPr="006F1A15">
        <w:rPr>
          <w:rFonts w:ascii="ＭＳ 明朝" w:eastAsia="ＭＳ 明朝" w:hAnsi="ＭＳ 明朝" w:hint="eastAsia"/>
        </w:rPr>
        <w:t>人権意識の高揚と人権擁護に資する施策、平和施策の推進、男女共同参画施策の推進、国際化の推進、府民協働による共助社会の実現に取り組みます</w:t>
      </w:r>
      <w:r w:rsidR="00625C6A" w:rsidRPr="00625C6A">
        <w:rPr>
          <w:rFonts w:ascii="ＭＳ 明朝" w:eastAsia="ＭＳ 明朝" w:hAnsi="ＭＳ 明朝" w:hint="eastAsia"/>
        </w:rPr>
        <w:t>。</w:t>
      </w:r>
    </w:p>
    <w:p w14:paraId="06BC712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64E8379" w14:textId="4CEAF44C" w:rsidR="00E835B0" w:rsidRDefault="006F1A15" w:rsidP="00E835B0">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人権相談・女性相談・外国人相談の着実な実施</w:t>
      </w:r>
    </w:p>
    <w:p w14:paraId="0D166E4F" w14:textId="16A2EB07"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人権意識の高揚と人権擁護に資する取組み（インターネット上の人権侵害事象への対応、性の多様性の理解増進等）</w:t>
      </w:r>
    </w:p>
    <w:p w14:paraId="30928CC4" w14:textId="44BB9E5B"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あらゆる分野における女性活躍に向けた取組み、様々な困難・課題を抱える女性に対する支援</w:t>
      </w:r>
    </w:p>
    <w:p w14:paraId="012EFA4C" w14:textId="5B3344D9"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グローバル人材の育成、外国人留学生の就職支援、外国人への多言語支援・情報提供、国際交流の推進</w:t>
      </w:r>
    </w:p>
    <w:p w14:paraId="2858868C" w14:textId="77777777" w:rsidR="00CC3B3E" w:rsidRDefault="00CC3B3E" w:rsidP="00CC3B3E"/>
    <w:p w14:paraId="672E6FED" w14:textId="77777777" w:rsidR="00625C6A" w:rsidRPr="00625C6A" w:rsidRDefault="00756E20" w:rsidP="00625C6A">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625C6A" w:rsidRPr="00625C6A">
        <w:rPr>
          <w:rFonts w:ascii="ＭＳ ゴシック" w:eastAsia="ＭＳ ゴシック" w:hAnsi="ＭＳ ゴシック" w:hint="eastAsia"/>
          <w:b/>
          <w:bCs/>
          <w:u w:val="single"/>
        </w:rPr>
        <w:t>誰もが暮らしやすい大阪</w:t>
      </w:r>
    </w:p>
    <w:p w14:paraId="7B88B817" w14:textId="64A19C44" w:rsidR="00E835B0" w:rsidRPr="00625C6A" w:rsidRDefault="006F1A15" w:rsidP="00E835B0">
      <w:pPr>
        <w:ind w:firstLineChars="100" w:firstLine="210"/>
        <w:rPr>
          <w:rFonts w:ascii="ＭＳ 明朝" w:eastAsia="ＭＳ 明朝" w:hAnsi="ＭＳ 明朝"/>
        </w:rPr>
      </w:pPr>
      <w:r w:rsidRPr="006F1A15">
        <w:rPr>
          <w:rFonts w:ascii="ＭＳ 明朝" w:eastAsia="ＭＳ 明朝" w:hAnsi="ＭＳ 明朝" w:hint="eastAsia"/>
        </w:rPr>
        <w:t>府民と府政をつなぐ「伝わる」広報や消費者市民社会の構築に向けた消費者教育・啓発等に取り組みます</w:t>
      </w:r>
      <w:r w:rsidR="00625C6A" w:rsidRPr="00625C6A">
        <w:rPr>
          <w:rFonts w:ascii="ＭＳ 明朝" w:eastAsia="ＭＳ 明朝" w:hAnsi="ＭＳ 明朝" w:hint="eastAsia"/>
        </w:rPr>
        <w:t>。</w:t>
      </w:r>
    </w:p>
    <w:p w14:paraId="470B3C8C"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51E99CF" w14:textId="1E4B79B9"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多様な媒体を活用した効果的な広報活動の展開、オープン府庁の推進</w:t>
      </w:r>
    </w:p>
    <w:p w14:paraId="51FF5099" w14:textId="6FC7C496" w:rsidR="00625C6A" w:rsidRPr="00625C6A" w:rsidRDefault="006F1A15" w:rsidP="00625C6A">
      <w:pPr>
        <w:pStyle w:val="a3"/>
        <w:numPr>
          <w:ilvl w:val="0"/>
          <w:numId w:val="1"/>
        </w:numPr>
        <w:ind w:leftChars="0"/>
        <w:rPr>
          <w:rFonts w:ascii="ＭＳ 明朝" w:eastAsia="ＭＳ 明朝" w:hAnsi="ＭＳ 明朝"/>
        </w:rPr>
      </w:pPr>
      <w:r w:rsidRPr="006F1A15">
        <w:rPr>
          <w:rFonts w:ascii="ＭＳ 明朝" w:eastAsia="ＭＳ 明朝" w:hAnsi="ＭＳ 明朝" w:hint="eastAsia"/>
        </w:rPr>
        <w:t>若年層や高齢者等への効果的な消費者教育・啓発等の推進</w:t>
      </w:r>
    </w:p>
    <w:p w14:paraId="556E6471" w14:textId="4B8B1899" w:rsidR="00CC3B3E" w:rsidRPr="006F1A15" w:rsidRDefault="006F1A15" w:rsidP="006F1A15">
      <w:pPr>
        <w:pStyle w:val="a3"/>
        <w:numPr>
          <w:ilvl w:val="0"/>
          <w:numId w:val="1"/>
        </w:numPr>
        <w:ind w:leftChars="0"/>
        <w:rPr>
          <w:rFonts w:ascii="ＭＳ 明朝" w:eastAsia="ＭＳ 明朝" w:hAnsi="ＭＳ 明朝" w:hint="eastAsia"/>
        </w:rPr>
      </w:pPr>
      <w:r w:rsidRPr="006F1A15">
        <w:rPr>
          <w:rFonts w:ascii="ＭＳ 明朝" w:eastAsia="ＭＳ 明朝" w:hAnsi="ＭＳ 明朝" w:hint="eastAsia"/>
        </w:rPr>
        <w:t>府・市町村の消費相談体制の充実強化、消費者被害の防止</w:t>
      </w:r>
    </w:p>
    <w:sectPr w:rsidR="00CC3B3E" w:rsidRPr="006F1A15"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4799" w14:textId="77777777" w:rsidR="009C18E1" w:rsidRDefault="009C18E1" w:rsidP="009C18E1">
      <w:r>
        <w:separator/>
      </w:r>
    </w:p>
  </w:endnote>
  <w:endnote w:type="continuationSeparator" w:id="0">
    <w:p w14:paraId="619120B0"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1FE4" w14:textId="77777777" w:rsidR="009C18E1" w:rsidRDefault="009C18E1" w:rsidP="009C18E1">
      <w:r>
        <w:separator/>
      </w:r>
    </w:p>
  </w:footnote>
  <w:footnote w:type="continuationSeparator" w:id="0">
    <w:p w14:paraId="03EC1B85"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1204E"/>
    <w:rsid w:val="00625C6A"/>
    <w:rsid w:val="006F1A15"/>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1178BF"/>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625C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5507">
      <w:bodyDiv w:val="1"/>
      <w:marLeft w:val="0"/>
      <w:marRight w:val="0"/>
      <w:marTop w:val="0"/>
      <w:marBottom w:val="0"/>
      <w:divBdr>
        <w:top w:val="none" w:sz="0" w:space="0" w:color="auto"/>
        <w:left w:val="none" w:sz="0" w:space="0" w:color="auto"/>
        <w:bottom w:val="none" w:sz="0" w:space="0" w:color="auto"/>
        <w:right w:val="none" w:sz="0" w:space="0" w:color="auto"/>
      </w:divBdr>
    </w:div>
    <w:div w:id="340665656">
      <w:bodyDiv w:val="1"/>
      <w:marLeft w:val="0"/>
      <w:marRight w:val="0"/>
      <w:marTop w:val="0"/>
      <w:marBottom w:val="0"/>
      <w:divBdr>
        <w:top w:val="none" w:sz="0" w:space="0" w:color="auto"/>
        <w:left w:val="none" w:sz="0" w:space="0" w:color="auto"/>
        <w:bottom w:val="none" w:sz="0" w:space="0" w:color="auto"/>
        <w:right w:val="none" w:sz="0" w:space="0" w:color="auto"/>
      </w:divBdr>
    </w:div>
    <w:div w:id="399835779">
      <w:bodyDiv w:val="1"/>
      <w:marLeft w:val="0"/>
      <w:marRight w:val="0"/>
      <w:marTop w:val="0"/>
      <w:marBottom w:val="0"/>
      <w:divBdr>
        <w:top w:val="none" w:sz="0" w:space="0" w:color="auto"/>
        <w:left w:val="none" w:sz="0" w:space="0" w:color="auto"/>
        <w:bottom w:val="none" w:sz="0" w:space="0" w:color="auto"/>
        <w:right w:val="none" w:sz="0" w:space="0" w:color="auto"/>
      </w:divBdr>
    </w:div>
    <w:div w:id="528640581">
      <w:bodyDiv w:val="1"/>
      <w:marLeft w:val="0"/>
      <w:marRight w:val="0"/>
      <w:marTop w:val="0"/>
      <w:marBottom w:val="0"/>
      <w:divBdr>
        <w:top w:val="none" w:sz="0" w:space="0" w:color="auto"/>
        <w:left w:val="none" w:sz="0" w:space="0" w:color="auto"/>
        <w:bottom w:val="none" w:sz="0" w:space="0" w:color="auto"/>
        <w:right w:val="none" w:sz="0" w:space="0" w:color="auto"/>
      </w:divBdr>
    </w:div>
    <w:div w:id="751508498">
      <w:bodyDiv w:val="1"/>
      <w:marLeft w:val="0"/>
      <w:marRight w:val="0"/>
      <w:marTop w:val="0"/>
      <w:marBottom w:val="0"/>
      <w:divBdr>
        <w:top w:val="none" w:sz="0" w:space="0" w:color="auto"/>
        <w:left w:val="none" w:sz="0" w:space="0" w:color="auto"/>
        <w:bottom w:val="none" w:sz="0" w:space="0" w:color="auto"/>
        <w:right w:val="none" w:sz="0" w:space="0" w:color="auto"/>
      </w:divBdr>
    </w:div>
    <w:div w:id="1607469469">
      <w:bodyDiv w:val="1"/>
      <w:marLeft w:val="0"/>
      <w:marRight w:val="0"/>
      <w:marTop w:val="0"/>
      <w:marBottom w:val="0"/>
      <w:divBdr>
        <w:top w:val="none" w:sz="0" w:space="0" w:color="auto"/>
        <w:left w:val="none" w:sz="0" w:space="0" w:color="auto"/>
        <w:bottom w:val="none" w:sz="0" w:space="0" w:color="auto"/>
        <w:right w:val="none" w:sz="0" w:space="0" w:color="auto"/>
      </w:divBdr>
    </w:div>
    <w:div w:id="1937009256">
      <w:bodyDiv w:val="1"/>
      <w:marLeft w:val="0"/>
      <w:marRight w:val="0"/>
      <w:marTop w:val="0"/>
      <w:marBottom w:val="0"/>
      <w:divBdr>
        <w:top w:val="none" w:sz="0" w:space="0" w:color="auto"/>
        <w:left w:val="none" w:sz="0" w:space="0" w:color="auto"/>
        <w:bottom w:val="none" w:sz="0" w:space="0" w:color="auto"/>
        <w:right w:val="none" w:sz="0" w:space="0" w:color="auto"/>
      </w:divBdr>
    </w:div>
    <w:div w:id="19421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8</cp:revision>
  <dcterms:created xsi:type="dcterms:W3CDTF">2021-03-08T06:27:00Z</dcterms:created>
  <dcterms:modified xsi:type="dcterms:W3CDTF">2024-04-17T01:40:00Z</dcterms:modified>
</cp:coreProperties>
</file>