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6371" w14:textId="77777777" w:rsidR="00A70AA2" w:rsidRPr="00D16DF3" w:rsidRDefault="00A70AA2" w:rsidP="00A70AA2">
      <w:pPr>
        <w:autoSpaceDN w:val="0"/>
      </w:pPr>
      <w:r w:rsidRPr="00D16DF3">
        <w:rPr>
          <w:rFonts w:hint="eastAsia"/>
        </w:rPr>
        <w:t>大阪府条例第　　　号</w:t>
      </w:r>
    </w:p>
    <w:p w14:paraId="018038C6" w14:textId="77777777" w:rsidR="00783765" w:rsidRPr="00D16DF3" w:rsidRDefault="00A70AA2" w:rsidP="00A70AA2">
      <w:pPr>
        <w:autoSpaceDN w:val="0"/>
        <w:ind w:firstLineChars="300" w:firstLine="756"/>
      </w:pPr>
      <w:r w:rsidRPr="00D16DF3">
        <w:rPr>
          <w:rFonts w:hint="eastAsia"/>
        </w:rPr>
        <w:t>大阪府</w:t>
      </w:r>
      <w:r w:rsidR="003E57F8" w:rsidRPr="00D16DF3">
        <w:rPr>
          <w:rFonts w:hint="eastAsia"/>
        </w:rPr>
        <w:t>職員基本条例</w:t>
      </w:r>
      <w:r w:rsidR="00783765" w:rsidRPr="00D16DF3">
        <w:rPr>
          <w:rFonts w:hint="eastAsia"/>
        </w:rPr>
        <w:t>及び職員の退職管理に関する条例</w:t>
      </w:r>
      <w:r w:rsidRPr="00D16DF3">
        <w:rPr>
          <w:rFonts w:hint="eastAsia"/>
        </w:rPr>
        <w:t>の一部を改正</w:t>
      </w:r>
    </w:p>
    <w:p w14:paraId="237C91BC" w14:textId="63104050" w:rsidR="00A70AA2" w:rsidRPr="00D16DF3" w:rsidRDefault="00A70AA2" w:rsidP="00A70AA2">
      <w:pPr>
        <w:autoSpaceDN w:val="0"/>
        <w:ind w:firstLineChars="300" w:firstLine="756"/>
      </w:pPr>
      <w:r w:rsidRPr="00D16DF3">
        <w:rPr>
          <w:rFonts w:hint="eastAsia"/>
        </w:rPr>
        <w:t>する条例</w:t>
      </w:r>
    </w:p>
    <w:p w14:paraId="6E5CBDDF" w14:textId="77777777" w:rsidR="00A34D31" w:rsidRPr="00D16DF3" w:rsidRDefault="00A34D31" w:rsidP="00A34D31">
      <w:pPr>
        <w:autoSpaceDN w:val="0"/>
      </w:pPr>
      <w:r w:rsidRPr="00D16DF3">
        <w:rPr>
          <w:rFonts w:hint="eastAsia"/>
        </w:rPr>
        <w:t>（大阪府職員基本条例の一部改正）</w:t>
      </w:r>
    </w:p>
    <w:p w14:paraId="76ED15EF" w14:textId="75396450" w:rsidR="00A34D31" w:rsidRPr="00D16DF3" w:rsidRDefault="00A34D31" w:rsidP="00A34D31">
      <w:pPr>
        <w:autoSpaceDN w:val="0"/>
        <w:ind w:left="252" w:hangingChars="100" w:hanging="252"/>
      </w:pPr>
      <w:r w:rsidRPr="00D16DF3">
        <w:rPr>
          <w:rFonts w:hint="eastAsia"/>
        </w:rPr>
        <w:t>第一条　大阪府職員基本条例（平成二十四年大阪府条例第八十六号）の一部を次のように改正する。</w:t>
      </w:r>
    </w:p>
    <w:p w14:paraId="006F70D5" w14:textId="270F4BB4" w:rsidR="00A34D31" w:rsidRPr="00D16DF3" w:rsidRDefault="00BD5E63" w:rsidP="00A34D31">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0D7F503" wp14:editId="029A06E6">
                <wp:simplePos x="0" y="0"/>
                <wp:positionH relativeFrom="column">
                  <wp:posOffset>2481580</wp:posOffset>
                </wp:positionH>
                <wp:positionV relativeFrom="paragraph">
                  <wp:posOffset>7959090</wp:posOffset>
                </wp:positionV>
                <wp:extent cx="88011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011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B4DBE" w14:textId="3F003C1E" w:rsidR="00BD5E63" w:rsidRPr="00BD5E63" w:rsidRDefault="00BD5E63" w:rsidP="00BD5E63">
                            <w:pPr>
                              <w:jc w:val="center"/>
                              <w:rPr>
                                <w:color w:val="000000" w:themeColor="text1"/>
                              </w:rPr>
                            </w:pPr>
                            <w:r w:rsidRPr="00BD5E63">
                              <w:rPr>
                                <w:rFonts w:hint="eastAsia"/>
                                <w:color w:val="000000" w:themeColor="text1"/>
                              </w:rPr>
                              <w:t>１－５</w:t>
                            </w:r>
                            <w:r w:rsidR="00FF70F5">
                              <w:rPr>
                                <w:rFonts w:hint="eastAsia"/>
                                <w:color w:val="000000" w:themeColor="text1"/>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7F503" id="正方形/長方形 1" o:spid="_x0000_s1026" style="position:absolute;left:0;text-align:left;margin-left:195.4pt;margin-top:626.7pt;width:69.3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" filled="f" stroked="f" strokeweight="2pt">
                <v:textbox>
                  <w:txbxContent>
                    <w:p w14:paraId="612B4DBE" w14:textId="3F003C1E" w:rsidR="00BD5E63" w:rsidRPr="00BD5E63" w:rsidRDefault="00BD5E63" w:rsidP="00BD5E63">
                      <w:pPr>
                        <w:jc w:val="center"/>
                        <w:rPr>
                          <w:color w:val="000000" w:themeColor="text1"/>
                        </w:rPr>
                      </w:pPr>
                      <w:r w:rsidRPr="00BD5E63">
                        <w:rPr>
                          <w:rFonts w:hint="eastAsia"/>
                          <w:color w:val="000000" w:themeColor="text1"/>
                        </w:rPr>
                        <w:t>１－５</w:t>
                      </w:r>
                      <w:r w:rsidR="00FF70F5">
                        <w:rPr>
                          <w:rFonts w:hint="eastAsia"/>
                          <w:color w:val="000000" w:themeColor="text1"/>
                        </w:rPr>
                        <w:t>８</w:t>
                      </w:r>
                    </w:p>
                  </w:txbxContent>
                </v:textbox>
              </v:rect>
            </w:pict>
          </mc:Fallback>
        </mc:AlternateContent>
      </w:r>
      <w:r w:rsidR="00A34D31" w:rsidRPr="00D16DF3">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34D31" w:rsidRPr="00D16DF3" w14:paraId="72B65FD8" w14:textId="77777777" w:rsidTr="00DD6556">
        <w:trPr>
          <w:trHeight w:val="249"/>
        </w:trPr>
        <w:tc>
          <w:tcPr>
            <w:tcW w:w="4522" w:type="dxa"/>
            <w:textDirection w:val="lrTbV"/>
          </w:tcPr>
          <w:p w14:paraId="4E484A5C" w14:textId="77777777" w:rsidR="00A34D31" w:rsidRPr="00D16DF3" w:rsidRDefault="00A34D31" w:rsidP="00DD6556">
            <w:pPr>
              <w:autoSpaceDN w:val="0"/>
              <w:jc w:val="center"/>
              <w:rPr>
                <w:rFonts w:ascii="ＭＳ 明朝" w:hAnsi="ＭＳ 明朝"/>
                <w:spacing w:val="-6"/>
                <w:sz w:val="20"/>
                <w:szCs w:val="20"/>
              </w:rPr>
            </w:pPr>
            <w:r w:rsidRPr="00D16DF3">
              <w:rPr>
                <w:rFonts w:ascii="ＭＳ 明朝" w:hAnsi="ＭＳ 明朝" w:hint="eastAsia"/>
                <w:spacing w:val="-6"/>
                <w:sz w:val="20"/>
                <w:szCs w:val="20"/>
              </w:rPr>
              <w:t>改正後</w:t>
            </w:r>
          </w:p>
        </w:tc>
        <w:tc>
          <w:tcPr>
            <w:tcW w:w="4523" w:type="dxa"/>
            <w:textDirection w:val="lrTbV"/>
          </w:tcPr>
          <w:p w14:paraId="465980FE" w14:textId="77777777" w:rsidR="00A34D31" w:rsidRPr="00D16DF3" w:rsidRDefault="00A34D31" w:rsidP="00DD6556">
            <w:pPr>
              <w:autoSpaceDN w:val="0"/>
              <w:jc w:val="center"/>
              <w:rPr>
                <w:rFonts w:ascii="ＭＳ 明朝" w:hAnsi="ＭＳ 明朝"/>
                <w:spacing w:val="-6"/>
                <w:sz w:val="20"/>
                <w:szCs w:val="20"/>
              </w:rPr>
            </w:pPr>
            <w:r w:rsidRPr="00D16DF3">
              <w:rPr>
                <w:rFonts w:ascii="ＭＳ 明朝" w:hAnsi="ＭＳ 明朝" w:hint="eastAsia"/>
                <w:spacing w:val="-6"/>
                <w:sz w:val="20"/>
                <w:szCs w:val="20"/>
              </w:rPr>
              <w:t>改正前</w:t>
            </w:r>
          </w:p>
        </w:tc>
      </w:tr>
      <w:tr w:rsidR="00A34D31" w:rsidRPr="00D16DF3" w14:paraId="24B6EA43" w14:textId="77777777" w:rsidTr="00DD6556">
        <w:trPr>
          <w:trHeight w:val="180"/>
        </w:trPr>
        <w:tc>
          <w:tcPr>
            <w:tcW w:w="4522" w:type="dxa"/>
            <w:tcBorders>
              <w:bottom w:val="nil"/>
            </w:tcBorders>
            <w:textDirection w:val="lrTbV"/>
          </w:tcPr>
          <w:p w14:paraId="5987DDEC"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C599BB2" w14:textId="77777777" w:rsidR="00A34D31" w:rsidRPr="00D16DF3" w:rsidRDefault="00A34D31" w:rsidP="00DD6556">
            <w:pPr>
              <w:autoSpaceDN w:val="0"/>
              <w:spacing w:line="240" w:lineRule="exact"/>
              <w:rPr>
                <w:rFonts w:ascii="ＭＳ 明朝" w:hAnsi="ＭＳ 明朝"/>
                <w:spacing w:val="-6"/>
                <w:sz w:val="20"/>
                <w:szCs w:val="20"/>
              </w:rPr>
            </w:pPr>
          </w:p>
        </w:tc>
      </w:tr>
      <w:tr w:rsidR="00A34D31" w:rsidRPr="00D16DF3" w14:paraId="2D6EAE65" w14:textId="77777777" w:rsidTr="00DD6556">
        <w:trPr>
          <w:trHeight w:val="221"/>
        </w:trPr>
        <w:tc>
          <w:tcPr>
            <w:tcW w:w="4522" w:type="dxa"/>
            <w:tcBorders>
              <w:top w:val="nil"/>
              <w:bottom w:val="nil"/>
            </w:tcBorders>
            <w:textDirection w:val="lrTbV"/>
          </w:tcPr>
          <w:p w14:paraId="1845C3B7"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（管理職の任用）</w:t>
            </w:r>
          </w:p>
          <w:p w14:paraId="4771FFDF" w14:textId="49E0E34D"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第八条　任命権者は、大阪府組織条例（昭和二十八年大阪府条例第一号）に規定する部の長の職その他任命権者が定める職については、公募（職員からの募集を含む。）により任用するものとする。ただし、公募するいとまがない場合</w:t>
            </w:r>
            <w:r w:rsidR="006F373D" w:rsidRPr="00D16DF3">
              <w:rPr>
                <w:rFonts w:ascii="ＭＳ 明朝" w:hAnsi="ＭＳ 明朝" w:cs="ＭＳ ゴシック" w:hint="eastAsia"/>
                <w:spacing w:val="-6"/>
                <w:kern w:val="0"/>
                <w:sz w:val="20"/>
                <w:szCs w:val="20"/>
                <w:u w:val="single"/>
              </w:rPr>
              <w:t>又は公募によらないことが適当であると任命権者が認める</w:t>
            </w:r>
            <w:r w:rsidR="006F373D" w:rsidRPr="00D16DF3">
              <w:rPr>
                <w:rFonts w:ascii="ＭＳ 明朝" w:hAnsi="ＭＳ 明朝" w:cs="ＭＳ ゴシック" w:hint="eastAsia"/>
                <w:spacing w:val="-6"/>
                <w:kern w:val="0"/>
                <w:sz w:val="20"/>
                <w:szCs w:val="20"/>
              </w:rPr>
              <w:t>場合は、この限りでない。</w:t>
            </w:r>
          </w:p>
          <w:p w14:paraId="7B71F748"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明朝" w:hint="eastAsia"/>
                <w:kern w:val="0"/>
                <w:sz w:val="20"/>
                <w:szCs w:val="20"/>
              </w:rPr>
              <w:t>２</w:t>
            </w:r>
            <w:r w:rsidRPr="00D16DF3">
              <w:rPr>
                <w:rFonts w:ascii="ＭＳ 明朝" w:hAnsi="ＭＳ 明朝" w:cs="ＭＳ ゴシック" w:hint="eastAsia"/>
                <w:spacing w:val="-6"/>
                <w:kern w:val="0"/>
                <w:sz w:val="20"/>
                <w:szCs w:val="20"/>
              </w:rPr>
              <w:t xml:space="preserve">　（略）</w:t>
            </w:r>
          </w:p>
          <w:p w14:paraId="5E288D39" w14:textId="510BCE6D"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u w:val="single"/>
              </w:rPr>
            </w:pPr>
            <w:r w:rsidRPr="00D16DF3">
              <w:rPr>
                <w:rFonts w:ascii="ＭＳ 明朝" w:hAnsi="ＭＳ 明朝" w:cs="ＭＳ ゴシック" w:hint="eastAsia"/>
                <w:spacing w:val="-6"/>
                <w:kern w:val="0"/>
                <w:sz w:val="20"/>
                <w:szCs w:val="20"/>
                <w:u w:val="single"/>
              </w:rPr>
              <w:t>３</w:t>
            </w:r>
            <w:r w:rsidRPr="00D16DF3">
              <w:rPr>
                <w:rFonts w:ascii="ＭＳ 明朝" w:hAnsi="ＭＳ 明朝" w:cs="ＭＳ ゴシック" w:hint="eastAsia"/>
                <w:spacing w:val="-6"/>
                <w:kern w:val="0"/>
                <w:sz w:val="20"/>
                <w:szCs w:val="20"/>
              </w:rPr>
              <w:t xml:space="preserve">　</w:t>
            </w:r>
            <w:r w:rsidR="006F373D" w:rsidRPr="00D16DF3">
              <w:rPr>
                <w:rFonts w:ascii="ＭＳ 明朝" w:hAnsi="ＭＳ 明朝" w:cs="ＭＳ ゴシック" w:hint="eastAsia"/>
                <w:spacing w:val="-6"/>
                <w:kern w:val="0"/>
                <w:sz w:val="20"/>
                <w:szCs w:val="20"/>
                <w:u w:val="single"/>
              </w:rPr>
              <w:t>第一項の規定により職員</w:t>
            </w:r>
            <w:r w:rsidR="00CE458B" w:rsidRPr="00D16DF3">
              <w:rPr>
                <w:rFonts w:ascii="ＭＳ 明朝" w:hAnsi="ＭＳ 明朝" w:cs="ＭＳ ゴシック" w:hint="eastAsia"/>
                <w:spacing w:val="-6"/>
                <w:kern w:val="0"/>
                <w:sz w:val="20"/>
                <w:szCs w:val="20"/>
                <w:u w:val="single"/>
              </w:rPr>
              <w:t>である者</w:t>
            </w:r>
            <w:r w:rsidR="006F373D" w:rsidRPr="00D16DF3">
              <w:rPr>
                <w:rFonts w:ascii="ＭＳ 明朝" w:hAnsi="ＭＳ 明朝" w:cs="ＭＳ ゴシック" w:hint="eastAsia"/>
                <w:spacing w:val="-6"/>
                <w:kern w:val="0"/>
                <w:sz w:val="20"/>
                <w:szCs w:val="20"/>
                <w:u w:val="single"/>
              </w:rPr>
              <w:t>を任用する場合は、当該職員の年齢、当該職の任期、従事させる職に必要とされる専門的な知識経験の性質その他の事情を考慮して、任期付職員とすることができる。</w:t>
            </w:r>
          </w:p>
          <w:p w14:paraId="54BEBE83" w14:textId="15F046F5"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u w:val="single"/>
              </w:rPr>
              <w:t>４</w:t>
            </w:r>
            <w:r w:rsidR="004A05A6" w:rsidRPr="00D16DF3">
              <w:rPr>
                <w:rFonts w:ascii="ＭＳ 明朝" w:hAnsi="ＭＳ 明朝" w:cs="ＭＳ ゴシック" w:hint="eastAsia"/>
                <w:spacing w:val="-6"/>
                <w:kern w:val="0"/>
                <w:sz w:val="20"/>
                <w:szCs w:val="20"/>
              </w:rPr>
              <w:t>・</w:t>
            </w:r>
            <w:r w:rsidR="004A05A6" w:rsidRPr="00D16DF3">
              <w:rPr>
                <w:rFonts w:ascii="ＭＳ 明朝" w:hAnsi="ＭＳ 明朝" w:cs="ＭＳ ゴシック" w:hint="eastAsia"/>
                <w:spacing w:val="-6"/>
                <w:kern w:val="0"/>
                <w:sz w:val="20"/>
                <w:szCs w:val="20"/>
                <w:u w:val="single"/>
              </w:rPr>
              <w:t>５</w:t>
            </w:r>
            <w:r w:rsidR="004A05A6" w:rsidRPr="00D16DF3">
              <w:rPr>
                <w:rFonts w:ascii="ＭＳ 明朝" w:hAnsi="ＭＳ 明朝" w:cs="ＭＳ ゴシック" w:hint="eastAsia"/>
                <w:spacing w:val="-6"/>
                <w:kern w:val="0"/>
                <w:sz w:val="20"/>
                <w:szCs w:val="20"/>
              </w:rPr>
              <w:t xml:space="preserve">　（略）</w:t>
            </w:r>
          </w:p>
          <w:p w14:paraId="6A489BAF"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p>
          <w:p w14:paraId="7E89888C"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（相対評価）</w:t>
            </w:r>
          </w:p>
          <w:p w14:paraId="7D486C59" w14:textId="77777777"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第十五条　（略）</w:t>
            </w:r>
          </w:p>
          <w:p w14:paraId="5E719E85" w14:textId="0F8FDB2F"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２　（略）</w:t>
            </w:r>
          </w:p>
          <w:tbl>
            <w:tblPr>
              <w:tblW w:w="0" w:type="auto"/>
              <w:tblInd w:w="204" w:type="dxa"/>
              <w:tblCellMar>
                <w:left w:w="0" w:type="dxa"/>
                <w:right w:w="0" w:type="dxa"/>
              </w:tblCellMar>
              <w:tblLook w:val="0000" w:firstRow="0" w:lastRow="0" w:firstColumn="0" w:lastColumn="0" w:noHBand="0" w:noVBand="0"/>
            </w:tblPr>
            <w:tblGrid>
              <w:gridCol w:w="2055"/>
              <w:gridCol w:w="2055"/>
            </w:tblGrid>
            <w:tr w:rsidR="00DD6556" w:rsidRPr="00D16DF3" w14:paraId="0EB1E974" w14:textId="77777777" w:rsidTr="001B60AB">
              <w:trPr>
                <w:trHeight w:val="312"/>
              </w:trPr>
              <w:tc>
                <w:tcPr>
                  <w:tcW w:w="2056" w:type="dxa"/>
                  <w:tcBorders>
                    <w:top w:val="single" w:sz="4" w:space="0" w:color="000000"/>
                    <w:left w:val="single" w:sz="4" w:space="0" w:color="000000"/>
                    <w:bottom w:val="single" w:sz="4" w:space="0" w:color="000000"/>
                    <w:right w:val="single" w:sz="4" w:space="0" w:color="000000"/>
                  </w:tcBorders>
                  <w:textDirection w:val="lrTbV"/>
                  <w:vAlign w:val="center"/>
                </w:tcPr>
                <w:p w14:paraId="443AF203" w14:textId="77777777" w:rsidR="00DD6556" w:rsidRPr="00D16DF3" w:rsidRDefault="00DD6556" w:rsidP="00FF70F5">
                  <w:pPr>
                    <w:framePr w:hSpace="142" w:wrap="around" w:vAnchor="text" w:hAnchor="margin" w:x="1" w:y="182"/>
                    <w:wordWrap w:val="0"/>
                    <w:autoSpaceDE w:val="0"/>
                    <w:autoSpaceDN w:val="0"/>
                    <w:adjustRightInd w:val="0"/>
                    <w:spacing w:line="240" w:lineRule="exact"/>
                    <w:jc w:val="center"/>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区分</w:t>
                  </w:r>
                </w:p>
              </w:tc>
              <w:tc>
                <w:tcPr>
                  <w:tcW w:w="2055" w:type="dxa"/>
                  <w:tcBorders>
                    <w:top w:val="single" w:sz="4" w:space="0" w:color="000000"/>
                    <w:bottom w:val="single" w:sz="4" w:space="0" w:color="000000"/>
                    <w:right w:val="single" w:sz="4" w:space="0" w:color="000000"/>
                  </w:tcBorders>
                  <w:textDirection w:val="lrTbV"/>
                  <w:vAlign w:val="center"/>
                </w:tcPr>
                <w:p w14:paraId="24634099" w14:textId="77777777" w:rsidR="00DD6556" w:rsidRPr="00D16DF3" w:rsidRDefault="00DD6556" w:rsidP="00FF70F5">
                  <w:pPr>
                    <w:framePr w:hSpace="142" w:wrap="around" w:vAnchor="text" w:hAnchor="margin" w:x="1" w:y="182"/>
                    <w:wordWrap w:val="0"/>
                    <w:autoSpaceDE w:val="0"/>
                    <w:autoSpaceDN w:val="0"/>
                    <w:adjustRightInd w:val="0"/>
                    <w:spacing w:line="240" w:lineRule="exact"/>
                    <w:jc w:val="center"/>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分布の割合</w:t>
                  </w:r>
                </w:p>
              </w:tc>
            </w:tr>
            <w:tr w:rsidR="00DD6556" w:rsidRPr="00D16DF3" w14:paraId="3C3A6F9A"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5A55BFA3" w14:textId="480333D4"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特区分</w:t>
                  </w:r>
                </w:p>
              </w:tc>
              <w:tc>
                <w:tcPr>
                  <w:tcW w:w="2055" w:type="dxa"/>
                  <w:tcBorders>
                    <w:bottom w:val="single" w:sz="4" w:space="0" w:color="000000"/>
                    <w:right w:val="single" w:sz="4" w:space="0" w:color="000000"/>
                  </w:tcBorders>
                  <w:textDirection w:val="lrTbV"/>
                  <w:vAlign w:val="center"/>
                </w:tcPr>
                <w:p w14:paraId="26A5A868" w14:textId="107F3786"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百分の五</w:t>
                  </w:r>
                </w:p>
              </w:tc>
            </w:tr>
            <w:tr w:rsidR="00DD6556" w:rsidRPr="00D16DF3" w14:paraId="5BED4402"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28D84E46" w14:textId="3CF79DE4"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一区分</w:t>
                  </w:r>
                </w:p>
              </w:tc>
              <w:tc>
                <w:tcPr>
                  <w:tcW w:w="2055" w:type="dxa"/>
                  <w:tcBorders>
                    <w:bottom w:val="single" w:sz="4" w:space="0" w:color="000000"/>
                    <w:right w:val="single" w:sz="4" w:space="0" w:color="000000"/>
                  </w:tcBorders>
                  <w:textDirection w:val="lrTbV"/>
                  <w:vAlign w:val="center"/>
                </w:tcPr>
                <w:p w14:paraId="0D3F996B" w14:textId="47A199B9"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百分の十</w:t>
                  </w:r>
                </w:p>
              </w:tc>
            </w:tr>
            <w:tr w:rsidR="00DD6556" w:rsidRPr="00D16DF3" w14:paraId="76A8963E"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3856EC06" w14:textId="305A89B6"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二区分</w:t>
                  </w:r>
                </w:p>
              </w:tc>
              <w:tc>
                <w:tcPr>
                  <w:tcW w:w="2055" w:type="dxa"/>
                  <w:tcBorders>
                    <w:bottom w:val="single" w:sz="4" w:space="0" w:color="000000"/>
                    <w:right w:val="single" w:sz="4" w:space="0" w:color="000000"/>
                  </w:tcBorders>
                  <w:textDirection w:val="lrTbV"/>
                  <w:vAlign w:val="center"/>
                </w:tcPr>
                <w:p w14:paraId="79A98036" w14:textId="6E74AC65"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百分の二十</w:t>
                  </w:r>
                </w:p>
              </w:tc>
            </w:tr>
            <w:tr w:rsidR="00DD6556" w:rsidRPr="00D16DF3" w14:paraId="6F776218"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3C98C7D4" w14:textId="4FE58190"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三区分</w:t>
                  </w:r>
                </w:p>
              </w:tc>
              <w:tc>
                <w:tcPr>
                  <w:tcW w:w="2055" w:type="dxa"/>
                  <w:tcBorders>
                    <w:bottom w:val="single" w:sz="4" w:space="0" w:color="000000"/>
                    <w:right w:val="single" w:sz="4" w:space="0" w:color="000000"/>
                  </w:tcBorders>
                  <w:textDirection w:val="lrTbV"/>
                  <w:vAlign w:val="center"/>
                </w:tcPr>
                <w:p w14:paraId="4C36DADE" w14:textId="00406759"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百分の六十</w:t>
                  </w:r>
                </w:p>
              </w:tc>
            </w:tr>
            <w:tr w:rsidR="00DD6556" w:rsidRPr="00D16DF3" w14:paraId="2C2B6D5B" w14:textId="77777777" w:rsidTr="001B60AB">
              <w:trPr>
                <w:trHeight w:val="312"/>
              </w:trPr>
              <w:tc>
                <w:tcPr>
                  <w:tcW w:w="2056" w:type="dxa"/>
                  <w:tcBorders>
                    <w:top w:val="single" w:sz="4" w:space="0" w:color="000000"/>
                    <w:left w:val="single" w:sz="4" w:space="0" w:color="000000"/>
                    <w:bottom w:val="single" w:sz="4" w:space="0" w:color="auto"/>
                    <w:right w:val="single" w:sz="4" w:space="0" w:color="000000"/>
                  </w:tcBorders>
                  <w:textDirection w:val="lrTbV"/>
                  <w:vAlign w:val="center"/>
                </w:tcPr>
                <w:p w14:paraId="51FB1EB1" w14:textId="69874FE1"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四区分</w:t>
                  </w:r>
                </w:p>
              </w:tc>
              <w:tc>
                <w:tcPr>
                  <w:tcW w:w="2055" w:type="dxa"/>
                  <w:tcBorders>
                    <w:top w:val="single" w:sz="4" w:space="0" w:color="000000"/>
                    <w:bottom w:val="single" w:sz="4" w:space="0" w:color="auto"/>
                    <w:right w:val="single" w:sz="4" w:space="0" w:color="000000"/>
                  </w:tcBorders>
                  <w:textDirection w:val="lrTbV"/>
                  <w:vAlign w:val="center"/>
                </w:tcPr>
                <w:p w14:paraId="747AF58F" w14:textId="07104D7F"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百分の四</w:t>
                  </w:r>
                </w:p>
              </w:tc>
            </w:tr>
            <w:tr w:rsidR="00DD6556" w:rsidRPr="00D16DF3" w14:paraId="31E93BE3" w14:textId="77777777" w:rsidTr="001B60AB">
              <w:trPr>
                <w:trHeight w:val="312"/>
              </w:trPr>
              <w:tc>
                <w:tcPr>
                  <w:tcW w:w="2056" w:type="dxa"/>
                  <w:tcBorders>
                    <w:top w:val="single" w:sz="4" w:space="0" w:color="auto"/>
                    <w:left w:val="single" w:sz="4" w:space="0" w:color="000000"/>
                    <w:bottom w:val="single" w:sz="4" w:space="0" w:color="000000"/>
                    <w:right w:val="single" w:sz="4" w:space="0" w:color="000000"/>
                  </w:tcBorders>
                  <w:textDirection w:val="lrTbV"/>
                  <w:vAlign w:val="center"/>
                </w:tcPr>
                <w:p w14:paraId="2D877A9F" w14:textId="22F019B9"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五区分</w:t>
                  </w:r>
                </w:p>
              </w:tc>
              <w:tc>
                <w:tcPr>
                  <w:tcW w:w="2055" w:type="dxa"/>
                  <w:tcBorders>
                    <w:top w:val="single" w:sz="4" w:space="0" w:color="auto"/>
                    <w:bottom w:val="single" w:sz="4" w:space="0" w:color="000000"/>
                    <w:right w:val="single" w:sz="4" w:space="0" w:color="000000"/>
                  </w:tcBorders>
                  <w:textDirection w:val="lrTbV"/>
                  <w:vAlign w:val="center"/>
                </w:tcPr>
                <w:p w14:paraId="4177F470" w14:textId="7017831B" w:rsidR="00DD6556" w:rsidRPr="00D16DF3" w:rsidRDefault="00DD6556"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百分の一</w:t>
                  </w:r>
                </w:p>
              </w:tc>
            </w:tr>
          </w:tbl>
          <w:p w14:paraId="06135BEB"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p>
          <w:p w14:paraId="2FBA0A55"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（出資法人等への再就職の禁止）</w:t>
            </w:r>
          </w:p>
          <w:p w14:paraId="0F2B2F0E" w14:textId="60A8FC50"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第三十二条　管理職の職員若しくは職員であった者又は別に条例で定める勤続期間が二十年以上である職員若しくは職員であった者（以下この条において「管理職職員等」という。）は、離職後</w:t>
            </w:r>
            <w:r w:rsidRPr="00D16DF3">
              <w:rPr>
                <w:rFonts w:ascii="ＭＳ 明朝" w:hAnsi="ＭＳ 明朝" w:cs="ＭＳ ゴシック" w:hint="eastAsia"/>
                <w:spacing w:val="-6"/>
                <w:kern w:val="0"/>
                <w:sz w:val="20"/>
                <w:szCs w:val="20"/>
                <w:u w:val="single"/>
              </w:rPr>
              <w:t>十年間</w:t>
            </w:r>
            <w:r w:rsidRPr="00D16DF3">
              <w:rPr>
                <w:rFonts w:ascii="ＭＳ 明朝" w:hAnsi="ＭＳ 明朝" w:cs="ＭＳ ゴシック" w:hint="eastAsia"/>
                <w:spacing w:val="-6"/>
                <w:kern w:val="0"/>
                <w:sz w:val="20"/>
                <w:szCs w:val="20"/>
              </w:rPr>
              <w:t>、次に掲げる法人に就職することができない。</w:t>
            </w:r>
            <w:r w:rsidRPr="00D16DF3">
              <w:rPr>
                <w:rFonts w:ascii="ＭＳ 明朝" w:hAnsi="ＭＳ 明朝" w:cs="ＭＳ ゴシック" w:hint="eastAsia"/>
                <w:spacing w:val="-6"/>
                <w:kern w:val="0"/>
                <w:sz w:val="20"/>
                <w:szCs w:val="20"/>
                <w:u w:val="single"/>
              </w:rPr>
              <w:t>ただし、年齢</w:t>
            </w:r>
            <w:r w:rsidR="004737AA" w:rsidRPr="00D16DF3">
              <w:rPr>
                <w:rFonts w:ascii="ＭＳ 明朝" w:hAnsi="ＭＳ 明朝" w:cs="ＭＳ ゴシック" w:hint="eastAsia"/>
                <w:spacing w:val="-6"/>
                <w:kern w:val="0"/>
                <w:sz w:val="20"/>
                <w:szCs w:val="20"/>
                <w:u w:val="single"/>
              </w:rPr>
              <w:t>が</w:t>
            </w:r>
            <w:r w:rsidRPr="00D16DF3">
              <w:rPr>
                <w:rFonts w:ascii="ＭＳ 明朝" w:hAnsi="ＭＳ 明朝" w:cs="ＭＳ ゴシック" w:hint="eastAsia"/>
                <w:spacing w:val="-6"/>
                <w:kern w:val="0"/>
                <w:sz w:val="20"/>
                <w:szCs w:val="20"/>
                <w:u w:val="single"/>
              </w:rPr>
              <w:t>七十年を超える管理職職員等</w:t>
            </w:r>
            <w:r w:rsidR="00430A60" w:rsidRPr="00D16DF3">
              <w:rPr>
                <w:rFonts w:ascii="ＭＳ 明朝" w:hAnsi="ＭＳ 明朝" w:cs="ＭＳ ゴシック" w:hint="eastAsia"/>
                <w:spacing w:val="-6"/>
                <w:kern w:val="0"/>
                <w:sz w:val="20"/>
                <w:szCs w:val="20"/>
                <w:u w:val="single"/>
              </w:rPr>
              <w:t>について</w:t>
            </w:r>
            <w:r w:rsidRPr="00D16DF3">
              <w:rPr>
                <w:rFonts w:ascii="ＭＳ 明朝" w:hAnsi="ＭＳ 明朝" w:cs="ＭＳ ゴシック" w:hint="eastAsia"/>
                <w:spacing w:val="-6"/>
                <w:kern w:val="0"/>
                <w:sz w:val="20"/>
                <w:szCs w:val="20"/>
                <w:u w:val="single"/>
              </w:rPr>
              <w:t>は</w:t>
            </w:r>
            <w:r w:rsidR="00430A60" w:rsidRPr="00D16DF3">
              <w:rPr>
                <w:rFonts w:ascii="ＭＳ 明朝" w:hAnsi="ＭＳ 明朝" w:cs="ＭＳ ゴシック" w:hint="eastAsia"/>
                <w:spacing w:val="-6"/>
                <w:kern w:val="0"/>
                <w:sz w:val="20"/>
                <w:szCs w:val="20"/>
                <w:u w:val="single"/>
              </w:rPr>
              <w:t>、</w:t>
            </w:r>
            <w:r w:rsidRPr="00D16DF3">
              <w:rPr>
                <w:rFonts w:ascii="ＭＳ 明朝" w:hAnsi="ＭＳ 明朝" w:cs="ＭＳ ゴシック" w:hint="eastAsia"/>
                <w:spacing w:val="-6"/>
                <w:kern w:val="0"/>
                <w:sz w:val="20"/>
                <w:szCs w:val="20"/>
                <w:u w:val="single"/>
              </w:rPr>
              <w:t>この限りでない。</w:t>
            </w:r>
          </w:p>
          <w:p w14:paraId="06B8ED34" w14:textId="77777777" w:rsidR="00A34D31" w:rsidRPr="00D16DF3" w:rsidRDefault="00A34D31" w:rsidP="00DD6556">
            <w:pPr>
              <w:autoSpaceDN w:val="0"/>
              <w:spacing w:line="240" w:lineRule="exact"/>
            </w:pPr>
            <w:r w:rsidRPr="00D16DF3">
              <w:rPr>
                <w:rFonts w:ascii="ＭＳ 明朝" w:hAnsi="ＭＳ 明朝" w:cs="ＭＳ ゴシック" w:hint="eastAsia"/>
                <w:spacing w:val="-6"/>
                <w:kern w:val="0"/>
                <w:sz w:val="20"/>
                <w:szCs w:val="20"/>
              </w:rPr>
              <w:t xml:space="preserve">　</w:t>
            </w:r>
            <w:r w:rsidRPr="00D16DF3">
              <w:rPr>
                <w:rFonts w:ascii="ＭＳ 明朝" w:hAnsi="ＭＳ 明朝" w:cs="ＭＳ 明朝" w:hint="eastAsia"/>
                <w:kern w:val="0"/>
                <w:sz w:val="20"/>
                <w:szCs w:val="20"/>
              </w:rPr>
              <w:t>一</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四</w:t>
            </w:r>
            <w:r w:rsidRPr="00D16DF3">
              <w:rPr>
                <w:rFonts w:ascii="ＭＳ 明朝" w:hAnsi="ＭＳ 明朝" w:cs="ＭＳ ゴシック" w:hint="eastAsia"/>
                <w:spacing w:val="-6"/>
                <w:kern w:val="0"/>
                <w:sz w:val="20"/>
                <w:szCs w:val="20"/>
              </w:rPr>
              <w:t xml:space="preserve">　（略）</w:t>
            </w:r>
          </w:p>
          <w:p w14:paraId="7F709172"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明朝" w:hint="eastAsia"/>
                <w:kern w:val="0"/>
                <w:sz w:val="20"/>
                <w:szCs w:val="20"/>
              </w:rPr>
              <w:t>２</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４</w:t>
            </w:r>
            <w:r w:rsidRPr="00D16DF3">
              <w:rPr>
                <w:rFonts w:ascii="ＭＳ 明朝" w:hAnsi="ＭＳ 明朝" w:cs="ＭＳ ゴシック" w:hint="eastAsia"/>
                <w:spacing w:val="-6"/>
                <w:kern w:val="0"/>
                <w:sz w:val="20"/>
                <w:szCs w:val="20"/>
              </w:rPr>
              <w:t xml:space="preserve">　（略）</w:t>
            </w:r>
          </w:p>
          <w:p w14:paraId="1C88AD0A" w14:textId="75423AFF"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５　管理職職員等</w:t>
            </w:r>
            <w:r w:rsidRPr="00D16DF3">
              <w:rPr>
                <w:rFonts w:ascii="ＭＳ 明朝" w:hAnsi="ＭＳ 明朝" w:cs="ＭＳ ゴシック" w:hint="eastAsia"/>
                <w:spacing w:val="-6"/>
                <w:kern w:val="0"/>
                <w:sz w:val="20"/>
                <w:szCs w:val="20"/>
                <w:u w:val="single"/>
              </w:rPr>
              <w:t>（離職後十年</w:t>
            </w:r>
            <w:r w:rsidR="00430A60" w:rsidRPr="00D16DF3">
              <w:rPr>
                <w:rFonts w:ascii="ＭＳ 明朝" w:hAnsi="ＭＳ 明朝" w:cs="ＭＳ ゴシック" w:hint="eastAsia"/>
                <w:spacing w:val="-6"/>
                <w:kern w:val="0"/>
                <w:sz w:val="20"/>
                <w:szCs w:val="20"/>
                <w:u w:val="single"/>
              </w:rPr>
              <w:t>を経過し、</w:t>
            </w:r>
            <w:r w:rsidRPr="00D16DF3">
              <w:rPr>
                <w:rFonts w:ascii="ＭＳ 明朝" w:hAnsi="ＭＳ 明朝" w:cs="ＭＳ ゴシック" w:hint="eastAsia"/>
                <w:spacing w:val="-6"/>
                <w:kern w:val="0"/>
                <w:sz w:val="20"/>
                <w:szCs w:val="20"/>
                <w:u w:val="single"/>
              </w:rPr>
              <w:t>又は年齢</w:t>
            </w:r>
            <w:r w:rsidR="004737AA" w:rsidRPr="00D16DF3">
              <w:rPr>
                <w:rFonts w:ascii="ＭＳ 明朝" w:hAnsi="ＭＳ 明朝" w:cs="ＭＳ ゴシック" w:hint="eastAsia"/>
                <w:spacing w:val="-6"/>
                <w:kern w:val="0"/>
                <w:sz w:val="20"/>
                <w:szCs w:val="20"/>
                <w:u w:val="single"/>
              </w:rPr>
              <w:t>が</w:t>
            </w:r>
            <w:r w:rsidRPr="00D16DF3">
              <w:rPr>
                <w:rFonts w:ascii="ＭＳ 明朝" w:hAnsi="ＭＳ 明朝" w:cs="ＭＳ ゴシック" w:hint="eastAsia"/>
                <w:spacing w:val="-6"/>
                <w:kern w:val="0"/>
                <w:sz w:val="20"/>
                <w:szCs w:val="20"/>
                <w:u w:val="single"/>
              </w:rPr>
              <w:t>七十年を超える</w:t>
            </w:r>
            <w:r w:rsidR="005C4335" w:rsidRPr="00D16DF3">
              <w:rPr>
                <w:rFonts w:ascii="ＭＳ 明朝" w:hAnsi="ＭＳ 明朝" w:cs="ＭＳ ゴシック" w:hint="eastAsia"/>
                <w:spacing w:val="-6"/>
                <w:kern w:val="0"/>
                <w:sz w:val="20"/>
                <w:szCs w:val="20"/>
                <w:u w:val="single"/>
              </w:rPr>
              <w:t>者</w:t>
            </w:r>
            <w:r w:rsidRPr="00D16DF3">
              <w:rPr>
                <w:rFonts w:ascii="ＭＳ 明朝" w:hAnsi="ＭＳ 明朝" w:cs="ＭＳ ゴシック" w:hint="eastAsia"/>
                <w:spacing w:val="-6"/>
                <w:kern w:val="0"/>
                <w:sz w:val="20"/>
                <w:szCs w:val="20"/>
                <w:u w:val="single"/>
              </w:rPr>
              <w:t>を除く</w:t>
            </w:r>
            <w:r w:rsidR="00CF3EC7" w:rsidRPr="00D16DF3">
              <w:rPr>
                <w:rFonts w:ascii="ＭＳ 明朝" w:hAnsi="ＭＳ 明朝" w:cs="ＭＳ ゴシック" w:hint="eastAsia"/>
                <w:spacing w:val="-6"/>
                <w:kern w:val="0"/>
                <w:sz w:val="20"/>
                <w:szCs w:val="20"/>
                <w:u w:val="single"/>
              </w:rPr>
              <w:t>。</w:t>
            </w:r>
            <w:r w:rsidRPr="00D16DF3">
              <w:rPr>
                <w:rFonts w:ascii="ＭＳ 明朝" w:hAnsi="ＭＳ 明朝" w:cs="ＭＳ ゴシック" w:hint="eastAsia"/>
                <w:spacing w:val="-6"/>
                <w:kern w:val="0"/>
                <w:sz w:val="20"/>
                <w:szCs w:val="20"/>
                <w:u w:val="single"/>
              </w:rPr>
              <w:t>）</w:t>
            </w:r>
            <w:r w:rsidRPr="00D16DF3">
              <w:rPr>
                <w:rFonts w:ascii="ＭＳ 明朝" w:hAnsi="ＭＳ 明朝" w:cs="ＭＳ ゴシック" w:hint="eastAsia"/>
                <w:spacing w:val="-6"/>
                <w:kern w:val="0"/>
                <w:sz w:val="20"/>
                <w:szCs w:val="20"/>
              </w:rPr>
              <w:t>は、第一項第一号から第三号までに掲げる法人への就職に当たっては、</w:t>
            </w:r>
            <w:r w:rsidRPr="00D16DF3">
              <w:rPr>
                <w:rFonts w:ascii="ＭＳ 明朝" w:hAnsi="ＭＳ 明朝" w:cs="ＭＳ ゴシック" w:hint="eastAsia"/>
                <w:spacing w:val="-6"/>
                <w:kern w:val="0"/>
                <w:sz w:val="20"/>
                <w:szCs w:val="20"/>
                <w:u w:val="single"/>
              </w:rPr>
              <w:t>規則で定める場合を除き、</w:t>
            </w:r>
            <w:r w:rsidRPr="00D16DF3">
              <w:rPr>
                <w:rFonts w:ascii="ＭＳ 明朝" w:hAnsi="ＭＳ 明朝" w:cs="ＭＳ ゴシック" w:hint="eastAsia"/>
                <w:spacing w:val="-6"/>
                <w:kern w:val="0"/>
                <w:sz w:val="20"/>
                <w:szCs w:val="20"/>
              </w:rPr>
              <w:t>人材バンク制度（営利企業又は営利企業以外の法人そ</w:t>
            </w:r>
            <w:r w:rsidRPr="00D16DF3">
              <w:rPr>
                <w:rFonts w:ascii="ＭＳ 明朝" w:hAnsi="ＭＳ 明朝" w:cs="ＭＳ ゴシック" w:hint="eastAsia"/>
                <w:spacing w:val="-6"/>
                <w:kern w:val="0"/>
                <w:sz w:val="20"/>
                <w:szCs w:val="20"/>
              </w:rPr>
              <w:lastRenderedPageBreak/>
              <w:t>の他の団体（国、国際機関及び他の地方公共団体を含む。）からの職員に対する求人に係る情報及び職員からの営利企業又は営利企業以外の法人その他の団体に対する求職に係る情報をそれぞれに提供することにより、再就職を支援する仕組みをいう。）を利用しなければならない。</w:t>
            </w:r>
          </w:p>
        </w:tc>
        <w:tc>
          <w:tcPr>
            <w:tcW w:w="4523" w:type="dxa"/>
            <w:tcBorders>
              <w:top w:val="nil"/>
              <w:bottom w:val="nil"/>
            </w:tcBorders>
            <w:textDirection w:val="lrTbV"/>
          </w:tcPr>
          <w:p w14:paraId="42631E64"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lastRenderedPageBreak/>
              <w:t>（管理職の任用）</w:t>
            </w:r>
          </w:p>
          <w:p w14:paraId="458AA82E" w14:textId="69ED263D" w:rsidR="00A34D31" w:rsidRPr="00D16DF3" w:rsidRDefault="00A34D31" w:rsidP="006F373D">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第八条　任命権者は、大阪府組織条例（昭和二十八年大阪府条例第一号）に規定する部の長の職その他任命権者が定める職については、公募（職員からの募集を含む。）により任用するものとする。ただし、公募するいとまがない場合</w:t>
            </w:r>
            <w:r w:rsidRPr="00D16DF3">
              <w:rPr>
                <w:rFonts w:ascii="ＭＳ 明朝" w:hAnsi="ＭＳ 明朝" w:cs="ＭＳ ゴシック" w:hint="eastAsia"/>
                <w:spacing w:val="-6"/>
                <w:kern w:val="0"/>
                <w:sz w:val="20"/>
                <w:szCs w:val="20"/>
                <w:u w:val="single"/>
              </w:rPr>
              <w:t>その他特別の理由がある</w:t>
            </w:r>
            <w:r w:rsidRPr="00D16DF3">
              <w:rPr>
                <w:rFonts w:ascii="ＭＳ 明朝" w:hAnsi="ＭＳ 明朝" w:cs="ＭＳ ゴシック" w:hint="eastAsia"/>
                <w:spacing w:val="-6"/>
                <w:kern w:val="0"/>
                <w:sz w:val="20"/>
                <w:szCs w:val="20"/>
              </w:rPr>
              <w:t>場合は、この限りでない。</w:t>
            </w:r>
          </w:p>
          <w:p w14:paraId="7362C9B2"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明朝" w:hint="eastAsia"/>
                <w:kern w:val="0"/>
                <w:sz w:val="20"/>
                <w:szCs w:val="20"/>
              </w:rPr>
              <w:t>２</w:t>
            </w:r>
            <w:r w:rsidRPr="00D16DF3">
              <w:rPr>
                <w:rFonts w:ascii="ＭＳ 明朝" w:hAnsi="ＭＳ 明朝" w:cs="ＭＳ ゴシック" w:hint="eastAsia"/>
                <w:spacing w:val="-6"/>
                <w:kern w:val="0"/>
                <w:sz w:val="20"/>
                <w:szCs w:val="20"/>
              </w:rPr>
              <w:t xml:space="preserve">　（略）</w:t>
            </w:r>
          </w:p>
          <w:p w14:paraId="0FC60BE0" w14:textId="3DDEE212"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u w:val="single"/>
              </w:rPr>
            </w:pPr>
          </w:p>
          <w:p w14:paraId="2A93A7CE" w14:textId="7D994673" w:rsidR="004A05A6" w:rsidRPr="00D16DF3" w:rsidRDefault="004A05A6" w:rsidP="00DD6556">
            <w:pPr>
              <w:autoSpaceDN w:val="0"/>
              <w:spacing w:line="240" w:lineRule="exact"/>
              <w:ind w:left="200" w:hangingChars="100" w:hanging="200"/>
              <w:rPr>
                <w:rFonts w:ascii="ＭＳ 明朝" w:hAnsi="ＭＳ 明朝" w:cs="ＭＳ ゴシック"/>
                <w:spacing w:val="-6"/>
                <w:kern w:val="0"/>
                <w:sz w:val="20"/>
                <w:szCs w:val="20"/>
                <w:u w:val="single"/>
              </w:rPr>
            </w:pPr>
          </w:p>
          <w:p w14:paraId="7C30A7F4" w14:textId="71A83758" w:rsidR="004A05A6" w:rsidRPr="00D16DF3" w:rsidRDefault="004A05A6" w:rsidP="00DD6556">
            <w:pPr>
              <w:autoSpaceDN w:val="0"/>
              <w:spacing w:line="240" w:lineRule="exact"/>
              <w:ind w:left="200" w:hangingChars="100" w:hanging="200"/>
              <w:rPr>
                <w:rFonts w:ascii="ＭＳ 明朝" w:hAnsi="ＭＳ 明朝" w:cs="ＭＳ ゴシック"/>
                <w:spacing w:val="-6"/>
                <w:kern w:val="0"/>
                <w:sz w:val="20"/>
                <w:szCs w:val="20"/>
                <w:u w:val="single"/>
              </w:rPr>
            </w:pPr>
          </w:p>
          <w:p w14:paraId="5D6026F9" w14:textId="4CC40FF9" w:rsidR="004A05A6" w:rsidRPr="00D16DF3" w:rsidRDefault="004A05A6" w:rsidP="00DD6556">
            <w:pPr>
              <w:autoSpaceDN w:val="0"/>
              <w:spacing w:line="240" w:lineRule="exact"/>
              <w:ind w:left="200" w:hangingChars="100" w:hanging="200"/>
              <w:rPr>
                <w:rFonts w:ascii="ＭＳ 明朝" w:hAnsi="ＭＳ 明朝" w:cs="ＭＳ ゴシック"/>
                <w:spacing w:val="-6"/>
                <w:kern w:val="0"/>
                <w:sz w:val="20"/>
                <w:szCs w:val="20"/>
                <w:u w:val="single"/>
              </w:rPr>
            </w:pPr>
          </w:p>
          <w:p w14:paraId="470339CD" w14:textId="61CD3879" w:rsidR="004A05A6" w:rsidRPr="00D16DF3" w:rsidRDefault="004A05A6" w:rsidP="00DD6556">
            <w:pPr>
              <w:autoSpaceDN w:val="0"/>
              <w:spacing w:line="240" w:lineRule="exact"/>
              <w:ind w:left="200" w:hangingChars="100" w:hanging="200"/>
              <w:rPr>
                <w:rFonts w:ascii="ＭＳ 明朝" w:hAnsi="ＭＳ 明朝" w:cs="ＭＳ ゴシック"/>
                <w:spacing w:val="-6"/>
                <w:kern w:val="0"/>
                <w:sz w:val="20"/>
                <w:szCs w:val="20"/>
                <w:u w:val="single"/>
              </w:rPr>
            </w:pPr>
          </w:p>
          <w:p w14:paraId="18FC7358" w14:textId="5C860C79" w:rsidR="004A05A6" w:rsidRPr="00D16DF3" w:rsidRDefault="00CF3EC7"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u w:val="single"/>
              </w:rPr>
              <w:t>３</w:t>
            </w:r>
            <w:r w:rsidR="004A05A6" w:rsidRPr="00D16DF3">
              <w:rPr>
                <w:rFonts w:ascii="ＭＳ 明朝" w:hAnsi="ＭＳ 明朝" w:cs="ＭＳ ゴシック" w:hint="eastAsia"/>
                <w:spacing w:val="-6"/>
                <w:kern w:val="0"/>
                <w:sz w:val="20"/>
                <w:szCs w:val="20"/>
              </w:rPr>
              <w:t>・</w:t>
            </w:r>
            <w:r w:rsidRPr="00D16DF3">
              <w:rPr>
                <w:rFonts w:ascii="ＭＳ 明朝" w:hAnsi="ＭＳ 明朝" w:cs="ＭＳ ゴシック" w:hint="eastAsia"/>
                <w:spacing w:val="-6"/>
                <w:kern w:val="0"/>
                <w:sz w:val="20"/>
                <w:szCs w:val="20"/>
                <w:u w:val="single"/>
              </w:rPr>
              <w:t>４</w:t>
            </w:r>
            <w:r w:rsidR="004A05A6" w:rsidRPr="00D16DF3">
              <w:rPr>
                <w:rFonts w:ascii="ＭＳ 明朝" w:hAnsi="ＭＳ 明朝" w:cs="ＭＳ ゴシック" w:hint="eastAsia"/>
                <w:spacing w:val="-6"/>
                <w:kern w:val="0"/>
                <w:sz w:val="20"/>
                <w:szCs w:val="20"/>
              </w:rPr>
              <w:t xml:space="preserve">　（略）</w:t>
            </w:r>
          </w:p>
          <w:p w14:paraId="18D01805" w14:textId="77777777" w:rsidR="004A05A6" w:rsidRPr="00D16DF3" w:rsidRDefault="004A05A6" w:rsidP="00DD6556">
            <w:pPr>
              <w:autoSpaceDN w:val="0"/>
              <w:spacing w:line="240" w:lineRule="exact"/>
              <w:ind w:left="200" w:hangingChars="100" w:hanging="200"/>
              <w:rPr>
                <w:rFonts w:ascii="ＭＳ 明朝" w:hAnsi="ＭＳ 明朝" w:cs="ＭＳ ゴシック"/>
                <w:spacing w:val="-6"/>
                <w:kern w:val="0"/>
                <w:sz w:val="20"/>
                <w:szCs w:val="20"/>
              </w:rPr>
            </w:pPr>
          </w:p>
          <w:p w14:paraId="3BC24DD1"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（相対評価）</w:t>
            </w:r>
          </w:p>
          <w:p w14:paraId="283022AB" w14:textId="77777777"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第十五条　（略）</w:t>
            </w:r>
          </w:p>
          <w:p w14:paraId="59AEC87F" w14:textId="77777777"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２　（略）</w:t>
            </w:r>
          </w:p>
          <w:tbl>
            <w:tblPr>
              <w:tblW w:w="0" w:type="auto"/>
              <w:tblInd w:w="204" w:type="dxa"/>
              <w:tblCellMar>
                <w:left w:w="0" w:type="dxa"/>
                <w:right w:w="0" w:type="dxa"/>
              </w:tblCellMar>
              <w:tblLook w:val="0000" w:firstRow="0" w:lastRow="0" w:firstColumn="0" w:lastColumn="0" w:noHBand="0" w:noVBand="0"/>
            </w:tblPr>
            <w:tblGrid>
              <w:gridCol w:w="2056"/>
              <w:gridCol w:w="2055"/>
            </w:tblGrid>
            <w:tr w:rsidR="001B60AB" w:rsidRPr="00D16DF3" w14:paraId="036FD560" w14:textId="77777777" w:rsidTr="001B60AB">
              <w:trPr>
                <w:trHeight w:val="312"/>
              </w:trPr>
              <w:tc>
                <w:tcPr>
                  <w:tcW w:w="2056" w:type="dxa"/>
                  <w:tcBorders>
                    <w:top w:val="single" w:sz="4" w:space="0" w:color="000000"/>
                    <w:left w:val="single" w:sz="4" w:space="0" w:color="000000"/>
                    <w:bottom w:val="single" w:sz="4" w:space="0" w:color="000000"/>
                    <w:right w:val="single" w:sz="4" w:space="0" w:color="000000"/>
                  </w:tcBorders>
                  <w:textDirection w:val="lrTbV"/>
                  <w:vAlign w:val="center"/>
                </w:tcPr>
                <w:p w14:paraId="5D75A8CC" w14:textId="77777777" w:rsidR="001B60AB" w:rsidRPr="00D16DF3" w:rsidRDefault="001B60AB" w:rsidP="00FF70F5">
                  <w:pPr>
                    <w:framePr w:hSpace="142" w:wrap="around" w:vAnchor="text" w:hAnchor="margin" w:x="1" w:y="182"/>
                    <w:wordWrap w:val="0"/>
                    <w:autoSpaceDE w:val="0"/>
                    <w:autoSpaceDN w:val="0"/>
                    <w:adjustRightInd w:val="0"/>
                    <w:spacing w:line="240" w:lineRule="exact"/>
                    <w:jc w:val="center"/>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区分</w:t>
                  </w:r>
                </w:p>
              </w:tc>
              <w:tc>
                <w:tcPr>
                  <w:tcW w:w="2055" w:type="dxa"/>
                  <w:tcBorders>
                    <w:top w:val="single" w:sz="4" w:space="0" w:color="000000"/>
                    <w:bottom w:val="single" w:sz="4" w:space="0" w:color="000000"/>
                    <w:right w:val="single" w:sz="4" w:space="0" w:color="000000"/>
                  </w:tcBorders>
                  <w:textDirection w:val="lrTbV"/>
                  <w:vAlign w:val="center"/>
                </w:tcPr>
                <w:p w14:paraId="05D97BD2" w14:textId="77777777" w:rsidR="001B60AB" w:rsidRPr="00D16DF3" w:rsidRDefault="001B60AB" w:rsidP="00FF70F5">
                  <w:pPr>
                    <w:framePr w:hSpace="142" w:wrap="around" w:vAnchor="text" w:hAnchor="margin" w:x="1" w:y="182"/>
                    <w:wordWrap w:val="0"/>
                    <w:autoSpaceDE w:val="0"/>
                    <w:autoSpaceDN w:val="0"/>
                    <w:adjustRightInd w:val="0"/>
                    <w:spacing w:line="240" w:lineRule="exact"/>
                    <w:jc w:val="center"/>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分布の割合</w:t>
                  </w:r>
                </w:p>
              </w:tc>
            </w:tr>
            <w:tr w:rsidR="001B60AB" w:rsidRPr="00D16DF3" w14:paraId="5C5B12E7"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74596C2F" w14:textId="5BEEA4C5"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第一区分</w:t>
                  </w:r>
                </w:p>
              </w:tc>
              <w:tc>
                <w:tcPr>
                  <w:tcW w:w="2055" w:type="dxa"/>
                  <w:tcBorders>
                    <w:bottom w:val="single" w:sz="4" w:space="0" w:color="000000"/>
                    <w:right w:val="single" w:sz="4" w:space="0" w:color="000000"/>
                  </w:tcBorders>
                  <w:textDirection w:val="lrTbV"/>
                  <w:vAlign w:val="center"/>
                </w:tcPr>
                <w:p w14:paraId="25983CA3" w14:textId="77777777"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百分の五</w:t>
                  </w:r>
                </w:p>
              </w:tc>
            </w:tr>
            <w:tr w:rsidR="001B60AB" w:rsidRPr="00D16DF3" w14:paraId="20C8EA78"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2CF11205" w14:textId="039C822B"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第二区分</w:t>
                  </w:r>
                </w:p>
              </w:tc>
              <w:tc>
                <w:tcPr>
                  <w:tcW w:w="2055" w:type="dxa"/>
                  <w:tcBorders>
                    <w:bottom w:val="single" w:sz="4" w:space="0" w:color="000000"/>
                    <w:right w:val="single" w:sz="4" w:space="0" w:color="000000"/>
                  </w:tcBorders>
                  <w:textDirection w:val="lrTbV"/>
                  <w:vAlign w:val="center"/>
                </w:tcPr>
                <w:p w14:paraId="374D0516" w14:textId="1FF95287"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百分の二十</w:t>
                  </w:r>
                </w:p>
              </w:tc>
            </w:tr>
            <w:tr w:rsidR="001B60AB" w:rsidRPr="00D16DF3" w14:paraId="484FC44E"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56D7D063" w14:textId="1916949E"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第三区分</w:t>
                  </w:r>
                </w:p>
              </w:tc>
              <w:tc>
                <w:tcPr>
                  <w:tcW w:w="2055" w:type="dxa"/>
                  <w:tcBorders>
                    <w:bottom w:val="single" w:sz="4" w:space="0" w:color="000000"/>
                    <w:right w:val="single" w:sz="4" w:space="0" w:color="000000"/>
                  </w:tcBorders>
                  <w:textDirection w:val="lrTbV"/>
                  <w:vAlign w:val="center"/>
                </w:tcPr>
                <w:p w14:paraId="30625B27" w14:textId="3EEC33F3"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百分の六十</w:t>
                  </w:r>
                </w:p>
              </w:tc>
            </w:tr>
            <w:tr w:rsidR="001B60AB" w:rsidRPr="00D16DF3" w14:paraId="4C49598F" w14:textId="77777777" w:rsidTr="001B60AB">
              <w:trPr>
                <w:trHeight w:val="312"/>
              </w:trPr>
              <w:tc>
                <w:tcPr>
                  <w:tcW w:w="2056" w:type="dxa"/>
                  <w:tcBorders>
                    <w:left w:val="single" w:sz="4" w:space="0" w:color="000000"/>
                    <w:bottom w:val="single" w:sz="4" w:space="0" w:color="000000"/>
                    <w:right w:val="single" w:sz="4" w:space="0" w:color="000000"/>
                  </w:tcBorders>
                  <w:textDirection w:val="lrTbV"/>
                  <w:vAlign w:val="center"/>
                </w:tcPr>
                <w:p w14:paraId="372AB5B5" w14:textId="233BEFEE"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第四区分</w:t>
                  </w:r>
                </w:p>
              </w:tc>
              <w:tc>
                <w:tcPr>
                  <w:tcW w:w="2055" w:type="dxa"/>
                  <w:tcBorders>
                    <w:bottom w:val="single" w:sz="4" w:space="0" w:color="000000"/>
                    <w:right w:val="single" w:sz="4" w:space="0" w:color="000000"/>
                  </w:tcBorders>
                  <w:textDirection w:val="lrTbV"/>
                  <w:vAlign w:val="center"/>
                </w:tcPr>
                <w:p w14:paraId="7C89C4A1" w14:textId="0691C859"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百分の十</w:t>
                  </w:r>
                </w:p>
              </w:tc>
            </w:tr>
            <w:tr w:rsidR="001B60AB" w:rsidRPr="00D16DF3" w14:paraId="0E09883E" w14:textId="77777777" w:rsidTr="001B60AB">
              <w:trPr>
                <w:trHeight w:val="312"/>
              </w:trPr>
              <w:tc>
                <w:tcPr>
                  <w:tcW w:w="2056" w:type="dxa"/>
                  <w:tcBorders>
                    <w:top w:val="single" w:sz="4" w:space="0" w:color="000000"/>
                    <w:left w:val="single" w:sz="4" w:space="0" w:color="000000"/>
                    <w:bottom w:val="single" w:sz="4" w:space="0" w:color="auto"/>
                    <w:right w:val="single" w:sz="4" w:space="0" w:color="000000"/>
                  </w:tcBorders>
                  <w:textDirection w:val="lrTbV"/>
                  <w:vAlign w:val="center"/>
                </w:tcPr>
                <w:p w14:paraId="34FDB391" w14:textId="214DE02E"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第五区分</w:t>
                  </w:r>
                </w:p>
              </w:tc>
              <w:tc>
                <w:tcPr>
                  <w:tcW w:w="2055" w:type="dxa"/>
                  <w:tcBorders>
                    <w:top w:val="single" w:sz="4" w:space="0" w:color="000000"/>
                    <w:bottom w:val="single" w:sz="4" w:space="0" w:color="auto"/>
                    <w:right w:val="single" w:sz="4" w:space="0" w:color="000000"/>
                  </w:tcBorders>
                  <w:textDirection w:val="lrTbV"/>
                  <w:vAlign w:val="center"/>
                </w:tcPr>
                <w:p w14:paraId="03DE9BBE" w14:textId="5E919334" w:rsidR="001B60AB" w:rsidRPr="00D16DF3" w:rsidRDefault="001B60AB" w:rsidP="00FF70F5">
                  <w:pPr>
                    <w:framePr w:hSpace="142" w:wrap="around" w:vAnchor="text" w:hAnchor="margin" w:x="1" w:y="182"/>
                    <w:autoSpaceDE w:val="0"/>
                    <w:autoSpaceDN w:val="0"/>
                    <w:adjustRightInd w:val="0"/>
                    <w:spacing w:beforeLines="10" w:before="36" w:line="240" w:lineRule="exact"/>
                    <w:ind w:leftChars="10" w:left="25"/>
                    <w:jc w:val="left"/>
                    <w:rPr>
                      <w:rFonts w:ascii="ＭＳ 明朝" w:hAnsi="ＭＳ 明朝" w:cs="ＭＳ 明朝"/>
                      <w:kern w:val="0"/>
                      <w:sz w:val="20"/>
                      <w:szCs w:val="20"/>
                      <w:u w:val="single"/>
                    </w:rPr>
                  </w:pPr>
                  <w:r w:rsidRPr="00D16DF3">
                    <w:rPr>
                      <w:rFonts w:ascii="ＭＳ 明朝" w:hAnsi="ＭＳ 明朝" w:cs="ＭＳ 明朝" w:hint="eastAsia"/>
                      <w:kern w:val="0"/>
                      <w:sz w:val="20"/>
                      <w:szCs w:val="20"/>
                      <w:u w:val="single"/>
                    </w:rPr>
                    <w:t>百分の五</w:t>
                  </w:r>
                </w:p>
              </w:tc>
            </w:tr>
          </w:tbl>
          <w:p w14:paraId="39BBE8E8" w14:textId="77777777" w:rsidR="001B60AB" w:rsidRPr="00D16DF3" w:rsidRDefault="001B60AB" w:rsidP="001B60AB">
            <w:pPr>
              <w:autoSpaceDN w:val="0"/>
              <w:spacing w:beforeLines="90" w:before="327" w:line="240" w:lineRule="exact"/>
              <w:rPr>
                <w:rFonts w:ascii="ＭＳ 明朝" w:hAnsi="ＭＳ 明朝" w:cs="ＭＳ ゴシック"/>
                <w:spacing w:val="-6"/>
                <w:kern w:val="0"/>
                <w:sz w:val="20"/>
                <w:szCs w:val="20"/>
              </w:rPr>
            </w:pPr>
          </w:p>
          <w:p w14:paraId="1B24A86C" w14:textId="77777777"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（出資法人等への再就職の禁止）</w:t>
            </w:r>
          </w:p>
          <w:p w14:paraId="685DED1B" w14:textId="77777777" w:rsidR="00A34D31" w:rsidRPr="00D16DF3" w:rsidRDefault="00A34D31" w:rsidP="00DD6556">
            <w:pPr>
              <w:autoSpaceDN w:val="0"/>
              <w:spacing w:line="240" w:lineRule="exact"/>
              <w:ind w:left="200" w:hangingChars="100" w:hanging="200"/>
              <w:rPr>
                <w:rFonts w:ascii="ＭＳ 明朝" w:hAnsi="ＭＳ 明朝"/>
                <w:spacing w:val="-6"/>
                <w:sz w:val="20"/>
                <w:szCs w:val="20"/>
              </w:rPr>
            </w:pPr>
            <w:r w:rsidRPr="00D16DF3">
              <w:rPr>
                <w:rFonts w:ascii="ＭＳ 明朝" w:hAnsi="ＭＳ 明朝" w:cs="ＭＳ ゴシック" w:hint="eastAsia"/>
                <w:spacing w:val="-6"/>
                <w:kern w:val="0"/>
                <w:sz w:val="20"/>
                <w:szCs w:val="20"/>
              </w:rPr>
              <w:t>第三十二条　管理職の職員若しくは職員であった者又は別に条例で定める勤続期間が二十年以上である職員若しくは職員であった者（以下この条において「管理職職員等」という。）は、離職後、次に掲げる法人に就職することができない。</w:t>
            </w:r>
          </w:p>
          <w:p w14:paraId="765E15A6"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p>
          <w:p w14:paraId="12717047" w14:textId="77777777" w:rsidR="00A34D31" w:rsidRPr="00D16DF3" w:rsidRDefault="00A34D31" w:rsidP="00DD6556">
            <w:pPr>
              <w:autoSpaceDN w:val="0"/>
              <w:spacing w:line="240" w:lineRule="exact"/>
            </w:pPr>
            <w:r w:rsidRPr="00D16DF3">
              <w:rPr>
                <w:rFonts w:ascii="ＭＳ 明朝" w:hAnsi="ＭＳ 明朝" w:cs="ＭＳ ゴシック" w:hint="eastAsia"/>
                <w:spacing w:val="-6"/>
                <w:kern w:val="0"/>
                <w:sz w:val="20"/>
                <w:szCs w:val="20"/>
              </w:rPr>
              <w:t xml:space="preserve">　</w:t>
            </w:r>
            <w:r w:rsidRPr="00D16DF3">
              <w:rPr>
                <w:rFonts w:ascii="ＭＳ 明朝" w:hAnsi="ＭＳ 明朝" w:cs="ＭＳ 明朝" w:hint="eastAsia"/>
                <w:kern w:val="0"/>
                <w:sz w:val="20"/>
                <w:szCs w:val="20"/>
              </w:rPr>
              <w:t>一</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四</w:t>
            </w:r>
            <w:r w:rsidRPr="00D16DF3">
              <w:rPr>
                <w:rFonts w:ascii="ＭＳ 明朝" w:hAnsi="ＭＳ 明朝" w:cs="ＭＳ ゴシック" w:hint="eastAsia"/>
                <w:spacing w:val="-6"/>
                <w:kern w:val="0"/>
                <w:sz w:val="20"/>
                <w:szCs w:val="20"/>
              </w:rPr>
              <w:t xml:space="preserve">　（略）</w:t>
            </w:r>
          </w:p>
          <w:p w14:paraId="24ED07B8"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r w:rsidRPr="00D16DF3">
              <w:rPr>
                <w:rFonts w:ascii="ＭＳ 明朝" w:hAnsi="ＭＳ 明朝" w:cs="ＭＳ 明朝" w:hint="eastAsia"/>
                <w:kern w:val="0"/>
                <w:sz w:val="20"/>
                <w:szCs w:val="20"/>
              </w:rPr>
              <w:t>２</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４</w:t>
            </w:r>
            <w:r w:rsidRPr="00D16DF3">
              <w:rPr>
                <w:rFonts w:ascii="ＭＳ 明朝" w:hAnsi="ＭＳ 明朝" w:cs="ＭＳ ゴシック" w:hint="eastAsia"/>
                <w:spacing w:val="-6"/>
                <w:kern w:val="0"/>
                <w:sz w:val="20"/>
                <w:szCs w:val="20"/>
              </w:rPr>
              <w:t xml:space="preserve">　（略）</w:t>
            </w:r>
          </w:p>
          <w:p w14:paraId="344DF2F7" w14:textId="77777777" w:rsidR="00A34D31" w:rsidRPr="00D16DF3" w:rsidRDefault="00A34D31" w:rsidP="00DD6556">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５　管理職職員等は、第一項第一号から第三号までに掲げる法人への就職に当たっては、人材バンク制度（営利企業又は営利企業以外の法人その他の団体（国、国際機関及び他の地方公共団体を含む。）からの職員に対する求人に係る情</w:t>
            </w:r>
            <w:r w:rsidRPr="00D16DF3">
              <w:rPr>
                <w:rFonts w:ascii="ＭＳ 明朝" w:hAnsi="ＭＳ 明朝" w:cs="ＭＳ ゴシック" w:hint="eastAsia"/>
                <w:spacing w:val="-6"/>
                <w:kern w:val="0"/>
                <w:sz w:val="20"/>
                <w:szCs w:val="20"/>
              </w:rPr>
              <w:lastRenderedPageBreak/>
              <w:t>報及び職員からの営利企業又は営利企業以外の法人その他の団体に対する求職に係る情報をそれぞれに提供することにより、再就職を支援する仕組みをいう。）を利用しなければならない。</w:t>
            </w:r>
          </w:p>
        </w:tc>
      </w:tr>
      <w:tr w:rsidR="00A34D31" w:rsidRPr="00D16DF3" w14:paraId="466DED52" w14:textId="77777777" w:rsidTr="00DD6556">
        <w:trPr>
          <w:trHeight w:val="80"/>
        </w:trPr>
        <w:tc>
          <w:tcPr>
            <w:tcW w:w="4522" w:type="dxa"/>
            <w:tcBorders>
              <w:top w:val="nil"/>
            </w:tcBorders>
            <w:textDirection w:val="lrTbV"/>
          </w:tcPr>
          <w:p w14:paraId="0A25292B" w14:textId="77777777" w:rsidR="00A34D31" w:rsidRPr="00D16DF3" w:rsidRDefault="00A34D31" w:rsidP="00DD655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EA90D3E" w14:textId="77777777" w:rsidR="00A34D31" w:rsidRPr="00D16DF3" w:rsidRDefault="00A34D31" w:rsidP="00DD6556">
            <w:pPr>
              <w:autoSpaceDN w:val="0"/>
              <w:spacing w:line="240" w:lineRule="exact"/>
              <w:rPr>
                <w:rFonts w:ascii="ＭＳ 明朝" w:hAnsi="ＭＳ 明朝"/>
                <w:spacing w:val="-6"/>
                <w:sz w:val="20"/>
                <w:szCs w:val="20"/>
              </w:rPr>
            </w:pPr>
          </w:p>
        </w:tc>
      </w:tr>
    </w:tbl>
    <w:p w14:paraId="1DB56FC8" w14:textId="77777777" w:rsidR="00EA1D04" w:rsidRPr="00D16DF3" w:rsidRDefault="00EA1D04" w:rsidP="00A34D31">
      <w:pPr>
        <w:autoSpaceDN w:val="0"/>
        <w:spacing w:beforeLines="50" w:before="182"/>
      </w:pPr>
      <w:r w:rsidRPr="00D16DF3">
        <w:rPr>
          <w:rFonts w:hint="eastAsia"/>
        </w:rPr>
        <w:t>（職員の退職管理に関する条例の一部改正）</w:t>
      </w:r>
    </w:p>
    <w:p w14:paraId="548E13A9" w14:textId="68002092" w:rsidR="00EA1D04" w:rsidRPr="00D16DF3" w:rsidRDefault="00EA1D04" w:rsidP="00EA1D04">
      <w:pPr>
        <w:autoSpaceDN w:val="0"/>
        <w:ind w:left="252" w:hangingChars="100" w:hanging="252"/>
      </w:pPr>
      <w:r w:rsidRPr="00D16DF3">
        <w:rPr>
          <w:rFonts w:hint="eastAsia"/>
        </w:rPr>
        <w:t>第</w:t>
      </w:r>
      <w:r w:rsidR="00A34D31" w:rsidRPr="00D16DF3">
        <w:rPr>
          <w:rFonts w:hint="eastAsia"/>
        </w:rPr>
        <w:t>二</w:t>
      </w:r>
      <w:r w:rsidRPr="00D16DF3">
        <w:rPr>
          <w:rFonts w:hint="eastAsia"/>
        </w:rPr>
        <w:t>条　職員の退職管理に関する条例（平成二十三年大阪府条例第六号）の一部を次のように改正する。</w:t>
      </w:r>
    </w:p>
    <w:p w14:paraId="69952996" w14:textId="77777777" w:rsidR="00EA1D04" w:rsidRPr="00D16DF3" w:rsidRDefault="00EA1D04" w:rsidP="00A34D31">
      <w:pPr>
        <w:autoSpaceDN w:val="0"/>
        <w:ind w:left="252" w:hangingChars="100" w:hanging="252"/>
      </w:pPr>
      <w:r w:rsidRPr="00D16DF3">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63D4C" w:rsidRPr="00D16DF3" w14:paraId="074ECA90" w14:textId="77777777" w:rsidTr="00A14C49">
        <w:trPr>
          <w:trHeight w:val="249"/>
        </w:trPr>
        <w:tc>
          <w:tcPr>
            <w:tcW w:w="4522" w:type="dxa"/>
            <w:textDirection w:val="lrTbV"/>
          </w:tcPr>
          <w:p w14:paraId="1A694E9D" w14:textId="77777777" w:rsidR="00EA1D04" w:rsidRPr="00D16DF3" w:rsidRDefault="00EA1D04" w:rsidP="00A14C49">
            <w:pPr>
              <w:autoSpaceDN w:val="0"/>
              <w:jc w:val="center"/>
              <w:rPr>
                <w:rFonts w:ascii="ＭＳ 明朝" w:hAnsi="ＭＳ 明朝"/>
                <w:spacing w:val="-6"/>
                <w:sz w:val="20"/>
                <w:szCs w:val="20"/>
              </w:rPr>
            </w:pPr>
            <w:r w:rsidRPr="00D16DF3">
              <w:rPr>
                <w:rFonts w:ascii="ＭＳ 明朝" w:hAnsi="ＭＳ 明朝" w:hint="eastAsia"/>
                <w:spacing w:val="-6"/>
                <w:sz w:val="20"/>
                <w:szCs w:val="20"/>
              </w:rPr>
              <w:t>改正後</w:t>
            </w:r>
          </w:p>
        </w:tc>
        <w:tc>
          <w:tcPr>
            <w:tcW w:w="4523" w:type="dxa"/>
            <w:textDirection w:val="lrTbV"/>
          </w:tcPr>
          <w:p w14:paraId="54F99ED2" w14:textId="77777777" w:rsidR="00EA1D04" w:rsidRPr="00D16DF3" w:rsidRDefault="00EA1D04" w:rsidP="00A14C49">
            <w:pPr>
              <w:autoSpaceDN w:val="0"/>
              <w:jc w:val="center"/>
              <w:rPr>
                <w:rFonts w:ascii="ＭＳ 明朝" w:hAnsi="ＭＳ 明朝"/>
                <w:spacing w:val="-6"/>
                <w:sz w:val="20"/>
                <w:szCs w:val="20"/>
              </w:rPr>
            </w:pPr>
            <w:r w:rsidRPr="00D16DF3">
              <w:rPr>
                <w:rFonts w:ascii="ＭＳ 明朝" w:hAnsi="ＭＳ 明朝" w:hint="eastAsia"/>
                <w:spacing w:val="-6"/>
                <w:sz w:val="20"/>
                <w:szCs w:val="20"/>
              </w:rPr>
              <w:t>改正前</w:t>
            </w:r>
          </w:p>
        </w:tc>
      </w:tr>
      <w:tr w:rsidR="00363D4C" w:rsidRPr="00D16DF3" w14:paraId="7518AE32" w14:textId="77777777" w:rsidTr="00A14C49">
        <w:trPr>
          <w:trHeight w:val="180"/>
        </w:trPr>
        <w:tc>
          <w:tcPr>
            <w:tcW w:w="4522" w:type="dxa"/>
            <w:tcBorders>
              <w:bottom w:val="nil"/>
            </w:tcBorders>
            <w:textDirection w:val="lrTbV"/>
          </w:tcPr>
          <w:p w14:paraId="74BDBBD8" w14:textId="77777777" w:rsidR="00EA1D04" w:rsidRPr="00D16DF3" w:rsidRDefault="00EA1D04" w:rsidP="00A14C4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DDC3CE3" w14:textId="77777777" w:rsidR="00EA1D04" w:rsidRPr="00D16DF3" w:rsidRDefault="00EA1D04" w:rsidP="00A14C49">
            <w:pPr>
              <w:autoSpaceDN w:val="0"/>
              <w:spacing w:line="240" w:lineRule="exact"/>
              <w:rPr>
                <w:rFonts w:ascii="ＭＳ 明朝" w:hAnsi="ＭＳ 明朝"/>
                <w:spacing w:val="-6"/>
                <w:sz w:val="20"/>
                <w:szCs w:val="20"/>
              </w:rPr>
            </w:pPr>
          </w:p>
        </w:tc>
      </w:tr>
      <w:tr w:rsidR="00363D4C" w:rsidRPr="00D16DF3" w14:paraId="7FA78C02" w14:textId="77777777" w:rsidTr="00A14C49">
        <w:trPr>
          <w:trHeight w:val="221"/>
        </w:trPr>
        <w:tc>
          <w:tcPr>
            <w:tcW w:w="4522" w:type="dxa"/>
            <w:tcBorders>
              <w:top w:val="nil"/>
              <w:bottom w:val="nil"/>
            </w:tcBorders>
            <w:textDirection w:val="lrTbV"/>
          </w:tcPr>
          <w:p w14:paraId="4EDFBD48" w14:textId="77777777" w:rsidR="00EA1D04" w:rsidRPr="00D16DF3" w:rsidRDefault="00EA1D04" w:rsidP="00A14C49">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（任命権者への届出）</w:t>
            </w:r>
          </w:p>
          <w:p w14:paraId="34DC54D8" w14:textId="65C5B408" w:rsidR="00A14C49" w:rsidRPr="00D16DF3" w:rsidRDefault="00EA1D04" w:rsidP="00A16CA4">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第四条　管理又は監督の地位にある職員の職として人事委員会規則で定めるものに就いている職員又は第六条に定める勤続期間が二十年以上である職員であった者（退職手当通算予定職員（法第三十八条の二第三項に規定する退職手当通算予定職員をいう。以下同じ。）であった者であって引き続いて退職手当通算法人（同条第二項に規定する退職手当通算法人をいう。以下同じ。）の地位に就いている者及び公益的法人等への一般職の地方公務員の派遣等に関する法律（平成十二年法律第五十号）第十条第二項に規定する退職派遣者を除く。）は、離職後五年間、営利企業以外の法人その他の団体の地位に就いた場合又は営利企業の地位に就いた場合は、日々雇い入れられる者となった場合</w:t>
            </w:r>
            <w:r w:rsidRPr="00D16DF3">
              <w:rPr>
                <w:rFonts w:ascii="ＭＳ 明朝" w:hAnsi="ＭＳ 明朝" w:cs="ＭＳ ゴシック" w:hint="eastAsia"/>
                <w:spacing w:val="-6"/>
                <w:kern w:val="0"/>
                <w:sz w:val="20"/>
                <w:szCs w:val="20"/>
                <w:u w:val="single"/>
              </w:rPr>
              <w:t>その他人事委員会規則で定める場合</w:t>
            </w:r>
            <w:r w:rsidRPr="00D16DF3">
              <w:rPr>
                <w:rFonts w:ascii="ＭＳ 明朝" w:hAnsi="ＭＳ 明朝" w:cs="ＭＳ ゴシック" w:hint="eastAsia"/>
                <w:spacing w:val="-6"/>
                <w:kern w:val="0"/>
                <w:sz w:val="20"/>
                <w:szCs w:val="20"/>
              </w:rPr>
              <w:t>を除き、人事委員会規則で定めるところにより、速やかに、離職時の任命権者に次に掲げる事項を届け出なければならない。</w:t>
            </w:r>
          </w:p>
          <w:p w14:paraId="16858969" w14:textId="77777777" w:rsidR="00EA1D04" w:rsidRPr="00D16DF3" w:rsidRDefault="00EA1D04" w:rsidP="00A14C49">
            <w:pPr>
              <w:autoSpaceDN w:val="0"/>
              <w:spacing w:line="240" w:lineRule="exact"/>
            </w:pPr>
            <w:r w:rsidRPr="00D16DF3">
              <w:rPr>
                <w:rFonts w:ascii="ＭＳ 明朝" w:hAnsi="ＭＳ 明朝" w:cs="ＭＳ ゴシック" w:hint="eastAsia"/>
                <w:spacing w:val="-6"/>
                <w:kern w:val="0"/>
                <w:sz w:val="20"/>
                <w:szCs w:val="20"/>
              </w:rPr>
              <w:t xml:space="preserve">　</w:t>
            </w:r>
            <w:r w:rsidRPr="00D16DF3">
              <w:rPr>
                <w:rFonts w:ascii="ＭＳ 明朝" w:hAnsi="ＭＳ 明朝" w:cs="ＭＳ 明朝" w:hint="eastAsia"/>
                <w:kern w:val="0"/>
                <w:sz w:val="20"/>
                <w:szCs w:val="20"/>
              </w:rPr>
              <w:t>一</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十</w:t>
            </w:r>
            <w:r w:rsidRPr="00D16DF3">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14:paraId="1BF54D80" w14:textId="77777777" w:rsidR="00EA1D04" w:rsidRPr="00D16DF3" w:rsidRDefault="00EA1D04" w:rsidP="00A14C49">
            <w:pPr>
              <w:autoSpaceDN w:val="0"/>
              <w:spacing w:line="240" w:lineRule="exact"/>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（任命権者への届出）</w:t>
            </w:r>
          </w:p>
          <w:p w14:paraId="3226946A" w14:textId="6C987E3B" w:rsidR="00EA1D04" w:rsidRPr="00D16DF3" w:rsidRDefault="00EA1D04" w:rsidP="00A16CA4">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第四条　管理又は監督の地位にある職員の職として人事委員会規則で定めるものに就いている職員又は第六条に定める勤続期間が二十年以上である職員であった者</w:t>
            </w:r>
            <w:r w:rsidR="007C05EB" w:rsidRPr="00D16DF3">
              <w:rPr>
                <w:rFonts w:ascii="ＭＳ 明朝" w:hAnsi="ＭＳ 明朝" w:cs="ＭＳ ゴシック" w:hint="eastAsia"/>
                <w:spacing w:val="-6"/>
                <w:kern w:val="0"/>
                <w:sz w:val="20"/>
                <w:szCs w:val="20"/>
              </w:rPr>
              <w:t>（</w:t>
            </w:r>
            <w:r w:rsidRPr="00D16DF3">
              <w:rPr>
                <w:rFonts w:ascii="ＭＳ 明朝" w:hAnsi="ＭＳ 明朝" w:cs="ＭＳ ゴシック" w:hint="eastAsia"/>
                <w:spacing w:val="-6"/>
                <w:kern w:val="0"/>
                <w:sz w:val="20"/>
                <w:szCs w:val="20"/>
              </w:rPr>
              <w:t>退職手当通算予定職員（法第三十八条の二第三項に規定する退職手当通算予定職員をいう。以下同じ。）であった者であって引き続いて退職手当通算法人（同条第二項に規定する退職手当通算法人をいう。以下同じ。）の地位に就いている者及び公益的法人等への一般職の地方公務員の派遣等に関する法律（平成十二年法律第五十号）第十条第二項に規定する退職派遣者を除く。）は、離職後五年間、営利企業以外の法人その他の団体の地位に就いた場合</w:t>
            </w:r>
            <w:r w:rsidRPr="00D16DF3">
              <w:rPr>
                <w:rFonts w:ascii="ＭＳ 明朝" w:hAnsi="ＭＳ 明朝" w:cs="ＭＳ ゴシック" w:hint="eastAsia"/>
                <w:spacing w:val="-6"/>
                <w:kern w:val="0"/>
                <w:sz w:val="20"/>
                <w:szCs w:val="20"/>
                <w:u w:val="single"/>
              </w:rPr>
              <w:t>（報酬を得る場合に限る。）</w:t>
            </w:r>
            <w:r w:rsidRPr="00D16DF3">
              <w:rPr>
                <w:rFonts w:ascii="ＭＳ 明朝" w:hAnsi="ＭＳ 明朝" w:cs="ＭＳ ゴシック" w:hint="eastAsia"/>
                <w:spacing w:val="-6"/>
                <w:kern w:val="0"/>
                <w:sz w:val="20"/>
                <w:szCs w:val="20"/>
              </w:rPr>
              <w:t>又は営利企業の地位に就いた場合は、日々雇い入れられる者となった場合を除き、人事委員会規則で定めるところにより、速やかに、離職時の任命権者に次に掲げる事項を届け出なければならない。</w:t>
            </w:r>
          </w:p>
          <w:p w14:paraId="0D187E07" w14:textId="77777777" w:rsidR="00EA1D04" w:rsidRPr="00D16DF3" w:rsidRDefault="00EA1D04" w:rsidP="00A14C49">
            <w:pPr>
              <w:autoSpaceDN w:val="0"/>
              <w:spacing w:line="240" w:lineRule="exact"/>
              <w:ind w:left="200" w:hangingChars="100" w:hanging="200"/>
              <w:rPr>
                <w:rFonts w:ascii="ＭＳ 明朝" w:hAnsi="ＭＳ 明朝" w:cs="ＭＳ ゴシック"/>
                <w:spacing w:val="-6"/>
                <w:kern w:val="0"/>
                <w:sz w:val="20"/>
                <w:szCs w:val="20"/>
              </w:rPr>
            </w:pPr>
            <w:r w:rsidRPr="00D16DF3">
              <w:rPr>
                <w:rFonts w:ascii="ＭＳ 明朝" w:hAnsi="ＭＳ 明朝" w:cs="ＭＳ ゴシック" w:hint="eastAsia"/>
                <w:spacing w:val="-6"/>
                <w:kern w:val="0"/>
                <w:sz w:val="20"/>
                <w:szCs w:val="20"/>
              </w:rPr>
              <w:t xml:space="preserve">　</w:t>
            </w:r>
            <w:r w:rsidRPr="00D16DF3">
              <w:rPr>
                <w:rFonts w:ascii="ＭＳ 明朝" w:hAnsi="ＭＳ 明朝" w:cs="ＭＳ 明朝" w:hint="eastAsia"/>
                <w:kern w:val="0"/>
                <w:sz w:val="20"/>
                <w:szCs w:val="20"/>
              </w:rPr>
              <w:t>一</w:t>
            </w:r>
            <w:r w:rsidRPr="00D16DF3">
              <w:rPr>
                <w:rFonts w:ascii="ＭＳ 明朝" w:hAnsi="ＭＳ 明朝" w:hint="eastAsia"/>
                <w:spacing w:val="-6"/>
                <w:sz w:val="20"/>
                <w:szCs w:val="20"/>
              </w:rPr>
              <w:t>―</w:t>
            </w:r>
            <w:r w:rsidRPr="00D16DF3">
              <w:rPr>
                <w:rFonts w:ascii="ＭＳ 明朝" w:hAnsi="ＭＳ 明朝" w:cs="ＭＳ 明朝" w:hint="eastAsia"/>
                <w:kern w:val="0"/>
                <w:sz w:val="20"/>
                <w:szCs w:val="20"/>
              </w:rPr>
              <w:t>十</w:t>
            </w:r>
            <w:r w:rsidRPr="00D16DF3">
              <w:rPr>
                <w:rFonts w:ascii="ＭＳ 明朝" w:hAnsi="ＭＳ 明朝" w:cs="ＭＳ ゴシック" w:hint="eastAsia"/>
                <w:spacing w:val="-6"/>
                <w:kern w:val="0"/>
                <w:sz w:val="20"/>
                <w:szCs w:val="20"/>
              </w:rPr>
              <w:t xml:space="preserve">　（略）</w:t>
            </w:r>
          </w:p>
        </w:tc>
      </w:tr>
      <w:tr w:rsidR="00363D4C" w:rsidRPr="00D16DF3" w14:paraId="6F2491A8" w14:textId="77777777" w:rsidTr="00A14C49">
        <w:trPr>
          <w:trHeight w:val="80"/>
        </w:trPr>
        <w:tc>
          <w:tcPr>
            <w:tcW w:w="4522" w:type="dxa"/>
            <w:tcBorders>
              <w:top w:val="nil"/>
            </w:tcBorders>
            <w:textDirection w:val="lrTbV"/>
          </w:tcPr>
          <w:p w14:paraId="59B33524" w14:textId="77777777" w:rsidR="00EA1D04" w:rsidRPr="00D16DF3" w:rsidRDefault="00EA1D04" w:rsidP="00A14C4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B0A8F34" w14:textId="77777777" w:rsidR="00EA1D04" w:rsidRPr="00D16DF3" w:rsidRDefault="00EA1D04" w:rsidP="00A14C49">
            <w:pPr>
              <w:autoSpaceDN w:val="0"/>
              <w:spacing w:line="240" w:lineRule="exact"/>
              <w:rPr>
                <w:rFonts w:ascii="ＭＳ 明朝" w:hAnsi="ＭＳ 明朝"/>
                <w:spacing w:val="-6"/>
                <w:sz w:val="20"/>
                <w:szCs w:val="20"/>
              </w:rPr>
            </w:pPr>
          </w:p>
        </w:tc>
      </w:tr>
    </w:tbl>
    <w:p w14:paraId="3ED6D794" w14:textId="4C52B8F9" w:rsidR="00681031" w:rsidRPr="00D16DF3" w:rsidRDefault="00A14C49" w:rsidP="00A14C49">
      <w:pPr>
        <w:autoSpaceDN w:val="0"/>
        <w:spacing w:beforeLines="50" w:before="182"/>
        <w:rPr>
          <w:rFonts w:ascii="ＭＳ 明朝" w:hAnsi="ＭＳ 明朝"/>
        </w:rPr>
      </w:pPr>
      <w:r w:rsidRPr="00D16DF3">
        <w:rPr>
          <w:rFonts w:ascii="ＭＳ 明朝" w:hAnsi="ＭＳ 明朝" w:hint="eastAsia"/>
        </w:rPr>
        <w:t xml:space="preserve">　　　</w:t>
      </w:r>
      <w:r w:rsidR="004A1B5C" w:rsidRPr="00D16DF3">
        <w:rPr>
          <w:rFonts w:ascii="ＭＳ 明朝" w:hAnsi="ＭＳ 明朝" w:hint="eastAsia"/>
        </w:rPr>
        <w:t>附　則</w:t>
      </w:r>
      <w:r w:rsidR="00681031" w:rsidRPr="00D16DF3">
        <w:rPr>
          <w:rFonts w:ascii="ＭＳ 明朝" w:hAnsi="ＭＳ 明朝"/>
        </w:rPr>
        <w:br/>
      </w:r>
      <w:r w:rsidR="00681031" w:rsidRPr="00D16DF3">
        <w:rPr>
          <w:rFonts w:ascii="ＭＳ 明朝" w:hAnsi="ＭＳ 明朝" w:hint="eastAsia"/>
        </w:rPr>
        <w:t>（施行期日）</w:t>
      </w:r>
    </w:p>
    <w:p w14:paraId="53190BAD" w14:textId="77777777" w:rsidR="00504FE9" w:rsidRPr="00D16DF3" w:rsidRDefault="0050358B" w:rsidP="00B17B7E">
      <w:pPr>
        <w:autoSpaceDN w:val="0"/>
        <w:ind w:right="-2"/>
        <w:rPr>
          <w:rFonts w:ascii="ＭＳ 明朝" w:hAnsi="ＭＳ 明朝"/>
        </w:rPr>
      </w:pPr>
      <w:r w:rsidRPr="00D16DF3">
        <w:rPr>
          <w:rFonts w:ascii="ＭＳ 明朝" w:hAnsi="ＭＳ 明朝" w:hint="eastAsia"/>
        </w:rPr>
        <w:t xml:space="preserve">１　</w:t>
      </w:r>
      <w:r w:rsidR="00A70AA2" w:rsidRPr="00D16DF3">
        <w:rPr>
          <w:rFonts w:ascii="ＭＳ 明朝" w:hAnsi="ＭＳ 明朝" w:hint="eastAsia"/>
        </w:rPr>
        <w:t>この条例は、令和</w:t>
      </w:r>
      <w:r w:rsidR="00681031" w:rsidRPr="00D16DF3">
        <w:rPr>
          <w:rFonts w:ascii="ＭＳ 明朝" w:hAnsi="ＭＳ 明朝" w:hint="eastAsia"/>
        </w:rPr>
        <w:t>六年四月一</w:t>
      </w:r>
      <w:r w:rsidR="00A70AA2" w:rsidRPr="00D16DF3">
        <w:rPr>
          <w:rFonts w:ascii="ＭＳ 明朝" w:hAnsi="ＭＳ 明朝" w:hint="eastAsia"/>
        </w:rPr>
        <w:t>日から施行する。</w:t>
      </w:r>
    </w:p>
    <w:p w14:paraId="50964697" w14:textId="7BCC9D2C" w:rsidR="00B05B3D" w:rsidRPr="00D16DF3" w:rsidRDefault="00B05B3D" w:rsidP="005C189A">
      <w:pPr>
        <w:autoSpaceDN w:val="0"/>
        <w:ind w:left="252" w:right="-2" w:hangingChars="100" w:hanging="252"/>
        <w:rPr>
          <w:rFonts w:ascii="ＭＳ 明朝" w:hAnsi="ＭＳ 明朝"/>
        </w:rPr>
      </w:pPr>
      <w:r w:rsidRPr="00D16DF3">
        <w:rPr>
          <w:rFonts w:ascii="ＭＳ 明朝" w:hAnsi="ＭＳ 明朝" w:hint="eastAsia"/>
        </w:rPr>
        <w:t>（相対評価の検討）</w:t>
      </w:r>
    </w:p>
    <w:p w14:paraId="17E8E262" w14:textId="1B13ABB2" w:rsidR="00B05B3D" w:rsidRPr="00363D4C" w:rsidRDefault="00761487" w:rsidP="004302FB">
      <w:pPr>
        <w:autoSpaceDN w:val="0"/>
        <w:ind w:left="252" w:right="-2" w:hangingChars="100" w:hanging="252"/>
        <w:rPr>
          <w:rFonts w:ascii="ＭＳ 明朝" w:hAnsi="ＭＳ 明朝"/>
        </w:rPr>
      </w:pPr>
      <w:r w:rsidRPr="00D16DF3">
        <w:rPr>
          <w:rFonts w:ascii="ＭＳ 明朝" w:hAnsi="ＭＳ 明朝" w:hint="eastAsia"/>
        </w:rPr>
        <w:t>２</w:t>
      </w:r>
      <w:r w:rsidR="00B05B3D" w:rsidRPr="00D16DF3">
        <w:rPr>
          <w:rFonts w:ascii="ＭＳ 明朝" w:hAnsi="ＭＳ 明朝" w:hint="eastAsia"/>
        </w:rPr>
        <w:t xml:space="preserve">　任命権者は、この条例の施行後三年を目途</w:t>
      </w:r>
      <w:r w:rsidR="0065699B" w:rsidRPr="00D16DF3">
        <w:rPr>
          <w:rFonts w:ascii="ＭＳ 明朝" w:hAnsi="ＭＳ 明朝" w:hint="eastAsia"/>
        </w:rPr>
        <w:t>として</w:t>
      </w:r>
      <w:r w:rsidR="00B05B3D" w:rsidRPr="00D16DF3">
        <w:rPr>
          <w:rFonts w:ascii="ＭＳ 明朝" w:hAnsi="ＭＳ 明朝" w:hint="eastAsia"/>
        </w:rPr>
        <w:t>、</w:t>
      </w:r>
      <w:r w:rsidR="004302FB" w:rsidRPr="00D16DF3">
        <w:rPr>
          <w:rFonts w:ascii="ＭＳ 明朝" w:hAnsi="ＭＳ 明朝" w:hint="eastAsia"/>
        </w:rPr>
        <w:t>第</w:t>
      </w:r>
      <w:r w:rsidR="00A16CA4" w:rsidRPr="00D16DF3">
        <w:rPr>
          <w:rFonts w:ascii="ＭＳ 明朝" w:hAnsi="ＭＳ 明朝" w:hint="eastAsia"/>
        </w:rPr>
        <w:t>一</w:t>
      </w:r>
      <w:r w:rsidR="004302FB" w:rsidRPr="00D16DF3">
        <w:rPr>
          <w:rFonts w:ascii="ＭＳ 明朝" w:hAnsi="ＭＳ 明朝" w:hint="eastAsia"/>
        </w:rPr>
        <w:t>条の規定による改正後の大阪府職員基本条例</w:t>
      </w:r>
      <w:r w:rsidR="008262A5" w:rsidRPr="00D16DF3">
        <w:rPr>
          <w:rFonts w:ascii="ＭＳ 明朝" w:hAnsi="ＭＳ 明朝" w:hint="eastAsia"/>
        </w:rPr>
        <w:t>第</w:t>
      </w:r>
      <w:r w:rsidR="004302FB" w:rsidRPr="00D16DF3">
        <w:rPr>
          <w:rFonts w:ascii="ＭＳ 明朝" w:hAnsi="ＭＳ 明朝" w:hint="eastAsia"/>
        </w:rPr>
        <w:t>十五条の</w:t>
      </w:r>
      <w:r w:rsidR="00B05B3D" w:rsidRPr="00D16DF3">
        <w:rPr>
          <w:rFonts w:ascii="ＭＳ 明朝" w:hAnsi="ＭＳ 明朝" w:hint="eastAsia"/>
        </w:rPr>
        <w:t>相対評価について、その施行の状況等を勘案し</w:t>
      </w:r>
      <w:r w:rsidR="00AD04A1" w:rsidRPr="00D16DF3">
        <w:rPr>
          <w:rFonts w:ascii="ＭＳ 明朝" w:hAnsi="ＭＳ 明朝" w:hint="eastAsia"/>
        </w:rPr>
        <w:t>て</w:t>
      </w:r>
      <w:r w:rsidR="00B05B3D" w:rsidRPr="00D16DF3">
        <w:rPr>
          <w:rFonts w:ascii="ＭＳ 明朝" w:hAnsi="ＭＳ 明朝" w:hint="eastAsia"/>
        </w:rPr>
        <w:t>検討を加え、必要があると認めるときは、その結果に基づいて所要の措置を講ずるものとする。</w:t>
      </w:r>
    </w:p>
    <w:p w14:paraId="73B6AC33" w14:textId="37A7514E" w:rsidR="00B05B3D" w:rsidRPr="008262A5" w:rsidRDefault="00BD5E63" w:rsidP="00B05B3D">
      <w:pPr>
        <w:autoSpaceDN w:val="0"/>
        <w:ind w:right="-2"/>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28E6EC2A" wp14:editId="073636B9">
                <wp:simplePos x="0" y="0"/>
                <wp:positionH relativeFrom="column">
                  <wp:posOffset>2640330</wp:posOffset>
                </wp:positionH>
                <wp:positionV relativeFrom="paragraph">
                  <wp:posOffset>685800</wp:posOffset>
                </wp:positionV>
                <wp:extent cx="88138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138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2CED3" w14:textId="1319F5FC" w:rsidR="00BD5E63" w:rsidRPr="00BD5E63" w:rsidRDefault="00BD5E63" w:rsidP="00BD5E63">
                            <w:pPr>
                              <w:rPr>
                                <w:color w:val="000000" w:themeColor="text1"/>
                              </w:rPr>
                            </w:pPr>
                            <w:r w:rsidRPr="00BD5E63">
                              <w:rPr>
                                <w:rFonts w:hint="eastAsia"/>
                                <w:color w:val="000000" w:themeColor="text1"/>
                              </w:rPr>
                              <w:t>１－５</w:t>
                            </w:r>
                            <w:r w:rsidR="00FF70F5">
                              <w:rPr>
                                <w:rFonts w:hint="eastAsia"/>
                                <w:color w:val="000000" w:themeColor="text1"/>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E6EC2A" id="正方形/長方形 2" o:spid="_x0000_s1027" style="position:absolute;left:0;text-align:left;margin-left:207.9pt;margin-top:54pt;width:69.4pt;height:3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" filled="f" stroked="f" strokeweight="2pt">
                <v:textbox>
                  <w:txbxContent>
                    <w:p w14:paraId="5AF2CED3" w14:textId="1319F5FC" w:rsidR="00BD5E63" w:rsidRPr="00BD5E63" w:rsidRDefault="00BD5E63" w:rsidP="00BD5E63">
                      <w:pPr>
                        <w:rPr>
                          <w:color w:val="000000" w:themeColor="text1"/>
                        </w:rPr>
                      </w:pPr>
                      <w:r w:rsidRPr="00BD5E63">
                        <w:rPr>
                          <w:rFonts w:hint="eastAsia"/>
                          <w:color w:val="000000" w:themeColor="text1"/>
                        </w:rPr>
                        <w:t>１－５</w:t>
                      </w:r>
                      <w:r w:rsidR="00FF70F5">
                        <w:rPr>
                          <w:rFonts w:hint="eastAsia"/>
                          <w:color w:val="000000" w:themeColor="text1"/>
                        </w:rPr>
                        <w:t>９</w:t>
                      </w:r>
                    </w:p>
                  </w:txbxContent>
                </v:textbox>
              </v:rect>
            </w:pict>
          </mc:Fallback>
        </mc:AlternateContent>
      </w:r>
    </w:p>
    <w:sectPr w:rsidR="00B05B3D" w:rsidRPr="008262A5"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D790" w14:textId="77777777" w:rsidR="00405312" w:rsidRDefault="00405312">
      <w:r>
        <w:separator/>
      </w:r>
    </w:p>
  </w:endnote>
  <w:endnote w:type="continuationSeparator" w:id="0">
    <w:p w14:paraId="5E891085" w14:textId="77777777" w:rsidR="00405312" w:rsidRDefault="0040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DFFC"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29858962"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1BB1" w14:textId="77777777" w:rsidR="00405312" w:rsidRDefault="00405312">
      <w:r>
        <w:separator/>
      </w:r>
    </w:p>
  </w:footnote>
  <w:footnote w:type="continuationSeparator" w:id="0">
    <w:p w14:paraId="757A13D6" w14:textId="77777777" w:rsidR="00405312" w:rsidRDefault="0040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057"/>
    <w:rsid w:val="0014496A"/>
    <w:rsid w:val="00147020"/>
    <w:rsid w:val="001501CC"/>
    <w:rsid w:val="0015207B"/>
    <w:rsid w:val="0015348F"/>
    <w:rsid w:val="001633C4"/>
    <w:rsid w:val="001655AF"/>
    <w:rsid w:val="00187D7A"/>
    <w:rsid w:val="00187ECA"/>
    <w:rsid w:val="001B1F03"/>
    <w:rsid w:val="001B2E50"/>
    <w:rsid w:val="001B4C7D"/>
    <w:rsid w:val="001B60AB"/>
    <w:rsid w:val="001C22AD"/>
    <w:rsid w:val="001E1857"/>
    <w:rsid w:val="001E382B"/>
    <w:rsid w:val="00223A34"/>
    <w:rsid w:val="00224E6B"/>
    <w:rsid w:val="00225A86"/>
    <w:rsid w:val="002356BB"/>
    <w:rsid w:val="00243DA2"/>
    <w:rsid w:val="00246284"/>
    <w:rsid w:val="002529AC"/>
    <w:rsid w:val="002532EE"/>
    <w:rsid w:val="00263CB2"/>
    <w:rsid w:val="00266B95"/>
    <w:rsid w:val="00267A11"/>
    <w:rsid w:val="00272DEE"/>
    <w:rsid w:val="00283427"/>
    <w:rsid w:val="00284BC8"/>
    <w:rsid w:val="002862CE"/>
    <w:rsid w:val="0029741B"/>
    <w:rsid w:val="002A3F2A"/>
    <w:rsid w:val="002A669A"/>
    <w:rsid w:val="002B67A7"/>
    <w:rsid w:val="002D6EBE"/>
    <w:rsid w:val="002F65BB"/>
    <w:rsid w:val="00303E90"/>
    <w:rsid w:val="00322114"/>
    <w:rsid w:val="00325AE4"/>
    <w:rsid w:val="00330B1E"/>
    <w:rsid w:val="00330C58"/>
    <w:rsid w:val="00347CAF"/>
    <w:rsid w:val="00363D4C"/>
    <w:rsid w:val="00372148"/>
    <w:rsid w:val="00376562"/>
    <w:rsid w:val="0038737D"/>
    <w:rsid w:val="003A3FAE"/>
    <w:rsid w:val="003A51F2"/>
    <w:rsid w:val="003C1ADC"/>
    <w:rsid w:val="003C5B3D"/>
    <w:rsid w:val="003D33C9"/>
    <w:rsid w:val="003D41F1"/>
    <w:rsid w:val="003E57F8"/>
    <w:rsid w:val="00405312"/>
    <w:rsid w:val="00423C86"/>
    <w:rsid w:val="004302FB"/>
    <w:rsid w:val="00430A60"/>
    <w:rsid w:val="00431FD0"/>
    <w:rsid w:val="00434DCE"/>
    <w:rsid w:val="0044296E"/>
    <w:rsid w:val="00447389"/>
    <w:rsid w:val="00447882"/>
    <w:rsid w:val="004573B9"/>
    <w:rsid w:val="004737AA"/>
    <w:rsid w:val="00490228"/>
    <w:rsid w:val="00497CD7"/>
    <w:rsid w:val="004A05A6"/>
    <w:rsid w:val="004A1B5C"/>
    <w:rsid w:val="004A3C80"/>
    <w:rsid w:val="004B47E8"/>
    <w:rsid w:val="004C1D1C"/>
    <w:rsid w:val="004D38FC"/>
    <w:rsid w:val="004D6A60"/>
    <w:rsid w:val="004E1387"/>
    <w:rsid w:val="004E4318"/>
    <w:rsid w:val="004E7B56"/>
    <w:rsid w:val="004F4C36"/>
    <w:rsid w:val="004F4ECD"/>
    <w:rsid w:val="0050358B"/>
    <w:rsid w:val="00504FE9"/>
    <w:rsid w:val="00526A5F"/>
    <w:rsid w:val="00540E1A"/>
    <w:rsid w:val="005464BA"/>
    <w:rsid w:val="0055173F"/>
    <w:rsid w:val="00552C8D"/>
    <w:rsid w:val="0057249E"/>
    <w:rsid w:val="005800E0"/>
    <w:rsid w:val="00581F66"/>
    <w:rsid w:val="00586915"/>
    <w:rsid w:val="005A0C67"/>
    <w:rsid w:val="005A3E17"/>
    <w:rsid w:val="005A7855"/>
    <w:rsid w:val="005B0B24"/>
    <w:rsid w:val="005B4C64"/>
    <w:rsid w:val="005C0B53"/>
    <w:rsid w:val="005C189A"/>
    <w:rsid w:val="005C4335"/>
    <w:rsid w:val="005C4D72"/>
    <w:rsid w:val="005E44E8"/>
    <w:rsid w:val="006141C1"/>
    <w:rsid w:val="00622B1D"/>
    <w:rsid w:val="006328F9"/>
    <w:rsid w:val="00643F50"/>
    <w:rsid w:val="0065699B"/>
    <w:rsid w:val="00681031"/>
    <w:rsid w:val="00694B3E"/>
    <w:rsid w:val="006A0545"/>
    <w:rsid w:val="006B10E4"/>
    <w:rsid w:val="006D64CF"/>
    <w:rsid w:val="006E1B8D"/>
    <w:rsid w:val="006E2827"/>
    <w:rsid w:val="006F373D"/>
    <w:rsid w:val="006F77C0"/>
    <w:rsid w:val="00761487"/>
    <w:rsid w:val="007730E1"/>
    <w:rsid w:val="007769DA"/>
    <w:rsid w:val="00783765"/>
    <w:rsid w:val="00783F9E"/>
    <w:rsid w:val="00784C36"/>
    <w:rsid w:val="00791CE4"/>
    <w:rsid w:val="00795610"/>
    <w:rsid w:val="007A0A4C"/>
    <w:rsid w:val="007B425D"/>
    <w:rsid w:val="007C05EB"/>
    <w:rsid w:val="007D072E"/>
    <w:rsid w:val="007D31A1"/>
    <w:rsid w:val="007E2615"/>
    <w:rsid w:val="007F4CD9"/>
    <w:rsid w:val="0080132B"/>
    <w:rsid w:val="00805ABE"/>
    <w:rsid w:val="00811F2A"/>
    <w:rsid w:val="008144BC"/>
    <w:rsid w:val="00815D14"/>
    <w:rsid w:val="0082248E"/>
    <w:rsid w:val="008262A5"/>
    <w:rsid w:val="00835378"/>
    <w:rsid w:val="00836BFE"/>
    <w:rsid w:val="0084082F"/>
    <w:rsid w:val="00843526"/>
    <w:rsid w:val="00870155"/>
    <w:rsid w:val="00877E32"/>
    <w:rsid w:val="00892286"/>
    <w:rsid w:val="008A6EA7"/>
    <w:rsid w:val="008C3ED8"/>
    <w:rsid w:val="008D7833"/>
    <w:rsid w:val="008F1415"/>
    <w:rsid w:val="008F340F"/>
    <w:rsid w:val="008F35C8"/>
    <w:rsid w:val="008F6FB6"/>
    <w:rsid w:val="008F7A0F"/>
    <w:rsid w:val="00906D37"/>
    <w:rsid w:val="009141BA"/>
    <w:rsid w:val="00934869"/>
    <w:rsid w:val="00947824"/>
    <w:rsid w:val="00953B93"/>
    <w:rsid w:val="00961004"/>
    <w:rsid w:val="0096599C"/>
    <w:rsid w:val="009803B8"/>
    <w:rsid w:val="00986218"/>
    <w:rsid w:val="00992E11"/>
    <w:rsid w:val="009A66CD"/>
    <w:rsid w:val="009C2FDB"/>
    <w:rsid w:val="009C4E50"/>
    <w:rsid w:val="009C6727"/>
    <w:rsid w:val="009E3844"/>
    <w:rsid w:val="00A025BC"/>
    <w:rsid w:val="00A03466"/>
    <w:rsid w:val="00A14C49"/>
    <w:rsid w:val="00A16CA4"/>
    <w:rsid w:val="00A201E4"/>
    <w:rsid w:val="00A2061B"/>
    <w:rsid w:val="00A21219"/>
    <w:rsid w:val="00A26051"/>
    <w:rsid w:val="00A34D31"/>
    <w:rsid w:val="00A4065E"/>
    <w:rsid w:val="00A445E2"/>
    <w:rsid w:val="00A453C6"/>
    <w:rsid w:val="00A50DF0"/>
    <w:rsid w:val="00A6584A"/>
    <w:rsid w:val="00A70AA2"/>
    <w:rsid w:val="00A72200"/>
    <w:rsid w:val="00A83333"/>
    <w:rsid w:val="00A919A4"/>
    <w:rsid w:val="00A93C3F"/>
    <w:rsid w:val="00AB1BB5"/>
    <w:rsid w:val="00AB1CC4"/>
    <w:rsid w:val="00AC7444"/>
    <w:rsid w:val="00AD04A1"/>
    <w:rsid w:val="00AE390E"/>
    <w:rsid w:val="00AE6EC7"/>
    <w:rsid w:val="00AF3AFB"/>
    <w:rsid w:val="00AF52E6"/>
    <w:rsid w:val="00B00D88"/>
    <w:rsid w:val="00B00F4E"/>
    <w:rsid w:val="00B05B3D"/>
    <w:rsid w:val="00B136B7"/>
    <w:rsid w:val="00B15B66"/>
    <w:rsid w:val="00B17B7E"/>
    <w:rsid w:val="00B31133"/>
    <w:rsid w:val="00B356A7"/>
    <w:rsid w:val="00B72866"/>
    <w:rsid w:val="00B73D39"/>
    <w:rsid w:val="00B8218E"/>
    <w:rsid w:val="00B85195"/>
    <w:rsid w:val="00B87066"/>
    <w:rsid w:val="00B91454"/>
    <w:rsid w:val="00B9364E"/>
    <w:rsid w:val="00B964B8"/>
    <w:rsid w:val="00BA4A58"/>
    <w:rsid w:val="00BA77B3"/>
    <w:rsid w:val="00BB03AC"/>
    <w:rsid w:val="00BC361D"/>
    <w:rsid w:val="00BD5E63"/>
    <w:rsid w:val="00BD62DB"/>
    <w:rsid w:val="00BE52B5"/>
    <w:rsid w:val="00BE67C5"/>
    <w:rsid w:val="00C078C5"/>
    <w:rsid w:val="00C1476E"/>
    <w:rsid w:val="00C4088A"/>
    <w:rsid w:val="00C60913"/>
    <w:rsid w:val="00C63297"/>
    <w:rsid w:val="00C856E8"/>
    <w:rsid w:val="00C94F55"/>
    <w:rsid w:val="00CE458B"/>
    <w:rsid w:val="00CE651A"/>
    <w:rsid w:val="00CF3EC7"/>
    <w:rsid w:val="00D147F2"/>
    <w:rsid w:val="00D14A5A"/>
    <w:rsid w:val="00D16DF3"/>
    <w:rsid w:val="00D30C88"/>
    <w:rsid w:val="00D3436E"/>
    <w:rsid w:val="00D36B5A"/>
    <w:rsid w:val="00D36CAB"/>
    <w:rsid w:val="00D37334"/>
    <w:rsid w:val="00D47EA1"/>
    <w:rsid w:val="00D53FB7"/>
    <w:rsid w:val="00D6083A"/>
    <w:rsid w:val="00D768F0"/>
    <w:rsid w:val="00D92B20"/>
    <w:rsid w:val="00DA03E0"/>
    <w:rsid w:val="00DA4D3D"/>
    <w:rsid w:val="00DC728A"/>
    <w:rsid w:val="00DD168B"/>
    <w:rsid w:val="00DD5AF3"/>
    <w:rsid w:val="00DD6556"/>
    <w:rsid w:val="00DD77F1"/>
    <w:rsid w:val="00DE61AC"/>
    <w:rsid w:val="00DE7461"/>
    <w:rsid w:val="00DF5B76"/>
    <w:rsid w:val="00E001E5"/>
    <w:rsid w:val="00E3027C"/>
    <w:rsid w:val="00E40068"/>
    <w:rsid w:val="00E41F06"/>
    <w:rsid w:val="00E45DDA"/>
    <w:rsid w:val="00E82280"/>
    <w:rsid w:val="00E97D34"/>
    <w:rsid w:val="00EA1D04"/>
    <w:rsid w:val="00ED29C9"/>
    <w:rsid w:val="00EE5094"/>
    <w:rsid w:val="00F0248F"/>
    <w:rsid w:val="00F149E0"/>
    <w:rsid w:val="00F24301"/>
    <w:rsid w:val="00F252D5"/>
    <w:rsid w:val="00F3795E"/>
    <w:rsid w:val="00F420B7"/>
    <w:rsid w:val="00F4581C"/>
    <w:rsid w:val="00F458D3"/>
    <w:rsid w:val="00F46952"/>
    <w:rsid w:val="00F537DB"/>
    <w:rsid w:val="00F559ED"/>
    <w:rsid w:val="00F57C25"/>
    <w:rsid w:val="00F57CBF"/>
    <w:rsid w:val="00F8586D"/>
    <w:rsid w:val="00F969A7"/>
    <w:rsid w:val="00F970A1"/>
    <w:rsid w:val="00FA3AD4"/>
    <w:rsid w:val="00FA4C98"/>
    <w:rsid w:val="00FA7CB8"/>
    <w:rsid w:val="00FB585F"/>
    <w:rsid w:val="00FD7A95"/>
    <w:rsid w:val="00FE23EF"/>
    <w:rsid w:val="00FE6751"/>
    <w:rsid w:val="00FF70F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DA955F8"/>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AF52E6"/>
    <w:rPr>
      <w:sz w:val="18"/>
      <w:szCs w:val="18"/>
    </w:rPr>
  </w:style>
  <w:style w:type="paragraph" w:styleId="ab">
    <w:name w:val="annotation text"/>
    <w:basedOn w:val="a"/>
    <w:link w:val="ac"/>
    <w:unhideWhenUsed/>
    <w:rsid w:val="00AF52E6"/>
    <w:pPr>
      <w:jc w:val="left"/>
    </w:pPr>
  </w:style>
  <w:style w:type="character" w:customStyle="1" w:styleId="ac">
    <w:name w:val="コメント文字列 (文字)"/>
    <w:basedOn w:val="a0"/>
    <w:link w:val="ab"/>
    <w:rsid w:val="00AF52E6"/>
    <w:rPr>
      <w:kern w:val="2"/>
      <w:sz w:val="24"/>
      <w:szCs w:val="24"/>
    </w:rPr>
  </w:style>
  <w:style w:type="paragraph" w:styleId="ad">
    <w:name w:val="annotation subject"/>
    <w:basedOn w:val="ab"/>
    <w:next w:val="ab"/>
    <w:link w:val="ae"/>
    <w:semiHidden/>
    <w:unhideWhenUsed/>
    <w:rsid w:val="00AF52E6"/>
    <w:rPr>
      <w:b/>
      <w:bCs/>
    </w:rPr>
  </w:style>
  <w:style w:type="character" w:customStyle="1" w:styleId="ae">
    <w:name w:val="コメント内容 (文字)"/>
    <w:basedOn w:val="ac"/>
    <w:link w:val="ad"/>
    <w:semiHidden/>
    <w:rsid w:val="00AF52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4F7E3-AC6A-48FD-8F34-850E547D09E0}">
  <ds:schemaRefs>
    <ds:schemaRef ds:uri="http://schemas.openxmlformats.org/officeDocument/2006/bibliography"/>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2471</Words>
  <Characters>159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65</cp:revision>
  <cp:lastPrinted>2023-09-19T11:04:00Z</cp:lastPrinted>
  <dcterms:created xsi:type="dcterms:W3CDTF">2023-09-19T11:13:00Z</dcterms:created>
  <dcterms:modified xsi:type="dcterms:W3CDTF">2024-02-09T01:33:00Z</dcterms:modified>
</cp:coreProperties>
</file>