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charts/chart9.xml" ContentType="application/vnd.openxmlformats-officedocument.drawingml.chart+xml"/>
  <Override PartName="/word/drawings/drawing2.xml" ContentType="application/vnd.openxmlformats-officedocument.drawingml.chartshapes+xml"/>
  <Override PartName="/word/charts/chart10.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6C289" w14:textId="010126DE" w:rsidR="0091105F" w:rsidRPr="00B3779B" w:rsidRDefault="006B651A" w:rsidP="00583F0F">
      <w:pPr>
        <w:rPr>
          <w:rFonts w:ascii="ＭＳ ゴシック" w:eastAsia="ＭＳ ゴシック" w:hAnsi="ＭＳ ゴシック"/>
          <w:b/>
          <w:sz w:val="28"/>
          <w:szCs w:val="28"/>
        </w:rPr>
      </w:pPr>
      <w:r w:rsidRPr="00B3779B">
        <w:rPr>
          <w:rFonts w:ascii="ＭＳ ゴシック" w:eastAsia="ＭＳ ゴシック" w:hAnsi="ＭＳ ゴシック" w:hint="eastAsia"/>
          <w:b/>
          <w:sz w:val="28"/>
          <w:szCs w:val="28"/>
        </w:rPr>
        <w:t>第</w:t>
      </w:r>
      <w:r w:rsidR="00614928" w:rsidRPr="00B3779B">
        <w:rPr>
          <w:rFonts w:ascii="ＭＳ ゴシック" w:eastAsia="ＭＳ ゴシック" w:hAnsi="ＭＳ ゴシック" w:hint="eastAsia"/>
          <w:b/>
          <w:sz w:val="28"/>
          <w:szCs w:val="28"/>
        </w:rPr>
        <w:t>２</w:t>
      </w:r>
      <w:r w:rsidR="0091105F" w:rsidRPr="00B3779B">
        <w:rPr>
          <w:rFonts w:ascii="ＭＳ ゴシック" w:eastAsia="ＭＳ ゴシック" w:hAnsi="ＭＳ ゴシック" w:hint="eastAsia"/>
          <w:b/>
          <w:sz w:val="28"/>
          <w:szCs w:val="28"/>
        </w:rPr>
        <w:t xml:space="preserve">　</w:t>
      </w:r>
      <w:r w:rsidR="00007BA6" w:rsidRPr="00B3779B">
        <w:rPr>
          <w:rFonts w:ascii="ＭＳ ゴシック" w:eastAsia="ＭＳ ゴシック" w:hAnsi="ＭＳ ゴシック" w:hint="eastAsia"/>
          <w:b/>
          <w:sz w:val="28"/>
          <w:szCs w:val="28"/>
        </w:rPr>
        <w:t>公共施設等の</w:t>
      </w:r>
      <w:r w:rsidR="0091105F" w:rsidRPr="00B3779B">
        <w:rPr>
          <w:rFonts w:ascii="ＭＳ ゴシック" w:eastAsia="ＭＳ ゴシック" w:hAnsi="ＭＳ ゴシック" w:hint="eastAsia"/>
          <w:b/>
          <w:sz w:val="28"/>
          <w:szCs w:val="28"/>
        </w:rPr>
        <w:t>現況</w:t>
      </w:r>
      <w:r w:rsidR="00007BA6" w:rsidRPr="00B3779B">
        <w:rPr>
          <w:rFonts w:ascii="ＭＳ ゴシック" w:eastAsia="ＭＳ ゴシック" w:hAnsi="ＭＳ ゴシック" w:hint="eastAsia"/>
          <w:b/>
          <w:sz w:val="28"/>
          <w:szCs w:val="28"/>
        </w:rPr>
        <w:t>及び将来の見通し</w:t>
      </w:r>
    </w:p>
    <w:p w14:paraId="0073CC63" w14:textId="4F9F6FC2" w:rsidR="00ED7326" w:rsidRPr="001F364B" w:rsidRDefault="00ED7326" w:rsidP="001F364B">
      <w:pPr>
        <w:adjustRightInd w:val="0"/>
        <w:ind w:firstLineChars="100" w:firstLine="240"/>
        <w:rPr>
          <w:rFonts w:asciiTheme="majorEastAsia" w:eastAsiaTheme="majorEastAsia" w:hAnsiTheme="majorEastAsia"/>
          <w:sz w:val="24"/>
          <w:szCs w:val="24"/>
        </w:rPr>
      </w:pPr>
      <w:r w:rsidRPr="001F364B">
        <w:rPr>
          <w:rFonts w:asciiTheme="majorEastAsia" w:eastAsiaTheme="majorEastAsia" w:hAnsiTheme="majorEastAsia" w:hint="eastAsia"/>
          <w:sz w:val="24"/>
          <w:szCs w:val="24"/>
        </w:rPr>
        <w:t>本</w:t>
      </w:r>
      <w:r w:rsidRPr="001F364B">
        <w:rPr>
          <w:rFonts w:asciiTheme="majorEastAsia" w:eastAsiaTheme="majorEastAsia" w:hAnsiTheme="majorEastAsia"/>
          <w:sz w:val="24"/>
          <w:szCs w:val="24"/>
        </w:rPr>
        <w:t>方針では、「第１</w:t>
      </w:r>
      <w:r w:rsidR="00C63F7C" w:rsidRPr="001F364B">
        <w:rPr>
          <w:rFonts w:asciiTheme="majorEastAsia" w:eastAsiaTheme="majorEastAsia" w:hAnsiTheme="majorEastAsia" w:hint="eastAsia"/>
          <w:sz w:val="24"/>
          <w:szCs w:val="24"/>
        </w:rPr>
        <w:t>（</w:t>
      </w:r>
      <w:r w:rsidRPr="001F364B">
        <w:rPr>
          <w:rFonts w:asciiTheme="majorEastAsia" w:eastAsiaTheme="majorEastAsia" w:hAnsiTheme="majorEastAsia" w:hint="eastAsia"/>
          <w:sz w:val="24"/>
          <w:szCs w:val="24"/>
        </w:rPr>
        <w:t>４</w:t>
      </w:r>
      <w:r w:rsidR="00971B82" w:rsidRPr="001F364B">
        <w:rPr>
          <w:rFonts w:asciiTheme="majorEastAsia" w:eastAsiaTheme="majorEastAsia" w:hAnsiTheme="majorEastAsia" w:hint="eastAsia"/>
          <w:sz w:val="24"/>
          <w:szCs w:val="24"/>
        </w:rPr>
        <w:t>）</w:t>
      </w:r>
      <w:r w:rsidRPr="001F364B">
        <w:rPr>
          <w:rFonts w:asciiTheme="majorEastAsia" w:eastAsiaTheme="majorEastAsia" w:hAnsiTheme="majorEastAsia" w:hint="eastAsia"/>
          <w:sz w:val="24"/>
          <w:szCs w:val="24"/>
        </w:rPr>
        <w:t>対象財産</w:t>
      </w:r>
      <w:r w:rsidRPr="001F364B">
        <w:rPr>
          <w:rFonts w:asciiTheme="majorEastAsia" w:eastAsiaTheme="majorEastAsia" w:hAnsiTheme="majorEastAsia"/>
          <w:sz w:val="24"/>
          <w:szCs w:val="24"/>
        </w:rPr>
        <w:t>」</w:t>
      </w:r>
      <w:r w:rsidRPr="001F364B">
        <w:rPr>
          <w:rFonts w:asciiTheme="majorEastAsia" w:eastAsiaTheme="majorEastAsia" w:hAnsiTheme="majorEastAsia" w:hint="eastAsia"/>
          <w:sz w:val="24"/>
          <w:szCs w:val="24"/>
        </w:rPr>
        <w:t>に</w:t>
      </w:r>
      <w:r w:rsidRPr="001F364B">
        <w:rPr>
          <w:rFonts w:asciiTheme="majorEastAsia" w:eastAsiaTheme="majorEastAsia" w:hAnsiTheme="majorEastAsia"/>
          <w:sz w:val="24"/>
          <w:szCs w:val="24"/>
        </w:rPr>
        <w:t>記述するとおり、</w:t>
      </w:r>
      <w:r w:rsidR="00B51C11" w:rsidRPr="001F364B">
        <w:rPr>
          <w:rFonts w:asciiTheme="majorEastAsia" w:eastAsiaTheme="majorEastAsia" w:hAnsiTheme="majorEastAsia" w:hint="eastAsia"/>
          <w:sz w:val="24"/>
          <w:szCs w:val="24"/>
        </w:rPr>
        <w:t>本</w:t>
      </w:r>
      <w:r w:rsidRPr="001F364B">
        <w:rPr>
          <w:rFonts w:asciiTheme="majorEastAsia" w:eastAsiaTheme="majorEastAsia" w:hAnsiTheme="majorEastAsia" w:hint="eastAsia"/>
          <w:sz w:val="24"/>
          <w:szCs w:val="24"/>
        </w:rPr>
        <w:t>府が</w:t>
      </w:r>
      <w:r w:rsidRPr="001F364B">
        <w:rPr>
          <w:rFonts w:asciiTheme="majorEastAsia" w:eastAsiaTheme="majorEastAsia" w:hAnsiTheme="majorEastAsia"/>
          <w:sz w:val="24"/>
          <w:szCs w:val="24"/>
        </w:rPr>
        <w:t>所有</w:t>
      </w:r>
      <w:r w:rsidRPr="001F364B">
        <w:rPr>
          <w:rFonts w:asciiTheme="majorEastAsia" w:eastAsiaTheme="majorEastAsia" w:hAnsiTheme="majorEastAsia" w:hint="eastAsia"/>
          <w:sz w:val="24"/>
          <w:szCs w:val="24"/>
        </w:rPr>
        <w:t>する</w:t>
      </w:r>
      <w:r w:rsidRPr="001F364B">
        <w:rPr>
          <w:rFonts w:asciiTheme="majorEastAsia" w:eastAsiaTheme="majorEastAsia" w:hAnsiTheme="majorEastAsia"/>
          <w:sz w:val="24"/>
          <w:szCs w:val="24"/>
        </w:rPr>
        <w:t>全ての</w:t>
      </w:r>
      <w:r w:rsidRPr="001F364B">
        <w:rPr>
          <w:rFonts w:asciiTheme="majorEastAsia" w:eastAsiaTheme="majorEastAsia" w:hAnsiTheme="majorEastAsia" w:hint="eastAsia"/>
          <w:sz w:val="24"/>
          <w:szCs w:val="24"/>
        </w:rPr>
        <w:t>建物</w:t>
      </w:r>
      <w:r w:rsidRPr="001F364B">
        <w:rPr>
          <w:rFonts w:asciiTheme="majorEastAsia" w:eastAsiaTheme="majorEastAsia" w:hAnsiTheme="majorEastAsia"/>
          <w:sz w:val="24"/>
          <w:szCs w:val="24"/>
        </w:rPr>
        <w:t>及びインフラを対象と</w:t>
      </w:r>
      <w:r w:rsidRPr="001F364B">
        <w:rPr>
          <w:rFonts w:asciiTheme="majorEastAsia" w:eastAsiaTheme="majorEastAsia" w:hAnsiTheme="majorEastAsia" w:hint="eastAsia"/>
          <w:sz w:val="24"/>
          <w:szCs w:val="24"/>
        </w:rPr>
        <w:t>して</w:t>
      </w:r>
      <w:r w:rsidR="006A1790" w:rsidRPr="001F364B">
        <w:rPr>
          <w:rFonts w:asciiTheme="majorEastAsia" w:eastAsiaTheme="majorEastAsia" w:hAnsiTheme="majorEastAsia" w:hint="eastAsia"/>
          <w:sz w:val="24"/>
          <w:szCs w:val="24"/>
        </w:rPr>
        <w:t>いることから</w:t>
      </w:r>
      <w:r w:rsidRPr="001F364B">
        <w:rPr>
          <w:rFonts w:asciiTheme="majorEastAsia" w:eastAsiaTheme="majorEastAsia" w:hAnsiTheme="majorEastAsia"/>
          <w:sz w:val="24"/>
          <w:szCs w:val="24"/>
        </w:rPr>
        <w:t>、</w:t>
      </w:r>
      <w:r w:rsidR="006A1790" w:rsidRPr="001F364B">
        <w:rPr>
          <w:rFonts w:asciiTheme="majorEastAsia" w:eastAsiaTheme="majorEastAsia" w:hAnsiTheme="majorEastAsia" w:hint="eastAsia"/>
          <w:sz w:val="24"/>
          <w:szCs w:val="24"/>
        </w:rPr>
        <w:t>この章では、</w:t>
      </w:r>
      <w:r w:rsidRPr="001F364B">
        <w:rPr>
          <w:rFonts w:asciiTheme="majorEastAsia" w:eastAsiaTheme="majorEastAsia" w:hAnsiTheme="majorEastAsia" w:hint="eastAsia"/>
          <w:sz w:val="24"/>
          <w:szCs w:val="24"/>
        </w:rPr>
        <w:t>まず</w:t>
      </w:r>
      <w:r w:rsidR="00E441B3" w:rsidRPr="001F364B">
        <w:rPr>
          <w:rFonts w:asciiTheme="majorEastAsia" w:eastAsiaTheme="majorEastAsia" w:hAnsiTheme="majorEastAsia" w:hint="eastAsia"/>
          <w:sz w:val="24"/>
          <w:szCs w:val="24"/>
        </w:rPr>
        <w:t>、施設類型別</w:t>
      </w:r>
      <w:r w:rsidR="00916154" w:rsidRPr="001F364B">
        <w:rPr>
          <w:rFonts w:asciiTheme="majorEastAsia" w:eastAsiaTheme="majorEastAsia" w:hAnsiTheme="majorEastAsia" w:hint="eastAsia"/>
          <w:sz w:val="24"/>
          <w:szCs w:val="24"/>
        </w:rPr>
        <w:t>の</w:t>
      </w:r>
      <w:r w:rsidR="00E441B3" w:rsidRPr="001F364B">
        <w:rPr>
          <w:rFonts w:asciiTheme="majorEastAsia" w:eastAsiaTheme="majorEastAsia" w:hAnsiTheme="majorEastAsia" w:hint="eastAsia"/>
          <w:sz w:val="24"/>
          <w:szCs w:val="24"/>
        </w:rPr>
        <w:t>施設</w:t>
      </w:r>
      <w:r w:rsidRPr="001F364B">
        <w:rPr>
          <w:rFonts w:asciiTheme="majorEastAsia" w:eastAsiaTheme="majorEastAsia" w:hAnsiTheme="majorEastAsia" w:hint="eastAsia"/>
          <w:sz w:val="24"/>
          <w:szCs w:val="24"/>
        </w:rPr>
        <w:t>の</w:t>
      </w:r>
      <w:r w:rsidR="006A1790" w:rsidRPr="001F364B">
        <w:rPr>
          <w:rFonts w:asciiTheme="majorEastAsia" w:eastAsiaTheme="majorEastAsia" w:hAnsiTheme="majorEastAsia" w:hint="eastAsia"/>
          <w:sz w:val="24"/>
          <w:szCs w:val="24"/>
        </w:rPr>
        <w:t>規模や老朽化の</w:t>
      </w:r>
      <w:r w:rsidRPr="001F364B">
        <w:rPr>
          <w:rFonts w:asciiTheme="majorEastAsia" w:eastAsiaTheme="majorEastAsia" w:hAnsiTheme="majorEastAsia" w:hint="eastAsia"/>
          <w:sz w:val="24"/>
          <w:szCs w:val="24"/>
        </w:rPr>
        <w:t>現況</w:t>
      </w:r>
      <w:r w:rsidR="006A1790" w:rsidRPr="001F364B">
        <w:rPr>
          <w:rFonts w:asciiTheme="majorEastAsia" w:eastAsiaTheme="majorEastAsia" w:hAnsiTheme="majorEastAsia" w:hint="eastAsia"/>
          <w:sz w:val="24"/>
          <w:szCs w:val="24"/>
        </w:rPr>
        <w:t>と</w:t>
      </w:r>
      <w:r w:rsidRPr="001F364B">
        <w:rPr>
          <w:rFonts w:asciiTheme="majorEastAsia" w:eastAsiaTheme="majorEastAsia" w:hAnsiTheme="majorEastAsia" w:hint="eastAsia"/>
          <w:sz w:val="24"/>
          <w:szCs w:val="24"/>
        </w:rPr>
        <w:t>、併せて</w:t>
      </w:r>
      <w:r w:rsidRPr="001F364B">
        <w:rPr>
          <w:rFonts w:asciiTheme="majorEastAsia" w:eastAsiaTheme="majorEastAsia" w:hAnsiTheme="majorEastAsia"/>
          <w:sz w:val="24"/>
          <w:szCs w:val="24"/>
        </w:rPr>
        <w:t>公共施設</w:t>
      </w:r>
      <w:r w:rsidRPr="001F364B">
        <w:rPr>
          <w:rFonts w:asciiTheme="majorEastAsia" w:eastAsiaTheme="majorEastAsia" w:hAnsiTheme="majorEastAsia" w:hint="eastAsia"/>
          <w:sz w:val="24"/>
          <w:szCs w:val="24"/>
        </w:rPr>
        <w:t>等を取り巻く</w:t>
      </w:r>
      <w:r w:rsidR="006A1790" w:rsidRPr="001F364B">
        <w:rPr>
          <w:rFonts w:asciiTheme="majorEastAsia" w:eastAsiaTheme="majorEastAsia" w:hAnsiTheme="majorEastAsia" w:hint="eastAsia"/>
          <w:sz w:val="24"/>
          <w:szCs w:val="24"/>
        </w:rPr>
        <w:t>財政</w:t>
      </w:r>
      <w:r w:rsidRPr="001F364B">
        <w:rPr>
          <w:rFonts w:asciiTheme="majorEastAsia" w:eastAsiaTheme="majorEastAsia" w:hAnsiTheme="majorEastAsia" w:hint="eastAsia"/>
          <w:sz w:val="24"/>
          <w:szCs w:val="24"/>
        </w:rPr>
        <w:t>状況</w:t>
      </w:r>
      <w:r w:rsidR="006A1790" w:rsidRPr="001F364B">
        <w:rPr>
          <w:rFonts w:asciiTheme="majorEastAsia" w:eastAsiaTheme="majorEastAsia" w:hAnsiTheme="majorEastAsia" w:hint="eastAsia"/>
          <w:sz w:val="24"/>
          <w:szCs w:val="24"/>
        </w:rPr>
        <w:t>や人口減少などの社会環境の変化</w:t>
      </w:r>
      <w:r w:rsidRPr="001F364B">
        <w:rPr>
          <w:rFonts w:asciiTheme="majorEastAsia" w:eastAsiaTheme="majorEastAsia" w:hAnsiTheme="majorEastAsia" w:hint="eastAsia"/>
          <w:sz w:val="24"/>
          <w:szCs w:val="24"/>
        </w:rPr>
        <w:t>を</w:t>
      </w:r>
      <w:r w:rsidR="006A1790" w:rsidRPr="001F364B">
        <w:rPr>
          <w:rFonts w:asciiTheme="majorEastAsia" w:eastAsiaTheme="majorEastAsia" w:hAnsiTheme="majorEastAsia" w:hint="eastAsia"/>
          <w:sz w:val="24"/>
          <w:szCs w:val="24"/>
        </w:rPr>
        <w:t>把握する</w:t>
      </w:r>
      <w:r w:rsidRPr="001F364B">
        <w:rPr>
          <w:rFonts w:asciiTheme="majorEastAsia" w:eastAsiaTheme="majorEastAsia" w:hAnsiTheme="majorEastAsia" w:hint="eastAsia"/>
          <w:sz w:val="24"/>
          <w:szCs w:val="24"/>
        </w:rPr>
        <w:t>ことで、</w:t>
      </w:r>
      <w:r w:rsidR="006A1790" w:rsidRPr="001F364B">
        <w:rPr>
          <w:rFonts w:asciiTheme="majorEastAsia" w:eastAsiaTheme="majorEastAsia" w:hAnsiTheme="majorEastAsia" w:hint="eastAsia"/>
          <w:sz w:val="24"/>
          <w:szCs w:val="24"/>
        </w:rPr>
        <w:t>公共施設等の管理に関して将来にわたる大きな見通しを示すこととする。</w:t>
      </w:r>
    </w:p>
    <w:p w14:paraId="0FA7871F" w14:textId="77777777" w:rsidR="006E418B" w:rsidRPr="00F90361" w:rsidRDefault="006E418B" w:rsidP="00F90361">
      <w:pPr>
        <w:rPr>
          <w:rFonts w:asciiTheme="majorEastAsia" w:eastAsiaTheme="majorEastAsia" w:hAnsiTheme="majorEastAsia"/>
          <w:sz w:val="24"/>
          <w:szCs w:val="24"/>
        </w:rPr>
      </w:pPr>
    </w:p>
    <w:p w14:paraId="2D74024D" w14:textId="77777777" w:rsidR="006A1790" w:rsidRPr="00F90361" w:rsidRDefault="006A1790" w:rsidP="00F90361">
      <w:pPr>
        <w:rPr>
          <w:rFonts w:asciiTheme="majorEastAsia" w:eastAsiaTheme="majorEastAsia" w:hAnsiTheme="majorEastAsia"/>
          <w:sz w:val="24"/>
          <w:szCs w:val="24"/>
        </w:rPr>
      </w:pPr>
    </w:p>
    <w:p w14:paraId="6B1F517C" w14:textId="73D9EF58" w:rsidR="00B236F3" w:rsidRPr="00F90361" w:rsidRDefault="00E9122C" w:rsidP="00F90361">
      <w:pPr>
        <w:rPr>
          <w:rFonts w:asciiTheme="majorEastAsia" w:eastAsiaTheme="majorEastAsia" w:hAnsiTheme="majorEastAsia"/>
          <w:sz w:val="24"/>
          <w:szCs w:val="24"/>
        </w:rPr>
      </w:pPr>
      <w:r w:rsidRPr="00F90361">
        <w:rPr>
          <w:rFonts w:asciiTheme="majorEastAsia" w:eastAsiaTheme="majorEastAsia" w:hAnsiTheme="majorEastAsia" w:hint="eastAsia"/>
          <w:sz w:val="24"/>
          <w:szCs w:val="24"/>
        </w:rPr>
        <w:t>（１）</w:t>
      </w:r>
      <w:r w:rsidR="002A57ED" w:rsidRPr="00F90361">
        <w:rPr>
          <w:rFonts w:asciiTheme="majorEastAsia" w:eastAsiaTheme="majorEastAsia" w:hAnsiTheme="majorEastAsia" w:hint="eastAsia"/>
          <w:sz w:val="24"/>
          <w:szCs w:val="24"/>
        </w:rPr>
        <w:t>建物</w:t>
      </w:r>
      <w:r w:rsidR="001B4FE2" w:rsidRPr="00F90361">
        <w:rPr>
          <w:rFonts w:asciiTheme="majorEastAsia" w:eastAsiaTheme="majorEastAsia" w:hAnsiTheme="majorEastAsia" w:hint="eastAsia"/>
          <w:sz w:val="24"/>
          <w:szCs w:val="24"/>
        </w:rPr>
        <w:t>（施設）</w:t>
      </w:r>
      <w:r w:rsidR="006B651A" w:rsidRPr="00F90361">
        <w:rPr>
          <w:rFonts w:asciiTheme="majorEastAsia" w:eastAsiaTheme="majorEastAsia" w:hAnsiTheme="majorEastAsia" w:hint="eastAsia"/>
          <w:sz w:val="24"/>
          <w:szCs w:val="24"/>
        </w:rPr>
        <w:t>の現状</w:t>
      </w:r>
    </w:p>
    <w:p w14:paraId="60967B22" w14:textId="172A8D3A" w:rsidR="00F90361" w:rsidRDefault="00017535" w:rsidP="00F90361">
      <w:pPr>
        <w:ind w:leftChars="100" w:left="210" w:firstLineChars="100" w:firstLine="240"/>
        <w:rPr>
          <w:rFonts w:asciiTheme="majorEastAsia" w:eastAsiaTheme="majorEastAsia" w:hAnsiTheme="majorEastAsia"/>
          <w:sz w:val="24"/>
          <w:szCs w:val="24"/>
        </w:rPr>
      </w:pPr>
      <w:r w:rsidRPr="00F90361">
        <w:rPr>
          <w:rFonts w:asciiTheme="majorEastAsia" w:eastAsiaTheme="majorEastAsia" w:hAnsiTheme="majorEastAsia" w:hint="eastAsia"/>
          <w:sz w:val="24"/>
          <w:szCs w:val="24"/>
        </w:rPr>
        <w:t>本</w:t>
      </w:r>
      <w:r w:rsidR="00FC49DB" w:rsidRPr="00F90361">
        <w:rPr>
          <w:rFonts w:asciiTheme="majorEastAsia" w:eastAsiaTheme="majorEastAsia" w:hAnsiTheme="majorEastAsia" w:hint="eastAsia"/>
          <w:sz w:val="24"/>
          <w:szCs w:val="24"/>
        </w:rPr>
        <w:t>府は、「本庁舎」をはじめ「警察施設」、「学校」、「</w:t>
      </w:r>
      <w:r w:rsidR="00FA7872" w:rsidRPr="00F90361">
        <w:rPr>
          <w:rFonts w:asciiTheme="majorEastAsia" w:eastAsiaTheme="majorEastAsia" w:hAnsiTheme="majorEastAsia" w:hint="eastAsia"/>
          <w:sz w:val="24"/>
          <w:szCs w:val="24"/>
        </w:rPr>
        <w:t>府</w:t>
      </w:r>
      <w:r w:rsidR="00FC49DB" w:rsidRPr="00F90361">
        <w:rPr>
          <w:rFonts w:asciiTheme="majorEastAsia" w:eastAsiaTheme="majorEastAsia" w:hAnsiTheme="majorEastAsia" w:hint="eastAsia"/>
          <w:sz w:val="24"/>
          <w:szCs w:val="24"/>
        </w:rPr>
        <w:t>営住宅</w:t>
      </w:r>
      <w:r w:rsidR="00DD0B2F" w:rsidRPr="000D4F52">
        <w:rPr>
          <w:rFonts w:asciiTheme="majorEastAsia" w:eastAsiaTheme="majorEastAsia" w:hAnsiTheme="majorEastAsia" w:hint="eastAsia"/>
          <w:sz w:val="20"/>
          <w:szCs w:val="20"/>
          <w:vertAlign w:val="superscript"/>
        </w:rPr>
        <w:t>※</w:t>
      </w:r>
      <w:r w:rsidR="00A17E21" w:rsidRPr="000D4F52">
        <w:rPr>
          <w:rFonts w:asciiTheme="majorEastAsia" w:eastAsiaTheme="majorEastAsia" w:hAnsiTheme="majorEastAsia" w:hint="eastAsia"/>
          <w:sz w:val="20"/>
          <w:szCs w:val="20"/>
          <w:vertAlign w:val="superscript"/>
        </w:rPr>
        <w:t>1</w:t>
      </w:r>
      <w:r w:rsidR="00FC49DB" w:rsidRPr="00F90361">
        <w:rPr>
          <w:rFonts w:asciiTheme="majorEastAsia" w:eastAsiaTheme="majorEastAsia" w:hAnsiTheme="majorEastAsia" w:hint="eastAsia"/>
          <w:sz w:val="24"/>
          <w:szCs w:val="24"/>
        </w:rPr>
        <w:t>」や、「その他」として</w:t>
      </w:r>
      <w:r w:rsidR="0078375A" w:rsidRPr="00F90361">
        <w:rPr>
          <w:rFonts w:asciiTheme="majorEastAsia" w:eastAsiaTheme="majorEastAsia" w:hAnsiTheme="majorEastAsia" w:hint="eastAsia"/>
          <w:sz w:val="24"/>
          <w:szCs w:val="24"/>
        </w:rPr>
        <w:t>中之島図書館や国際会議場などの公の施設や</w:t>
      </w:r>
      <w:r w:rsidR="00FC49DB" w:rsidRPr="00F90361">
        <w:rPr>
          <w:rFonts w:asciiTheme="majorEastAsia" w:eastAsiaTheme="majorEastAsia" w:hAnsiTheme="majorEastAsia" w:hint="eastAsia"/>
          <w:sz w:val="24"/>
          <w:szCs w:val="24"/>
        </w:rPr>
        <w:t>府民センター</w:t>
      </w:r>
      <w:r w:rsidR="0078375A" w:rsidRPr="00F90361">
        <w:rPr>
          <w:rFonts w:asciiTheme="majorEastAsia" w:eastAsiaTheme="majorEastAsia" w:hAnsiTheme="majorEastAsia" w:hint="eastAsia"/>
          <w:sz w:val="24"/>
          <w:szCs w:val="24"/>
        </w:rPr>
        <w:t>、</w:t>
      </w:r>
      <w:r w:rsidR="00FC49DB" w:rsidRPr="00F90361">
        <w:rPr>
          <w:rFonts w:asciiTheme="majorEastAsia" w:eastAsiaTheme="majorEastAsia" w:hAnsiTheme="majorEastAsia" w:hint="eastAsia"/>
          <w:sz w:val="24"/>
          <w:szCs w:val="24"/>
        </w:rPr>
        <w:t>保健</w:t>
      </w:r>
      <w:r w:rsidR="00972E86" w:rsidRPr="00F90361">
        <w:rPr>
          <w:rFonts w:asciiTheme="majorEastAsia" w:eastAsiaTheme="majorEastAsia" w:hAnsiTheme="majorEastAsia" w:hint="eastAsia"/>
          <w:sz w:val="24"/>
          <w:szCs w:val="24"/>
        </w:rPr>
        <w:t>所といった様々な用途の施設を所有している。施設の総数は１</w:t>
      </w:r>
      <w:r w:rsidR="00C865E2" w:rsidRPr="00F90361">
        <w:rPr>
          <w:rFonts w:asciiTheme="majorEastAsia" w:eastAsiaTheme="majorEastAsia" w:hAnsiTheme="majorEastAsia" w:hint="eastAsia"/>
          <w:sz w:val="24"/>
          <w:szCs w:val="24"/>
        </w:rPr>
        <w:t>,</w:t>
      </w:r>
      <w:r w:rsidR="00764C66" w:rsidRPr="00F90361">
        <w:rPr>
          <w:rFonts w:asciiTheme="majorEastAsia" w:eastAsiaTheme="majorEastAsia" w:hAnsiTheme="majorEastAsia" w:hint="eastAsia"/>
          <w:sz w:val="24"/>
          <w:szCs w:val="24"/>
        </w:rPr>
        <w:t>７６１</w:t>
      </w:r>
      <w:r w:rsidR="00A17E21" w:rsidRPr="000D4F52">
        <w:rPr>
          <w:rFonts w:asciiTheme="majorEastAsia" w:eastAsiaTheme="majorEastAsia" w:hAnsiTheme="majorEastAsia" w:hint="eastAsia"/>
          <w:sz w:val="20"/>
          <w:szCs w:val="20"/>
          <w:vertAlign w:val="superscript"/>
        </w:rPr>
        <w:t>※2</w:t>
      </w:r>
      <w:r w:rsidR="0007143D" w:rsidRPr="00F90361">
        <w:rPr>
          <w:rFonts w:asciiTheme="majorEastAsia" w:eastAsiaTheme="majorEastAsia" w:hAnsiTheme="majorEastAsia" w:hint="eastAsia"/>
          <w:sz w:val="24"/>
          <w:szCs w:val="24"/>
        </w:rPr>
        <w:t>あり、その延床面積の合計は約</w:t>
      </w:r>
      <w:r w:rsidR="00972E86" w:rsidRPr="00F90361">
        <w:rPr>
          <w:rFonts w:asciiTheme="majorEastAsia" w:eastAsiaTheme="majorEastAsia" w:hAnsiTheme="majorEastAsia" w:hint="eastAsia"/>
          <w:sz w:val="24"/>
          <w:szCs w:val="24"/>
        </w:rPr>
        <w:t>１</w:t>
      </w:r>
      <w:r w:rsidR="00C376EA" w:rsidRPr="00F90361">
        <w:rPr>
          <w:rFonts w:asciiTheme="majorEastAsia" w:eastAsiaTheme="majorEastAsia" w:hAnsiTheme="majorEastAsia"/>
          <w:sz w:val="24"/>
          <w:szCs w:val="24"/>
        </w:rPr>
        <w:t>,</w:t>
      </w:r>
      <w:r w:rsidR="00764C66" w:rsidRPr="00F90361">
        <w:rPr>
          <w:rFonts w:asciiTheme="majorEastAsia" w:eastAsiaTheme="majorEastAsia" w:hAnsiTheme="majorEastAsia" w:hint="eastAsia"/>
          <w:sz w:val="24"/>
          <w:szCs w:val="24"/>
        </w:rPr>
        <w:t>３２２</w:t>
      </w:r>
      <w:r w:rsidR="00FC49DB" w:rsidRPr="00F90361">
        <w:rPr>
          <w:rFonts w:asciiTheme="majorEastAsia" w:eastAsiaTheme="majorEastAsia" w:hAnsiTheme="majorEastAsia" w:hint="eastAsia"/>
          <w:sz w:val="24"/>
          <w:szCs w:val="24"/>
        </w:rPr>
        <w:t>万</w:t>
      </w:r>
      <w:r w:rsidR="00244CF8" w:rsidRPr="00F90361">
        <w:rPr>
          <w:rFonts w:asciiTheme="majorEastAsia" w:eastAsiaTheme="majorEastAsia" w:hAnsiTheme="majorEastAsia" w:hint="eastAsia"/>
          <w:sz w:val="24"/>
          <w:szCs w:val="24"/>
        </w:rPr>
        <w:t>平方メートル</w:t>
      </w:r>
      <w:r w:rsidR="00FC49DB" w:rsidRPr="00F90361">
        <w:rPr>
          <w:rFonts w:asciiTheme="majorEastAsia" w:eastAsiaTheme="majorEastAsia" w:hAnsiTheme="majorEastAsia" w:hint="eastAsia"/>
          <w:sz w:val="24"/>
          <w:szCs w:val="24"/>
        </w:rPr>
        <w:t>となる。</w:t>
      </w:r>
      <w:r w:rsidR="00A774FE" w:rsidRPr="000D4F52">
        <w:rPr>
          <w:rFonts w:asciiTheme="majorEastAsia" w:eastAsiaTheme="majorEastAsia" w:hAnsiTheme="majorEastAsia" w:hint="eastAsia"/>
          <w:sz w:val="20"/>
          <w:szCs w:val="20"/>
          <w:vertAlign w:val="superscript"/>
        </w:rPr>
        <w:t>※3</w:t>
      </w:r>
    </w:p>
    <w:p w14:paraId="6785B8CA" w14:textId="78D36354" w:rsidR="002565E2" w:rsidRPr="00F90361" w:rsidRDefault="002565E2" w:rsidP="00F90361">
      <w:pPr>
        <w:ind w:leftChars="100" w:left="210" w:firstLineChars="100" w:firstLine="240"/>
        <w:rPr>
          <w:rFonts w:asciiTheme="majorEastAsia" w:eastAsiaTheme="majorEastAsia" w:hAnsiTheme="majorEastAsia"/>
          <w:sz w:val="24"/>
          <w:szCs w:val="24"/>
        </w:rPr>
      </w:pPr>
      <w:r w:rsidRPr="00F90361">
        <w:rPr>
          <w:rFonts w:asciiTheme="majorEastAsia" w:eastAsiaTheme="majorEastAsia" w:hAnsiTheme="majorEastAsia" w:hint="eastAsia"/>
          <w:sz w:val="24"/>
          <w:szCs w:val="24"/>
        </w:rPr>
        <w:t>この施設総量について、人口１人当たりの延床面積（総務省「平成２４年度　公共施設状況調」による）で他の都道府県と比較してみると、</w:t>
      </w:r>
      <w:r w:rsidR="00530E99" w:rsidRPr="00F90361">
        <w:rPr>
          <w:rFonts w:asciiTheme="majorEastAsia" w:eastAsiaTheme="majorEastAsia" w:hAnsiTheme="majorEastAsia" w:hint="eastAsia"/>
          <w:sz w:val="24"/>
          <w:szCs w:val="24"/>
        </w:rPr>
        <w:t>本</w:t>
      </w:r>
      <w:r w:rsidRPr="00F90361">
        <w:rPr>
          <w:rFonts w:asciiTheme="majorEastAsia" w:eastAsiaTheme="majorEastAsia" w:hAnsiTheme="majorEastAsia" w:hint="eastAsia"/>
          <w:sz w:val="24"/>
          <w:szCs w:val="24"/>
        </w:rPr>
        <w:t>府は１．５５</w:t>
      </w:r>
      <w:r w:rsidR="00244CF8" w:rsidRPr="00F90361">
        <w:rPr>
          <w:rFonts w:asciiTheme="majorEastAsia" w:eastAsiaTheme="majorEastAsia" w:hAnsiTheme="majorEastAsia" w:hint="eastAsia"/>
          <w:sz w:val="24"/>
          <w:szCs w:val="24"/>
        </w:rPr>
        <w:t>平方メートル</w:t>
      </w:r>
      <w:r w:rsidRPr="00F90361">
        <w:rPr>
          <w:rFonts w:asciiTheme="majorEastAsia" w:eastAsiaTheme="majorEastAsia" w:hAnsiTheme="majorEastAsia" w:hint="eastAsia"/>
          <w:sz w:val="24"/>
          <w:szCs w:val="24"/>
        </w:rPr>
        <w:t>／人であり、東京都の２．９４</w:t>
      </w:r>
      <w:r w:rsidR="00244CF8" w:rsidRPr="00F90361">
        <w:rPr>
          <w:rFonts w:asciiTheme="majorEastAsia" w:eastAsiaTheme="majorEastAsia" w:hAnsiTheme="majorEastAsia" w:hint="eastAsia"/>
          <w:sz w:val="24"/>
          <w:szCs w:val="24"/>
        </w:rPr>
        <w:t>平方メートル</w:t>
      </w:r>
      <w:r w:rsidRPr="00F90361">
        <w:rPr>
          <w:rFonts w:asciiTheme="majorEastAsia" w:eastAsiaTheme="majorEastAsia" w:hAnsiTheme="majorEastAsia" w:hint="eastAsia"/>
          <w:sz w:val="24"/>
          <w:szCs w:val="24"/>
        </w:rPr>
        <w:t>／人の約半分程度である。また、都道府県平均は１．４９</w:t>
      </w:r>
      <w:r w:rsidR="00244CF8" w:rsidRPr="00F90361">
        <w:rPr>
          <w:rFonts w:asciiTheme="majorEastAsia" w:eastAsiaTheme="majorEastAsia" w:hAnsiTheme="majorEastAsia" w:hint="eastAsia"/>
          <w:sz w:val="24"/>
          <w:szCs w:val="24"/>
        </w:rPr>
        <w:t>平方メートル</w:t>
      </w:r>
      <w:r w:rsidRPr="00F90361">
        <w:rPr>
          <w:rFonts w:asciiTheme="majorEastAsia" w:eastAsiaTheme="majorEastAsia" w:hAnsiTheme="majorEastAsia" w:hint="eastAsia"/>
          <w:sz w:val="24"/>
          <w:szCs w:val="24"/>
        </w:rPr>
        <w:t>／人であり、</w:t>
      </w:r>
      <w:r w:rsidR="00991262" w:rsidRPr="00F90361">
        <w:rPr>
          <w:rFonts w:asciiTheme="majorEastAsia" w:eastAsiaTheme="majorEastAsia" w:hAnsiTheme="majorEastAsia" w:hint="eastAsia"/>
          <w:sz w:val="24"/>
          <w:szCs w:val="24"/>
        </w:rPr>
        <w:t>全体の中位程度となる。</w:t>
      </w:r>
    </w:p>
    <w:p w14:paraId="09DA7DBC" w14:textId="51ABB9DA" w:rsidR="007C655B" w:rsidRPr="00B3779B" w:rsidRDefault="00DD0B2F" w:rsidP="00647645">
      <w:pPr>
        <w:ind w:leftChars="400" w:left="1040" w:hangingChars="100" w:hanging="200"/>
        <w:rPr>
          <w:rFonts w:ascii="ＭＳ ゴシック" w:eastAsia="ＭＳ ゴシック" w:hAnsi="ＭＳ ゴシック"/>
          <w:sz w:val="24"/>
          <w:szCs w:val="24"/>
        </w:rPr>
      </w:pPr>
      <w:r w:rsidRPr="00B3779B">
        <w:rPr>
          <w:rFonts w:ascii="ＭＳ ゴシック" w:eastAsia="ＭＳ ゴシック" w:hAnsi="ＭＳ ゴシック" w:hint="eastAsia"/>
          <w:sz w:val="20"/>
          <w:szCs w:val="20"/>
        </w:rPr>
        <w:t>※</w:t>
      </w:r>
      <w:r w:rsidR="00A17E21" w:rsidRPr="00B3779B">
        <w:rPr>
          <w:rFonts w:ascii="ＭＳ ゴシック" w:eastAsia="ＭＳ ゴシック" w:hAnsi="ＭＳ ゴシック" w:hint="eastAsia"/>
          <w:sz w:val="20"/>
          <w:szCs w:val="20"/>
        </w:rPr>
        <w:t xml:space="preserve">1 </w:t>
      </w:r>
      <w:r w:rsidR="00FA7872" w:rsidRPr="00B3779B">
        <w:rPr>
          <w:rFonts w:ascii="ＭＳ ゴシック" w:eastAsia="ＭＳ ゴシック" w:hAnsi="ＭＳ ゴシック" w:hint="eastAsia"/>
          <w:sz w:val="20"/>
          <w:szCs w:val="20"/>
        </w:rPr>
        <w:t>府営</w:t>
      </w:r>
      <w:r w:rsidRPr="00B3779B">
        <w:rPr>
          <w:rFonts w:ascii="ＭＳ ゴシック" w:eastAsia="ＭＳ ゴシック" w:hAnsi="ＭＳ ゴシック" w:hint="eastAsia"/>
          <w:sz w:val="20"/>
          <w:szCs w:val="20"/>
        </w:rPr>
        <w:t>住宅は</w:t>
      </w:r>
      <w:r w:rsidR="00647645" w:rsidRPr="00B3779B">
        <w:rPr>
          <w:rFonts w:ascii="ＭＳ ゴシック" w:eastAsia="ＭＳ ゴシック" w:hAnsi="ＭＳ ゴシック" w:hint="eastAsia"/>
          <w:sz w:val="20"/>
          <w:szCs w:val="20"/>
        </w:rPr>
        <w:t>平成２７年８月１日</w:t>
      </w:r>
      <w:r w:rsidR="00B13EAD" w:rsidRPr="00B3779B">
        <w:rPr>
          <w:rFonts w:ascii="ＭＳ ゴシック" w:eastAsia="ＭＳ ゴシック" w:hAnsi="ＭＳ ゴシック" w:hint="eastAsia"/>
          <w:sz w:val="20"/>
          <w:szCs w:val="20"/>
        </w:rPr>
        <w:t>以降 順次 地元市へ移管中</w:t>
      </w:r>
      <w:r w:rsidR="00916154" w:rsidRPr="00B3779B">
        <w:rPr>
          <w:rFonts w:ascii="ＭＳ ゴシック" w:eastAsia="ＭＳ ゴシック" w:hAnsi="ＭＳ ゴシック" w:hint="eastAsia"/>
          <w:sz w:val="20"/>
          <w:szCs w:val="20"/>
        </w:rPr>
        <w:t>。</w:t>
      </w:r>
    </w:p>
    <w:p w14:paraId="1E165211" w14:textId="5B00C195" w:rsidR="007C655B" w:rsidRPr="00B3779B" w:rsidRDefault="00A17E21" w:rsidP="00FC49DB">
      <w:pPr>
        <w:ind w:leftChars="300" w:left="630" w:firstLineChars="100" w:firstLine="200"/>
        <w:rPr>
          <w:rFonts w:ascii="ＭＳ ゴシック" w:eastAsia="ＭＳ ゴシック" w:hAnsi="ＭＳ ゴシック"/>
          <w:sz w:val="24"/>
          <w:szCs w:val="24"/>
        </w:rPr>
      </w:pPr>
      <w:r w:rsidRPr="00B3779B">
        <w:rPr>
          <w:rFonts w:ascii="ＭＳ ゴシック" w:eastAsia="ＭＳ ゴシック" w:hAnsi="ＭＳ ゴシック" w:hint="eastAsia"/>
          <w:sz w:val="20"/>
          <w:szCs w:val="20"/>
        </w:rPr>
        <w:t>※2 地方独立行政法人が所有するものを除く。</w:t>
      </w:r>
    </w:p>
    <w:p w14:paraId="59571590" w14:textId="5504BC90" w:rsidR="007C655B" w:rsidRPr="002B11DF" w:rsidRDefault="00A774FE" w:rsidP="00F90361">
      <w:pPr>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Pr="002B11DF">
        <w:rPr>
          <w:rFonts w:asciiTheme="majorEastAsia" w:eastAsiaTheme="majorEastAsia" w:hAnsiTheme="majorEastAsia" w:hint="eastAsia"/>
          <w:sz w:val="20"/>
          <w:szCs w:val="20"/>
        </w:rPr>
        <w:t>※3</w:t>
      </w:r>
      <w:r w:rsidRPr="002B11DF">
        <w:rPr>
          <w:rFonts w:asciiTheme="majorEastAsia" w:eastAsiaTheme="majorEastAsia" w:hAnsiTheme="majorEastAsia"/>
          <w:sz w:val="20"/>
          <w:szCs w:val="20"/>
        </w:rPr>
        <w:t xml:space="preserve"> </w:t>
      </w:r>
      <w:r w:rsidR="00095A6A">
        <w:rPr>
          <w:rFonts w:asciiTheme="majorEastAsia" w:eastAsiaTheme="majorEastAsia" w:hAnsiTheme="majorEastAsia" w:hint="eastAsia"/>
          <w:sz w:val="20"/>
          <w:szCs w:val="20"/>
        </w:rPr>
        <w:t>施設保有量</w:t>
      </w:r>
      <w:r w:rsidRPr="002B11DF">
        <w:rPr>
          <w:rFonts w:asciiTheme="majorEastAsia" w:eastAsiaTheme="majorEastAsia" w:hAnsiTheme="majorEastAsia" w:hint="eastAsia"/>
          <w:sz w:val="20"/>
          <w:szCs w:val="20"/>
        </w:rPr>
        <w:t>の推移については</w:t>
      </w:r>
      <w:r w:rsidRPr="00D02A1E">
        <w:rPr>
          <w:rFonts w:asciiTheme="majorEastAsia" w:eastAsiaTheme="majorEastAsia" w:hAnsiTheme="majorEastAsia" w:hint="eastAsia"/>
          <w:sz w:val="20"/>
          <w:szCs w:val="20"/>
        </w:rPr>
        <w:t>、</w:t>
      </w:r>
      <w:r w:rsidR="00D02A1E" w:rsidRPr="00D02A1E">
        <w:rPr>
          <w:rFonts w:ascii="ＭＳ ゴシック" w:eastAsia="ＭＳ ゴシック" w:hAnsi="ＭＳ ゴシック" w:hint="eastAsia"/>
          <w:sz w:val="20"/>
          <w:szCs w:val="20"/>
        </w:rPr>
        <w:t>「参考資料編P</w:t>
      </w:r>
      <w:r w:rsidR="00095A6A">
        <w:rPr>
          <w:rFonts w:ascii="ＭＳ ゴシック" w:eastAsia="ＭＳ ゴシック" w:hAnsi="ＭＳ ゴシック" w:hint="eastAsia"/>
          <w:sz w:val="20"/>
          <w:szCs w:val="20"/>
        </w:rPr>
        <w:t>43</w:t>
      </w:r>
      <w:r w:rsidR="00D02A1E" w:rsidRPr="00D02A1E">
        <w:rPr>
          <w:rFonts w:ascii="ＭＳ ゴシック" w:eastAsia="ＭＳ ゴシック" w:hAnsi="ＭＳ ゴシック" w:hint="eastAsia"/>
          <w:sz w:val="20"/>
          <w:szCs w:val="20"/>
        </w:rPr>
        <w:t>」参照</w:t>
      </w:r>
      <w:r w:rsidRPr="002B11DF">
        <w:rPr>
          <w:rFonts w:asciiTheme="majorEastAsia" w:eastAsiaTheme="majorEastAsia" w:hAnsiTheme="majorEastAsia" w:hint="eastAsia"/>
          <w:sz w:val="20"/>
          <w:szCs w:val="20"/>
        </w:rPr>
        <w:t>。</w:t>
      </w:r>
    </w:p>
    <w:p w14:paraId="7CE328C6" w14:textId="77777777" w:rsidR="007C655B" w:rsidRPr="00F90361" w:rsidRDefault="007C655B" w:rsidP="00F90361">
      <w:pPr>
        <w:rPr>
          <w:rFonts w:asciiTheme="majorEastAsia" w:eastAsiaTheme="majorEastAsia" w:hAnsiTheme="majorEastAsia"/>
          <w:sz w:val="24"/>
          <w:szCs w:val="24"/>
        </w:rPr>
      </w:pPr>
    </w:p>
    <w:p w14:paraId="31A0309D" w14:textId="77777777" w:rsidR="007C655B" w:rsidRPr="00D02A1E" w:rsidRDefault="007C655B" w:rsidP="00F90361">
      <w:pPr>
        <w:rPr>
          <w:rFonts w:asciiTheme="majorEastAsia" w:eastAsiaTheme="majorEastAsia" w:hAnsiTheme="majorEastAsia"/>
          <w:sz w:val="24"/>
          <w:szCs w:val="24"/>
        </w:rPr>
      </w:pPr>
    </w:p>
    <w:p w14:paraId="6975B419" w14:textId="77777777" w:rsidR="007C655B" w:rsidRPr="00F90361" w:rsidRDefault="007C655B" w:rsidP="00F90361">
      <w:pPr>
        <w:rPr>
          <w:rFonts w:asciiTheme="majorEastAsia" w:eastAsiaTheme="majorEastAsia" w:hAnsiTheme="majorEastAsia"/>
          <w:sz w:val="24"/>
          <w:szCs w:val="24"/>
        </w:rPr>
      </w:pPr>
    </w:p>
    <w:p w14:paraId="638B24B5" w14:textId="77777777" w:rsidR="007C655B" w:rsidRPr="00F90361" w:rsidRDefault="007C655B" w:rsidP="00F90361">
      <w:pPr>
        <w:rPr>
          <w:rFonts w:asciiTheme="majorEastAsia" w:eastAsiaTheme="majorEastAsia" w:hAnsiTheme="majorEastAsia"/>
          <w:sz w:val="24"/>
          <w:szCs w:val="24"/>
        </w:rPr>
      </w:pPr>
    </w:p>
    <w:p w14:paraId="6C0C16BB" w14:textId="77777777" w:rsidR="007C655B" w:rsidRPr="00F90361" w:rsidRDefault="007C655B" w:rsidP="00F90361">
      <w:pPr>
        <w:rPr>
          <w:rFonts w:asciiTheme="majorEastAsia" w:eastAsiaTheme="majorEastAsia" w:hAnsiTheme="majorEastAsia"/>
          <w:sz w:val="24"/>
          <w:szCs w:val="24"/>
        </w:rPr>
      </w:pPr>
    </w:p>
    <w:p w14:paraId="26D1021D" w14:textId="77777777" w:rsidR="007C655B" w:rsidRPr="00F90361" w:rsidRDefault="007C655B" w:rsidP="00F90361">
      <w:pPr>
        <w:rPr>
          <w:rFonts w:asciiTheme="majorEastAsia" w:eastAsiaTheme="majorEastAsia" w:hAnsiTheme="majorEastAsia"/>
          <w:sz w:val="24"/>
          <w:szCs w:val="24"/>
        </w:rPr>
      </w:pPr>
    </w:p>
    <w:p w14:paraId="3B4AE7E1" w14:textId="77777777" w:rsidR="007C655B" w:rsidRPr="00F90361" w:rsidRDefault="007C655B" w:rsidP="00F90361">
      <w:pPr>
        <w:rPr>
          <w:rFonts w:asciiTheme="majorEastAsia" w:eastAsiaTheme="majorEastAsia" w:hAnsiTheme="majorEastAsia"/>
          <w:sz w:val="24"/>
          <w:szCs w:val="24"/>
        </w:rPr>
      </w:pPr>
    </w:p>
    <w:p w14:paraId="43AE784E" w14:textId="77777777" w:rsidR="007C655B" w:rsidRPr="00F90361" w:rsidRDefault="007C655B" w:rsidP="00F90361">
      <w:pPr>
        <w:rPr>
          <w:rFonts w:asciiTheme="majorEastAsia" w:eastAsiaTheme="majorEastAsia" w:hAnsiTheme="majorEastAsia"/>
          <w:sz w:val="24"/>
          <w:szCs w:val="24"/>
        </w:rPr>
      </w:pPr>
    </w:p>
    <w:p w14:paraId="174A32D0" w14:textId="77777777" w:rsidR="007C655B" w:rsidRPr="00F90361" w:rsidRDefault="007C655B" w:rsidP="00F90361">
      <w:pPr>
        <w:rPr>
          <w:rFonts w:asciiTheme="majorEastAsia" w:eastAsiaTheme="majorEastAsia" w:hAnsiTheme="majorEastAsia"/>
          <w:sz w:val="24"/>
          <w:szCs w:val="24"/>
        </w:rPr>
      </w:pPr>
    </w:p>
    <w:p w14:paraId="5BE76EEF" w14:textId="77777777" w:rsidR="007C655B" w:rsidRPr="00F90361" w:rsidRDefault="007C655B" w:rsidP="00F90361">
      <w:pPr>
        <w:rPr>
          <w:rFonts w:asciiTheme="majorEastAsia" w:eastAsiaTheme="majorEastAsia" w:hAnsiTheme="majorEastAsia"/>
          <w:sz w:val="24"/>
          <w:szCs w:val="24"/>
        </w:rPr>
      </w:pPr>
    </w:p>
    <w:p w14:paraId="58979B7E" w14:textId="77777777" w:rsidR="007C655B" w:rsidRPr="00F90361" w:rsidRDefault="007C655B" w:rsidP="00F90361">
      <w:pPr>
        <w:rPr>
          <w:rFonts w:asciiTheme="majorEastAsia" w:eastAsiaTheme="majorEastAsia" w:hAnsiTheme="majorEastAsia"/>
          <w:sz w:val="24"/>
          <w:szCs w:val="24"/>
        </w:rPr>
      </w:pPr>
    </w:p>
    <w:p w14:paraId="4B35145A" w14:textId="77777777" w:rsidR="007C655B" w:rsidRPr="00F90361" w:rsidRDefault="007C655B" w:rsidP="00F90361">
      <w:pPr>
        <w:rPr>
          <w:rFonts w:asciiTheme="majorEastAsia" w:eastAsiaTheme="majorEastAsia" w:hAnsiTheme="majorEastAsia"/>
          <w:sz w:val="24"/>
          <w:szCs w:val="24"/>
        </w:rPr>
      </w:pPr>
    </w:p>
    <w:p w14:paraId="4E5AA9E5" w14:textId="77777777" w:rsidR="007C655B" w:rsidRPr="00F90361" w:rsidRDefault="007C655B" w:rsidP="00F90361">
      <w:pPr>
        <w:rPr>
          <w:rFonts w:asciiTheme="majorEastAsia" w:eastAsiaTheme="majorEastAsia" w:hAnsiTheme="majorEastAsia"/>
          <w:sz w:val="24"/>
          <w:szCs w:val="24"/>
        </w:rPr>
      </w:pPr>
    </w:p>
    <w:p w14:paraId="7C9B030C" w14:textId="77777777" w:rsidR="00DD0B2F" w:rsidRPr="00F90361" w:rsidRDefault="00DD0B2F" w:rsidP="00F90361">
      <w:pPr>
        <w:rPr>
          <w:rFonts w:asciiTheme="majorEastAsia" w:eastAsiaTheme="majorEastAsia" w:hAnsiTheme="majorEastAsia"/>
          <w:sz w:val="24"/>
          <w:szCs w:val="24"/>
        </w:rPr>
      </w:pPr>
    </w:p>
    <w:p w14:paraId="073490EF" w14:textId="77777777" w:rsidR="007C655B" w:rsidRPr="00F90361" w:rsidRDefault="007C655B" w:rsidP="00F90361">
      <w:pPr>
        <w:rPr>
          <w:rFonts w:asciiTheme="majorEastAsia" w:eastAsiaTheme="majorEastAsia" w:hAnsiTheme="majorEastAsia"/>
          <w:sz w:val="24"/>
          <w:szCs w:val="24"/>
        </w:rPr>
      </w:pPr>
    </w:p>
    <w:p w14:paraId="06A8D308" w14:textId="77777777" w:rsidR="007C655B" w:rsidRPr="00F90361" w:rsidRDefault="007C655B" w:rsidP="00F90361">
      <w:pPr>
        <w:rPr>
          <w:rFonts w:asciiTheme="majorEastAsia" w:eastAsiaTheme="majorEastAsia" w:hAnsiTheme="majorEastAsia"/>
          <w:sz w:val="24"/>
          <w:szCs w:val="24"/>
        </w:rPr>
      </w:pPr>
    </w:p>
    <w:p w14:paraId="15B481D9" w14:textId="6B7438A9" w:rsidR="007C655B" w:rsidRDefault="007C655B" w:rsidP="00F90361">
      <w:pPr>
        <w:rPr>
          <w:rFonts w:asciiTheme="majorEastAsia" w:eastAsiaTheme="majorEastAsia" w:hAnsiTheme="majorEastAsia"/>
          <w:sz w:val="24"/>
          <w:szCs w:val="24"/>
        </w:rPr>
      </w:pPr>
    </w:p>
    <w:p w14:paraId="64AE99B0" w14:textId="55E9B894" w:rsidR="00F90361" w:rsidRDefault="00F90361" w:rsidP="00F90361">
      <w:pPr>
        <w:rPr>
          <w:rFonts w:asciiTheme="majorEastAsia" w:eastAsiaTheme="majorEastAsia" w:hAnsiTheme="majorEastAsia"/>
          <w:sz w:val="24"/>
          <w:szCs w:val="24"/>
        </w:rPr>
      </w:pPr>
    </w:p>
    <w:p w14:paraId="025AD7D1" w14:textId="77777777" w:rsidR="00F90361" w:rsidRPr="00F90361" w:rsidRDefault="00F90361" w:rsidP="00F90361">
      <w:pPr>
        <w:rPr>
          <w:rFonts w:asciiTheme="majorEastAsia" w:eastAsiaTheme="majorEastAsia" w:hAnsiTheme="majorEastAsia"/>
          <w:sz w:val="24"/>
          <w:szCs w:val="24"/>
        </w:rPr>
      </w:pPr>
    </w:p>
    <w:p w14:paraId="7296DED8" w14:textId="77777777" w:rsidR="007C4E9A" w:rsidRPr="00B84A35" w:rsidRDefault="007C4E9A" w:rsidP="00F90361">
      <w:pPr>
        <w:rPr>
          <w:rFonts w:asciiTheme="majorEastAsia" w:eastAsiaTheme="majorEastAsia" w:hAnsiTheme="majorEastAsia"/>
          <w:sz w:val="24"/>
          <w:szCs w:val="24"/>
        </w:rPr>
      </w:pPr>
    </w:p>
    <w:p w14:paraId="4A76C28D" w14:textId="7EB04683" w:rsidR="00583F0F" w:rsidRPr="005D2363" w:rsidRDefault="005D2363" w:rsidP="005D2363">
      <w:pPr>
        <w:adjustRightInd w:val="0"/>
        <w:ind w:left="48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① </w:t>
      </w:r>
      <w:r w:rsidR="00583F0F" w:rsidRPr="005D2363">
        <w:rPr>
          <w:rFonts w:ascii="ＭＳ ゴシック" w:eastAsia="ＭＳ ゴシック" w:hAnsi="ＭＳ ゴシック" w:hint="eastAsia"/>
          <w:sz w:val="24"/>
          <w:szCs w:val="24"/>
        </w:rPr>
        <w:t>施設類型別　施設数及び延床面積</w:t>
      </w:r>
    </w:p>
    <w:p w14:paraId="7E846C71" w14:textId="77777777" w:rsidR="00F90361" w:rsidRDefault="00017535" w:rsidP="00F90361">
      <w:pPr>
        <w:adjustRightInd w:val="0"/>
        <w:ind w:leftChars="200" w:left="420" w:firstLineChars="100" w:firstLine="240"/>
        <w:rPr>
          <w:rFonts w:ascii="ＭＳ ゴシック" w:eastAsia="ＭＳ ゴシック" w:hAnsi="ＭＳ ゴシック"/>
          <w:sz w:val="24"/>
          <w:szCs w:val="24"/>
        </w:rPr>
      </w:pPr>
      <w:r w:rsidRPr="00F90361">
        <w:rPr>
          <w:rFonts w:ascii="ＭＳ ゴシック" w:eastAsia="ＭＳ ゴシック" w:hAnsi="ＭＳ ゴシック" w:hint="eastAsia"/>
          <w:sz w:val="24"/>
          <w:szCs w:val="24"/>
        </w:rPr>
        <w:t>本</w:t>
      </w:r>
      <w:r w:rsidR="00007BA6" w:rsidRPr="00F90361">
        <w:rPr>
          <w:rFonts w:ascii="ＭＳ ゴシック" w:eastAsia="ＭＳ ゴシック" w:hAnsi="ＭＳ ゴシック" w:hint="eastAsia"/>
          <w:sz w:val="24"/>
          <w:szCs w:val="24"/>
        </w:rPr>
        <w:t>府</w:t>
      </w:r>
      <w:r w:rsidR="00E53C3F" w:rsidRPr="00F90361">
        <w:rPr>
          <w:rFonts w:ascii="ＭＳ ゴシック" w:eastAsia="ＭＳ ゴシック" w:hAnsi="ＭＳ ゴシック" w:hint="eastAsia"/>
          <w:sz w:val="24"/>
          <w:szCs w:val="24"/>
        </w:rPr>
        <w:t>が所有する施設</w:t>
      </w:r>
      <w:r w:rsidR="00FC49DB" w:rsidRPr="00F90361">
        <w:rPr>
          <w:rFonts w:ascii="ＭＳ ゴシック" w:eastAsia="ＭＳ ゴシック" w:hAnsi="ＭＳ ゴシック" w:hint="eastAsia"/>
          <w:sz w:val="24"/>
          <w:szCs w:val="24"/>
        </w:rPr>
        <w:t>を類型別にみると、</w:t>
      </w:r>
      <w:r w:rsidR="00EC510F" w:rsidRPr="00F90361">
        <w:rPr>
          <w:rFonts w:ascii="ＭＳ ゴシック" w:eastAsia="ＭＳ ゴシック" w:hAnsi="ＭＳ ゴシック" w:hint="eastAsia"/>
          <w:sz w:val="24"/>
          <w:szCs w:val="24"/>
        </w:rPr>
        <w:t>施設数では、</w:t>
      </w:r>
      <w:r w:rsidR="006921BF" w:rsidRPr="00F90361">
        <w:rPr>
          <w:rFonts w:ascii="ＭＳ ゴシック" w:eastAsia="ＭＳ ゴシック" w:hAnsi="ＭＳ ゴシック" w:hint="eastAsia"/>
          <w:sz w:val="24"/>
          <w:szCs w:val="24"/>
        </w:rPr>
        <w:t>交番を多数含む</w:t>
      </w:r>
      <w:r w:rsidR="00E53C3F" w:rsidRPr="00F90361">
        <w:rPr>
          <w:rFonts w:ascii="ＭＳ ゴシック" w:eastAsia="ＭＳ ゴシック" w:hAnsi="ＭＳ ゴシック" w:hint="eastAsia"/>
          <w:sz w:val="24"/>
          <w:szCs w:val="24"/>
        </w:rPr>
        <w:t>警察施設</w:t>
      </w:r>
      <w:r w:rsidR="006B2ABB" w:rsidRPr="00F90361">
        <w:rPr>
          <w:rFonts w:ascii="ＭＳ ゴシック" w:eastAsia="ＭＳ ゴシック" w:hAnsi="ＭＳ ゴシック" w:hint="eastAsia"/>
          <w:sz w:val="24"/>
          <w:szCs w:val="24"/>
        </w:rPr>
        <w:t>が最も多く全体の４</w:t>
      </w:r>
      <w:r w:rsidR="00764C66" w:rsidRPr="00F90361">
        <w:rPr>
          <w:rFonts w:ascii="ＭＳ ゴシック" w:eastAsia="ＭＳ ゴシック" w:hAnsi="ＭＳ ゴシック" w:hint="eastAsia"/>
          <w:sz w:val="24"/>
          <w:szCs w:val="24"/>
        </w:rPr>
        <w:t>５</w:t>
      </w:r>
      <w:r w:rsidR="009C1975" w:rsidRPr="00F90361">
        <w:rPr>
          <w:rFonts w:ascii="ＭＳ ゴシック" w:eastAsia="ＭＳ ゴシック" w:hAnsi="ＭＳ ゴシック" w:hint="eastAsia"/>
          <w:sz w:val="24"/>
          <w:szCs w:val="24"/>
        </w:rPr>
        <w:t>パーセント</w:t>
      </w:r>
      <w:r w:rsidR="00E53C3F" w:rsidRPr="00F90361">
        <w:rPr>
          <w:rFonts w:ascii="ＭＳ ゴシック" w:eastAsia="ＭＳ ゴシック" w:hAnsi="ＭＳ ゴシック" w:hint="eastAsia"/>
          <w:sz w:val="24"/>
          <w:szCs w:val="24"/>
        </w:rPr>
        <w:t>、</w:t>
      </w:r>
      <w:r w:rsidR="006B2ABB" w:rsidRPr="00F90361">
        <w:rPr>
          <w:rFonts w:ascii="ＭＳ ゴシック" w:eastAsia="ＭＳ ゴシック" w:hAnsi="ＭＳ ゴシック" w:hint="eastAsia"/>
          <w:sz w:val="24"/>
          <w:szCs w:val="24"/>
        </w:rPr>
        <w:t>次いで</w:t>
      </w:r>
      <w:r w:rsidR="00396355" w:rsidRPr="00F90361">
        <w:rPr>
          <w:rFonts w:ascii="ＭＳ ゴシック" w:eastAsia="ＭＳ ゴシック" w:hAnsi="ＭＳ ゴシック" w:hint="eastAsia"/>
          <w:sz w:val="24"/>
          <w:szCs w:val="24"/>
        </w:rPr>
        <w:t>その他施設</w:t>
      </w:r>
      <w:r w:rsidR="0082107A" w:rsidRPr="00F90361">
        <w:rPr>
          <w:rFonts w:ascii="ＭＳ ゴシック" w:eastAsia="ＭＳ ゴシック" w:hAnsi="ＭＳ ゴシック" w:hint="eastAsia"/>
          <w:sz w:val="24"/>
          <w:szCs w:val="24"/>
          <w:vertAlign w:val="superscript"/>
        </w:rPr>
        <w:t>※</w:t>
      </w:r>
      <w:r w:rsidR="00396355" w:rsidRPr="00F90361">
        <w:rPr>
          <w:rFonts w:ascii="ＭＳ ゴシック" w:eastAsia="ＭＳ ゴシック" w:hAnsi="ＭＳ ゴシック" w:hint="eastAsia"/>
          <w:sz w:val="24"/>
          <w:szCs w:val="24"/>
        </w:rPr>
        <w:t>、</w:t>
      </w:r>
      <w:r w:rsidR="00A81394" w:rsidRPr="00F90361">
        <w:rPr>
          <w:rFonts w:ascii="ＭＳ ゴシック" w:eastAsia="ＭＳ ゴシック" w:hAnsi="ＭＳ ゴシック" w:hint="eastAsia"/>
          <w:sz w:val="24"/>
          <w:szCs w:val="24"/>
        </w:rPr>
        <w:t>府</w:t>
      </w:r>
      <w:r w:rsidR="001108EF" w:rsidRPr="00F90361">
        <w:rPr>
          <w:rFonts w:ascii="ＭＳ ゴシック" w:eastAsia="ＭＳ ゴシック" w:hAnsi="ＭＳ ゴシック" w:hint="eastAsia"/>
          <w:sz w:val="24"/>
          <w:szCs w:val="24"/>
        </w:rPr>
        <w:t>営</w:t>
      </w:r>
      <w:r w:rsidR="00E53C3F" w:rsidRPr="00F90361">
        <w:rPr>
          <w:rFonts w:ascii="ＭＳ ゴシック" w:eastAsia="ＭＳ ゴシック" w:hAnsi="ＭＳ ゴシック" w:hint="eastAsia"/>
          <w:sz w:val="24"/>
          <w:szCs w:val="24"/>
        </w:rPr>
        <w:t>住宅、学校の順に多い。</w:t>
      </w:r>
    </w:p>
    <w:p w14:paraId="4355FC95" w14:textId="40F80345" w:rsidR="006B2ABB" w:rsidRDefault="00E53C3F" w:rsidP="00F90361">
      <w:pPr>
        <w:adjustRightInd w:val="0"/>
        <w:ind w:leftChars="200" w:left="420" w:firstLineChars="100" w:firstLine="240"/>
        <w:rPr>
          <w:rFonts w:ascii="ＭＳ ゴシック" w:eastAsia="ＭＳ ゴシック" w:hAnsi="ＭＳ ゴシック"/>
          <w:sz w:val="24"/>
          <w:szCs w:val="24"/>
        </w:rPr>
      </w:pPr>
      <w:r w:rsidRPr="00B3779B">
        <w:rPr>
          <w:rFonts w:ascii="ＭＳ ゴシック" w:eastAsia="ＭＳ ゴシック" w:hAnsi="ＭＳ ゴシック" w:hint="eastAsia"/>
          <w:sz w:val="24"/>
          <w:szCs w:val="24"/>
        </w:rPr>
        <w:t>これを延床面積でみると、</w:t>
      </w:r>
      <w:r w:rsidR="00D50662" w:rsidRPr="00B3779B">
        <w:rPr>
          <w:rFonts w:ascii="ＭＳ ゴシック" w:eastAsia="ＭＳ ゴシック" w:hAnsi="ＭＳ ゴシック" w:hint="eastAsia"/>
          <w:sz w:val="24"/>
          <w:szCs w:val="24"/>
        </w:rPr>
        <w:t>府</w:t>
      </w:r>
      <w:r w:rsidR="001108EF" w:rsidRPr="00B3779B">
        <w:rPr>
          <w:rFonts w:ascii="ＭＳ ゴシック" w:eastAsia="ＭＳ ゴシック" w:hAnsi="ＭＳ ゴシック" w:hint="eastAsia"/>
          <w:sz w:val="24"/>
          <w:szCs w:val="24"/>
        </w:rPr>
        <w:t>営</w:t>
      </w:r>
      <w:r w:rsidRPr="00B3779B">
        <w:rPr>
          <w:rFonts w:ascii="ＭＳ ゴシック" w:eastAsia="ＭＳ ゴシック" w:hAnsi="ＭＳ ゴシック" w:hint="eastAsia"/>
          <w:sz w:val="24"/>
          <w:szCs w:val="24"/>
        </w:rPr>
        <w:t>住宅が突出して多く</w:t>
      </w:r>
      <w:r w:rsidR="006921BF" w:rsidRPr="00B3779B">
        <w:rPr>
          <w:rFonts w:ascii="ＭＳ ゴシック" w:eastAsia="ＭＳ ゴシック" w:hAnsi="ＭＳ ゴシック" w:hint="eastAsia"/>
          <w:sz w:val="24"/>
          <w:szCs w:val="24"/>
        </w:rPr>
        <w:t>なり</w:t>
      </w:r>
      <w:r w:rsidRPr="00B3779B">
        <w:rPr>
          <w:rFonts w:ascii="ＭＳ ゴシック" w:eastAsia="ＭＳ ゴシック" w:hAnsi="ＭＳ ゴシック" w:hint="eastAsia"/>
          <w:sz w:val="24"/>
          <w:szCs w:val="24"/>
        </w:rPr>
        <w:t>、</w:t>
      </w:r>
      <w:r w:rsidR="006B2ABB" w:rsidRPr="00B3779B">
        <w:rPr>
          <w:rFonts w:ascii="ＭＳ ゴシック" w:eastAsia="ＭＳ ゴシック" w:hAnsi="ＭＳ ゴシック" w:hint="eastAsia"/>
          <w:sz w:val="24"/>
          <w:szCs w:val="24"/>
        </w:rPr>
        <w:t>全体の６</w:t>
      </w:r>
      <w:r w:rsidR="00764C66" w:rsidRPr="00B3779B">
        <w:rPr>
          <w:rFonts w:ascii="ＭＳ ゴシック" w:eastAsia="ＭＳ ゴシック" w:hAnsi="ＭＳ ゴシック" w:hint="eastAsia"/>
          <w:sz w:val="24"/>
          <w:szCs w:val="24"/>
        </w:rPr>
        <w:t>３</w:t>
      </w:r>
      <w:r w:rsidR="009C1975" w:rsidRPr="00B3779B">
        <w:rPr>
          <w:rFonts w:ascii="ＭＳ ゴシック" w:eastAsia="ＭＳ ゴシック" w:hAnsi="ＭＳ ゴシック" w:hint="eastAsia"/>
          <w:sz w:val="24"/>
          <w:szCs w:val="24"/>
        </w:rPr>
        <w:t>パーセント</w:t>
      </w:r>
      <w:r w:rsidR="006B2ABB" w:rsidRPr="00B3779B">
        <w:rPr>
          <w:rFonts w:ascii="ＭＳ ゴシック" w:eastAsia="ＭＳ ゴシック" w:hAnsi="ＭＳ ゴシック" w:hint="eastAsia"/>
          <w:sz w:val="24"/>
          <w:szCs w:val="24"/>
        </w:rPr>
        <w:t>を占め、</w:t>
      </w:r>
      <w:r w:rsidRPr="00B3779B">
        <w:rPr>
          <w:rFonts w:ascii="ＭＳ ゴシック" w:eastAsia="ＭＳ ゴシック" w:hAnsi="ＭＳ ゴシック" w:hint="eastAsia"/>
          <w:sz w:val="24"/>
          <w:szCs w:val="24"/>
        </w:rPr>
        <w:t>次に学校、警察施設と続く。</w:t>
      </w:r>
    </w:p>
    <w:p w14:paraId="05A23E9E" w14:textId="77777777" w:rsidR="00F90361" w:rsidRPr="004C1386" w:rsidRDefault="00F90361" w:rsidP="00F90361">
      <w:pPr>
        <w:adjustRightInd w:val="0"/>
        <w:ind w:leftChars="200" w:left="420" w:firstLineChars="100" w:firstLine="240"/>
        <w:rPr>
          <w:rFonts w:ascii="ＭＳ ゴシック" w:eastAsia="ＭＳ ゴシック" w:hAnsi="ＭＳ ゴシック"/>
          <w:sz w:val="24"/>
          <w:szCs w:val="24"/>
        </w:rPr>
      </w:pPr>
    </w:p>
    <w:p w14:paraId="37FC6EC8" w14:textId="3676827E" w:rsidR="00AB2A2F" w:rsidRDefault="0091793E" w:rsidP="002B51C8">
      <w:pPr>
        <w:ind w:rightChars="-40" w:right="-84" w:firstLineChars="100" w:firstLine="210"/>
        <w:rPr>
          <w:rFonts w:ascii="ＭＳ ゴシック" w:eastAsia="ＭＳ ゴシック" w:hAnsi="ＭＳ ゴシック"/>
          <w:sz w:val="24"/>
          <w:szCs w:val="24"/>
        </w:rPr>
      </w:pPr>
      <w:r w:rsidRPr="004C1386">
        <w:rPr>
          <w:noProof/>
        </w:rPr>
        <w:drawing>
          <wp:inline distT="0" distB="0" distL="0" distR="0" wp14:anchorId="123CDE50" wp14:editId="0C715373">
            <wp:extent cx="2943225" cy="4323080"/>
            <wp:effectExtent l="0" t="0" r="0" b="1270"/>
            <wp:docPr id="19" name="グラフ 19" title="施設類型別施設数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4C1386">
        <w:rPr>
          <w:noProof/>
        </w:rPr>
        <w:drawing>
          <wp:inline distT="0" distB="0" distL="0" distR="0" wp14:anchorId="0B67A31E" wp14:editId="3489DC7C">
            <wp:extent cx="2924175" cy="4323080"/>
            <wp:effectExtent l="0" t="0" r="0" b="1270"/>
            <wp:docPr id="20" name="グラフ 20" title="施設類型別延床面積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B78E7E6" w14:textId="57C79F2D" w:rsidR="00FB183A" w:rsidRDefault="00FB183A" w:rsidP="002B51C8">
      <w:pPr>
        <w:ind w:rightChars="-40" w:right="-84" w:firstLineChars="100" w:firstLine="240"/>
        <w:rPr>
          <w:rFonts w:ascii="ＭＳ ゴシック" w:eastAsia="ＭＳ ゴシック" w:hAnsi="ＭＳ ゴシック"/>
          <w:sz w:val="24"/>
          <w:szCs w:val="24"/>
        </w:rPr>
      </w:pPr>
    </w:p>
    <w:p w14:paraId="3F356A2A" w14:textId="64BD79EE" w:rsidR="00FB183A" w:rsidRPr="004C1386" w:rsidRDefault="00FB183A" w:rsidP="00621ABE">
      <w:pPr>
        <w:ind w:rightChars="-40" w:right="-84" w:firstLineChars="100" w:firstLine="221"/>
        <w:rPr>
          <w:rFonts w:ascii="ＭＳ ゴシック" w:eastAsia="ＭＳ ゴシック" w:hAnsi="ＭＳ ゴシック"/>
          <w:sz w:val="24"/>
          <w:szCs w:val="24"/>
        </w:rPr>
      </w:pPr>
      <w:r w:rsidRPr="004C1386">
        <w:rPr>
          <w:rFonts w:ascii="ＭＳ Ｐゴシック" w:eastAsia="ＭＳ Ｐゴシック" w:hAnsi="ＭＳ Ｐゴシック" w:cs="ＭＳ Ｐゴシック" w:hint="eastAsia"/>
          <w:b/>
          <w:bCs/>
          <w:kern w:val="0"/>
          <w:sz w:val="22"/>
        </w:rPr>
        <w:t>【施設類型別　施設数及び延床面積】</w:t>
      </w:r>
    </w:p>
    <w:tbl>
      <w:tblPr>
        <w:tblpPr w:leftFromText="142" w:rightFromText="142" w:vertAnchor="text" w:horzAnchor="margin" w:tblpX="241" w:tblpY="1"/>
        <w:tblOverlap w:val="never"/>
        <w:tblW w:w="9455" w:type="dxa"/>
        <w:tblLayout w:type="fixed"/>
        <w:tblCellMar>
          <w:left w:w="99" w:type="dxa"/>
          <w:right w:w="99" w:type="dxa"/>
        </w:tblCellMar>
        <w:tblLook w:val="04A0" w:firstRow="1" w:lastRow="0" w:firstColumn="1" w:lastColumn="0" w:noHBand="0" w:noVBand="1"/>
      </w:tblPr>
      <w:tblGrid>
        <w:gridCol w:w="1375"/>
        <w:gridCol w:w="1559"/>
        <w:gridCol w:w="1417"/>
        <w:gridCol w:w="1418"/>
        <w:gridCol w:w="1914"/>
        <w:gridCol w:w="1772"/>
      </w:tblGrid>
      <w:tr w:rsidR="004C1386" w:rsidRPr="004C1386" w14:paraId="2AC8CA5C" w14:textId="77777777" w:rsidTr="00FB183A">
        <w:trPr>
          <w:trHeight w:val="265"/>
        </w:trPr>
        <w:tc>
          <w:tcPr>
            <w:tcW w:w="1375" w:type="dxa"/>
            <w:tcBorders>
              <w:top w:val="single" w:sz="4" w:space="0" w:color="auto"/>
              <w:left w:val="single" w:sz="4" w:space="0" w:color="auto"/>
              <w:bottom w:val="single" w:sz="4" w:space="0" w:color="auto"/>
              <w:right w:val="single" w:sz="4" w:space="0" w:color="auto"/>
            </w:tcBorders>
          </w:tcPr>
          <w:p w14:paraId="615584D5" w14:textId="77777777" w:rsidR="00400C4E" w:rsidRPr="004C1386" w:rsidRDefault="00400C4E" w:rsidP="00234411">
            <w:pPr>
              <w:widowControl/>
              <w:ind w:leftChars="-319" w:left="-670" w:firstLineChars="303" w:firstLine="669"/>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会計区分</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D5C9A1"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施設類型</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CA4EEB2"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施設数</w:t>
            </w:r>
          </w:p>
        </w:tc>
        <w:tc>
          <w:tcPr>
            <w:tcW w:w="1418" w:type="dxa"/>
            <w:tcBorders>
              <w:top w:val="single" w:sz="4" w:space="0" w:color="auto"/>
              <w:left w:val="nil"/>
              <w:bottom w:val="single" w:sz="4" w:space="0" w:color="auto"/>
              <w:right w:val="single" w:sz="4" w:space="0" w:color="auto"/>
            </w:tcBorders>
            <w:vAlign w:val="center"/>
          </w:tcPr>
          <w:p w14:paraId="4E65E7E6"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hint="eastAsia"/>
                <w:b/>
                <w:bCs/>
                <w:sz w:val="22"/>
              </w:rPr>
              <w:t>施設数割合</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E361A" w14:textId="77777777" w:rsidR="00400C4E" w:rsidRPr="004C1386" w:rsidRDefault="00400C4E" w:rsidP="00234411">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延床面積（㎡）</w:t>
            </w:r>
          </w:p>
        </w:tc>
        <w:tc>
          <w:tcPr>
            <w:tcW w:w="1772" w:type="dxa"/>
            <w:tcBorders>
              <w:top w:val="single" w:sz="4" w:space="0" w:color="auto"/>
              <w:left w:val="nil"/>
              <w:bottom w:val="single" w:sz="4" w:space="0" w:color="auto"/>
              <w:right w:val="single" w:sz="4" w:space="0" w:color="auto"/>
            </w:tcBorders>
          </w:tcPr>
          <w:p w14:paraId="22EE4B3B" w14:textId="77777777" w:rsidR="00400C4E" w:rsidRPr="004C1386" w:rsidRDefault="00400C4E" w:rsidP="00234411">
            <w:pPr>
              <w:widowControl/>
              <w:ind w:rightChars="-58" w:right="-122"/>
              <w:jc w:val="center"/>
              <w:rPr>
                <w:rFonts w:ascii="ＭＳ Ｐゴシック" w:eastAsia="ＭＳ Ｐゴシック" w:hAnsi="ＭＳ Ｐゴシック"/>
                <w:b/>
                <w:bCs/>
                <w:sz w:val="22"/>
              </w:rPr>
            </w:pPr>
            <w:r w:rsidRPr="004C1386">
              <w:rPr>
                <w:rFonts w:ascii="ＭＳ Ｐゴシック" w:eastAsia="ＭＳ Ｐゴシック" w:hAnsi="ＭＳ Ｐゴシック" w:cs="ＭＳ Ｐゴシック" w:hint="eastAsia"/>
                <w:b/>
                <w:bCs/>
                <w:kern w:val="0"/>
                <w:sz w:val="22"/>
              </w:rPr>
              <w:t>延床面積割合</w:t>
            </w:r>
          </w:p>
        </w:tc>
      </w:tr>
      <w:tr w:rsidR="004C1386" w:rsidRPr="004C1386" w14:paraId="52C943AB" w14:textId="77777777" w:rsidTr="00FB183A">
        <w:trPr>
          <w:trHeight w:val="265"/>
        </w:trPr>
        <w:tc>
          <w:tcPr>
            <w:tcW w:w="1375" w:type="dxa"/>
            <w:vMerge w:val="restart"/>
            <w:tcBorders>
              <w:top w:val="nil"/>
              <w:left w:val="single" w:sz="4" w:space="0" w:color="auto"/>
              <w:right w:val="single" w:sz="4" w:space="0" w:color="auto"/>
            </w:tcBorders>
            <w:vAlign w:val="center"/>
          </w:tcPr>
          <w:p w14:paraId="7408008A" w14:textId="77777777" w:rsidR="00400C4E" w:rsidRPr="004C1386" w:rsidRDefault="00400C4E" w:rsidP="00234411">
            <w:pPr>
              <w:widowControl/>
              <w:ind w:leftChars="-319" w:left="-670" w:firstLineChars="305" w:firstLine="671"/>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一般会計</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2099528"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本庁舎</w:t>
            </w:r>
          </w:p>
        </w:tc>
        <w:tc>
          <w:tcPr>
            <w:tcW w:w="1417" w:type="dxa"/>
            <w:tcBorders>
              <w:top w:val="nil"/>
              <w:left w:val="nil"/>
              <w:bottom w:val="single" w:sz="4" w:space="0" w:color="auto"/>
              <w:right w:val="single" w:sz="4" w:space="0" w:color="auto"/>
            </w:tcBorders>
            <w:shd w:val="clear" w:color="auto" w:fill="auto"/>
            <w:noWrap/>
            <w:vAlign w:val="center"/>
            <w:hideMark/>
          </w:tcPr>
          <w:p w14:paraId="74AC1671"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9 </w:t>
            </w:r>
          </w:p>
        </w:tc>
        <w:tc>
          <w:tcPr>
            <w:tcW w:w="1418" w:type="dxa"/>
            <w:tcBorders>
              <w:top w:val="single" w:sz="4" w:space="0" w:color="auto"/>
              <w:left w:val="nil"/>
              <w:bottom w:val="single" w:sz="4" w:space="0" w:color="auto"/>
              <w:right w:val="single" w:sz="4" w:space="0" w:color="auto"/>
            </w:tcBorders>
          </w:tcPr>
          <w:p w14:paraId="08E5D115" w14:textId="1DC8AAC3" w:rsidR="00400C4E" w:rsidRPr="004C1386" w:rsidRDefault="003F7EB4"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rPr>
              <w:t>0</w:t>
            </w:r>
            <w:r w:rsidR="00400C4E" w:rsidRPr="004C1386">
              <w:rPr>
                <w:rFonts w:ascii="ＭＳ Ｐゴシック" w:eastAsia="ＭＳ Ｐゴシック" w:hAnsi="ＭＳ Ｐゴシック"/>
              </w:rPr>
              <w:t>%</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7392D8FC"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253,773 </w:t>
            </w:r>
          </w:p>
        </w:tc>
        <w:tc>
          <w:tcPr>
            <w:tcW w:w="1772" w:type="dxa"/>
            <w:tcBorders>
              <w:top w:val="nil"/>
              <w:left w:val="nil"/>
              <w:bottom w:val="single" w:sz="4" w:space="0" w:color="auto"/>
              <w:right w:val="single" w:sz="4" w:space="0" w:color="auto"/>
            </w:tcBorders>
          </w:tcPr>
          <w:p w14:paraId="639B2AE3" w14:textId="47472C5A" w:rsidR="00400C4E" w:rsidRPr="004C1386" w:rsidRDefault="00400C4E" w:rsidP="008345B9">
            <w:pPr>
              <w:widowControl/>
              <w:ind w:rightChars="20" w:right="42"/>
              <w:jc w:val="right"/>
              <w:rPr>
                <w:rFonts w:ascii="ＭＳ Ｐゴシック" w:eastAsia="ＭＳ Ｐゴシック" w:hAnsi="ＭＳ Ｐゴシック"/>
              </w:rPr>
            </w:pPr>
            <w:r w:rsidRPr="004C1386">
              <w:rPr>
                <w:rFonts w:ascii="ＭＳ Ｐゴシック" w:eastAsia="ＭＳ Ｐゴシック" w:hAnsi="ＭＳ Ｐゴシック" w:cs="ＭＳ Ｐゴシック" w:hint="eastAsia"/>
                <w:kern w:val="0"/>
                <w:sz w:val="22"/>
              </w:rPr>
              <w:t>2</w:t>
            </w:r>
            <w:r w:rsidR="008345B9" w:rsidRPr="004C1386">
              <w:rPr>
                <w:rFonts w:ascii="ＭＳ Ｐゴシック" w:eastAsia="ＭＳ Ｐゴシック" w:hAnsi="ＭＳ Ｐゴシック" w:cs="ＭＳ Ｐゴシック" w:hint="eastAsia"/>
                <w:kern w:val="0"/>
                <w:sz w:val="22"/>
              </w:rPr>
              <w:t>%</w:t>
            </w:r>
          </w:p>
        </w:tc>
      </w:tr>
      <w:tr w:rsidR="004C1386" w:rsidRPr="004C1386" w14:paraId="2D95238D" w14:textId="77777777" w:rsidTr="00FB183A">
        <w:trPr>
          <w:trHeight w:val="265"/>
        </w:trPr>
        <w:tc>
          <w:tcPr>
            <w:tcW w:w="1375" w:type="dxa"/>
            <w:vMerge/>
            <w:tcBorders>
              <w:left w:val="single" w:sz="4" w:space="0" w:color="auto"/>
              <w:right w:val="single" w:sz="4" w:space="0" w:color="auto"/>
            </w:tcBorders>
          </w:tcPr>
          <w:p w14:paraId="0E35E4F8"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49DBC82" w14:textId="77777777" w:rsidR="00400C4E" w:rsidRPr="004C1386" w:rsidRDefault="00400C4E" w:rsidP="00234411">
            <w:pPr>
              <w:widowControl/>
              <w:ind w:leftChars="-732" w:left="-1537"/>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　　　　　　　　　　警察施設</w:t>
            </w:r>
          </w:p>
        </w:tc>
        <w:tc>
          <w:tcPr>
            <w:tcW w:w="1417" w:type="dxa"/>
            <w:tcBorders>
              <w:top w:val="nil"/>
              <w:left w:val="nil"/>
              <w:bottom w:val="single" w:sz="4" w:space="0" w:color="auto"/>
              <w:right w:val="single" w:sz="4" w:space="0" w:color="auto"/>
            </w:tcBorders>
            <w:shd w:val="clear" w:color="auto" w:fill="auto"/>
            <w:noWrap/>
            <w:vAlign w:val="center"/>
            <w:hideMark/>
          </w:tcPr>
          <w:p w14:paraId="7255ACD4" w14:textId="0DCF8036" w:rsidR="00400C4E" w:rsidRPr="004C1386" w:rsidRDefault="0013226C"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788</w:t>
            </w:r>
            <w:r w:rsidR="00400C4E" w:rsidRPr="004C1386">
              <w:rPr>
                <w:rFonts w:ascii="ＭＳ Ｐゴシック" w:eastAsia="ＭＳ Ｐゴシック" w:hAnsi="ＭＳ Ｐゴシック" w:cs="ＭＳ Ｐゴシック" w:hint="eastAsia"/>
                <w:kern w:val="0"/>
                <w:sz w:val="22"/>
              </w:rPr>
              <w:t xml:space="preserve"> </w:t>
            </w:r>
          </w:p>
        </w:tc>
        <w:tc>
          <w:tcPr>
            <w:tcW w:w="1418" w:type="dxa"/>
            <w:tcBorders>
              <w:top w:val="single" w:sz="4" w:space="0" w:color="auto"/>
              <w:left w:val="nil"/>
              <w:bottom w:val="single" w:sz="4" w:space="0" w:color="auto"/>
              <w:right w:val="single" w:sz="4" w:space="0" w:color="auto"/>
            </w:tcBorders>
          </w:tcPr>
          <w:p w14:paraId="5BD4268B" w14:textId="00A53D93" w:rsidR="00400C4E" w:rsidRPr="004C1386" w:rsidRDefault="007C4E9A"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rPr>
              <w:t>45</w:t>
            </w:r>
            <w:r w:rsidR="00400C4E" w:rsidRPr="004C1386">
              <w:rPr>
                <w:rFonts w:ascii="ＭＳ Ｐゴシック" w:eastAsia="ＭＳ Ｐゴシック" w:hAnsi="ＭＳ Ｐゴシック"/>
              </w:rPr>
              <w:t>%</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74D78121" w14:textId="1B095BD0" w:rsidR="00400C4E" w:rsidRPr="004C1386" w:rsidRDefault="0013226C" w:rsidP="0013226C">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686,668</w:t>
            </w:r>
          </w:p>
        </w:tc>
        <w:tc>
          <w:tcPr>
            <w:tcW w:w="1772" w:type="dxa"/>
            <w:tcBorders>
              <w:top w:val="nil"/>
              <w:left w:val="nil"/>
              <w:bottom w:val="single" w:sz="4" w:space="0" w:color="auto"/>
              <w:right w:val="single" w:sz="4" w:space="0" w:color="auto"/>
            </w:tcBorders>
          </w:tcPr>
          <w:p w14:paraId="0A81B8A4" w14:textId="1EDD6125" w:rsidR="00400C4E" w:rsidRPr="004C1386" w:rsidRDefault="00400C4E" w:rsidP="00234411">
            <w:pPr>
              <w:widowControl/>
              <w:ind w:rightChars="20" w:right="42"/>
              <w:jc w:val="right"/>
              <w:rPr>
                <w:rFonts w:ascii="ＭＳ Ｐゴシック" w:eastAsia="ＭＳ Ｐゴシック" w:hAnsi="ＭＳ Ｐゴシック"/>
              </w:rPr>
            </w:pPr>
            <w:r w:rsidRPr="004C1386">
              <w:rPr>
                <w:rFonts w:ascii="ＭＳ Ｐゴシック" w:eastAsia="ＭＳ Ｐゴシック" w:hAnsi="ＭＳ Ｐゴシック" w:cs="ＭＳ Ｐゴシック" w:hint="eastAsia"/>
                <w:kern w:val="0"/>
                <w:sz w:val="22"/>
              </w:rPr>
              <w:t>5</w:t>
            </w:r>
            <w:r w:rsidR="008345B9" w:rsidRPr="004C1386">
              <w:rPr>
                <w:rFonts w:ascii="ＭＳ Ｐゴシック" w:eastAsia="ＭＳ Ｐゴシック" w:hAnsi="ＭＳ Ｐゴシック" w:cs="ＭＳ Ｐゴシック" w:hint="eastAsia"/>
                <w:kern w:val="0"/>
                <w:sz w:val="22"/>
              </w:rPr>
              <w:t>%</w:t>
            </w:r>
          </w:p>
        </w:tc>
      </w:tr>
      <w:tr w:rsidR="004C1386" w:rsidRPr="004C1386" w14:paraId="36DE8F60" w14:textId="77777777" w:rsidTr="00FB183A">
        <w:trPr>
          <w:trHeight w:val="373"/>
        </w:trPr>
        <w:tc>
          <w:tcPr>
            <w:tcW w:w="1375" w:type="dxa"/>
            <w:vMerge/>
            <w:tcBorders>
              <w:left w:val="single" w:sz="4" w:space="0" w:color="auto"/>
              <w:bottom w:val="single" w:sz="4" w:space="0" w:color="auto"/>
              <w:right w:val="single" w:sz="4" w:space="0" w:color="auto"/>
            </w:tcBorders>
            <w:vAlign w:val="center"/>
          </w:tcPr>
          <w:p w14:paraId="4D81A5FF"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1CA164F" w14:textId="72479DCC" w:rsidR="00400C4E" w:rsidRPr="004C1386" w:rsidRDefault="00400C4E" w:rsidP="002B11DF">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学校</w:t>
            </w:r>
          </w:p>
        </w:tc>
        <w:tc>
          <w:tcPr>
            <w:tcW w:w="1417" w:type="dxa"/>
            <w:tcBorders>
              <w:top w:val="nil"/>
              <w:left w:val="nil"/>
              <w:bottom w:val="single" w:sz="4" w:space="0" w:color="auto"/>
              <w:right w:val="single" w:sz="4" w:space="0" w:color="auto"/>
            </w:tcBorders>
            <w:shd w:val="clear" w:color="auto" w:fill="auto"/>
            <w:noWrap/>
            <w:vAlign w:val="center"/>
            <w:hideMark/>
          </w:tcPr>
          <w:p w14:paraId="40C6930A"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172 </w:t>
            </w:r>
          </w:p>
        </w:tc>
        <w:tc>
          <w:tcPr>
            <w:tcW w:w="1418" w:type="dxa"/>
            <w:tcBorders>
              <w:top w:val="single" w:sz="4" w:space="0" w:color="auto"/>
              <w:left w:val="nil"/>
              <w:bottom w:val="single" w:sz="4" w:space="0" w:color="auto"/>
              <w:right w:val="single" w:sz="4" w:space="0" w:color="auto"/>
            </w:tcBorders>
          </w:tcPr>
          <w:p w14:paraId="1D03C546" w14:textId="4181DBE5" w:rsidR="00400C4E" w:rsidRPr="004C1386" w:rsidRDefault="007C4E9A"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rPr>
              <w:t>10</w:t>
            </w:r>
            <w:r w:rsidR="00400C4E" w:rsidRPr="004C1386">
              <w:rPr>
                <w:rFonts w:ascii="ＭＳ Ｐゴシック" w:eastAsia="ＭＳ Ｐゴシック" w:hAnsi="ＭＳ Ｐゴシック"/>
              </w:rPr>
              <w:t>%</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34B3C25B"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2,482,469 </w:t>
            </w:r>
          </w:p>
        </w:tc>
        <w:tc>
          <w:tcPr>
            <w:tcW w:w="1772" w:type="dxa"/>
            <w:tcBorders>
              <w:top w:val="nil"/>
              <w:left w:val="nil"/>
              <w:bottom w:val="single" w:sz="4" w:space="0" w:color="auto"/>
              <w:right w:val="single" w:sz="4" w:space="0" w:color="auto"/>
            </w:tcBorders>
            <w:vAlign w:val="center"/>
          </w:tcPr>
          <w:p w14:paraId="6F33F22D" w14:textId="43326779" w:rsidR="00400C4E" w:rsidRPr="004C1386" w:rsidRDefault="00400C4E" w:rsidP="007C4E9A">
            <w:pPr>
              <w:widowControl/>
              <w:ind w:rightChars="20" w:right="42"/>
              <w:jc w:val="right"/>
              <w:rPr>
                <w:rFonts w:ascii="ＭＳ Ｐゴシック" w:eastAsia="ＭＳ Ｐゴシック" w:hAnsi="ＭＳ Ｐゴシック"/>
              </w:rPr>
            </w:pPr>
            <w:r w:rsidRPr="004C1386">
              <w:rPr>
                <w:rFonts w:ascii="ＭＳ Ｐゴシック" w:eastAsia="ＭＳ Ｐゴシック" w:hAnsi="ＭＳ Ｐゴシック" w:cs="ＭＳ Ｐゴシック" w:hint="eastAsia"/>
                <w:kern w:val="0"/>
                <w:sz w:val="22"/>
              </w:rPr>
              <w:t>1</w:t>
            </w:r>
            <w:r w:rsidR="007C4E9A" w:rsidRPr="004C1386">
              <w:rPr>
                <w:rFonts w:ascii="ＭＳ Ｐゴシック" w:eastAsia="ＭＳ Ｐゴシック" w:hAnsi="ＭＳ Ｐゴシック" w:cs="ＭＳ Ｐゴシック" w:hint="eastAsia"/>
                <w:kern w:val="0"/>
                <w:sz w:val="22"/>
              </w:rPr>
              <w:t>9</w:t>
            </w:r>
            <w:r w:rsidR="008345B9" w:rsidRPr="004C1386">
              <w:rPr>
                <w:rFonts w:ascii="ＭＳ Ｐゴシック" w:eastAsia="ＭＳ Ｐゴシック" w:hAnsi="ＭＳ Ｐゴシック" w:cs="ＭＳ Ｐゴシック" w:hint="eastAsia"/>
                <w:kern w:val="0"/>
                <w:sz w:val="22"/>
              </w:rPr>
              <w:t>%</w:t>
            </w:r>
          </w:p>
        </w:tc>
      </w:tr>
      <w:tr w:rsidR="004C1386" w:rsidRPr="004C1386" w14:paraId="62394DF6" w14:textId="77777777" w:rsidTr="00FB183A">
        <w:trPr>
          <w:trHeight w:val="265"/>
        </w:trPr>
        <w:tc>
          <w:tcPr>
            <w:tcW w:w="1375" w:type="dxa"/>
            <w:tcBorders>
              <w:top w:val="nil"/>
              <w:left w:val="single" w:sz="4" w:space="0" w:color="auto"/>
              <w:bottom w:val="single" w:sz="4" w:space="0" w:color="auto"/>
              <w:right w:val="single" w:sz="4" w:space="0" w:color="auto"/>
            </w:tcBorders>
          </w:tcPr>
          <w:p w14:paraId="132F266D"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特別会計</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2E1E131" w14:textId="3E8C8975" w:rsidR="00400C4E" w:rsidRPr="004C1386" w:rsidRDefault="003C4AA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府</w:t>
            </w:r>
            <w:r w:rsidR="00400C4E" w:rsidRPr="004C1386">
              <w:rPr>
                <w:rFonts w:ascii="ＭＳ Ｐゴシック" w:eastAsia="ＭＳ Ｐゴシック" w:hAnsi="ＭＳ Ｐゴシック" w:cs="ＭＳ Ｐゴシック" w:hint="eastAsia"/>
                <w:kern w:val="0"/>
                <w:sz w:val="22"/>
              </w:rPr>
              <w:t>営住宅</w:t>
            </w:r>
          </w:p>
        </w:tc>
        <w:tc>
          <w:tcPr>
            <w:tcW w:w="1417" w:type="dxa"/>
            <w:tcBorders>
              <w:top w:val="nil"/>
              <w:left w:val="nil"/>
              <w:bottom w:val="single" w:sz="4" w:space="0" w:color="auto"/>
              <w:right w:val="single" w:sz="4" w:space="0" w:color="auto"/>
            </w:tcBorders>
            <w:shd w:val="clear" w:color="auto" w:fill="auto"/>
            <w:noWrap/>
            <w:vAlign w:val="center"/>
            <w:hideMark/>
          </w:tcPr>
          <w:p w14:paraId="7E88D41D" w14:textId="75C371F7" w:rsidR="00400C4E" w:rsidRPr="004C1386" w:rsidRDefault="00400C4E" w:rsidP="007C4E9A">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3</w:t>
            </w:r>
            <w:r w:rsidR="007C4E9A" w:rsidRPr="004C1386">
              <w:rPr>
                <w:rFonts w:ascii="ＭＳ Ｐゴシック" w:eastAsia="ＭＳ Ｐゴシック" w:hAnsi="ＭＳ Ｐゴシック" w:cs="ＭＳ Ｐゴシック" w:hint="eastAsia"/>
                <w:kern w:val="0"/>
                <w:sz w:val="22"/>
              </w:rPr>
              <w:t>09</w:t>
            </w:r>
            <w:r w:rsidRPr="004C1386">
              <w:rPr>
                <w:rFonts w:ascii="ＭＳ Ｐゴシック" w:eastAsia="ＭＳ Ｐゴシック" w:hAnsi="ＭＳ Ｐゴシック" w:cs="ＭＳ Ｐゴシック" w:hint="eastAsia"/>
                <w:kern w:val="0"/>
                <w:sz w:val="22"/>
              </w:rPr>
              <w:t xml:space="preserve"> </w:t>
            </w:r>
          </w:p>
        </w:tc>
        <w:tc>
          <w:tcPr>
            <w:tcW w:w="1418" w:type="dxa"/>
            <w:tcBorders>
              <w:top w:val="single" w:sz="4" w:space="0" w:color="auto"/>
              <w:left w:val="nil"/>
              <w:bottom w:val="single" w:sz="4" w:space="0" w:color="auto"/>
              <w:right w:val="single" w:sz="4" w:space="0" w:color="auto"/>
            </w:tcBorders>
          </w:tcPr>
          <w:p w14:paraId="623E4908" w14:textId="31E337CA" w:rsidR="00400C4E" w:rsidRPr="004C1386" w:rsidRDefault="007C4E9A"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rPr>
              <w:t>18</w:t>
            </w:r>
            <w:r w:rsidR="00400C4E" w:rsidRPr="004C1386">
              <w:rPr>
                <w:rFonts w:ascii="ＭＳ Ｐゴシック" w:eastAsia="ＭＳ Ｐゴシック" w:hAnsi="ＭＳ Ｐゴシック"/>
              </w:rPr>
              <w:t>%</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0A849259" w14:textId="571F919B" w:rsidR="00400C4E" w:rsidRPr="004C1386" w:rsidRDefault="007C4E9A"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8,343,289</w:t>
            </w:r>
          </w:p>
        </w:tc>
        <w:tc>
          <w:tcPr>
            <w:tcW w:w="1772" w:type="dxa"/>
            <w:tcBorders>
              <w:top w:val="nil"/>
              <w:left w:val="nil"/>
              <w:bottom w:val="single" w:sz="4" w:space="0" w:color="auto"/>
              <w:right w:val="single" w:sz="4" w:space="0" w:color="auto"/>
            </w:tcBorders>
          </w:tcPr>
          <w:p w14:paraId="1AEF1D07" w14:textId="7431F63B" w:rsidR="00400C4E" w:rsidRPr="004C1386" w:rsidRDefault="008345B9" w:rsidP="007C4E9A">
            <w:pPr>
              <w:widowControl/>
              <w:ind w:rightChars="20" w:right="42"/>
              <w:jc w:val="right"/>
              <w:rPr>
                <w:rFonts w:ascii="ＭＳ Ｐゴシック" w:eastAsia="ＭＳ Ｐゴシック" w:hAnsi="ＭＳ Ｐゴシック"/>
              </w:rPr>
            </w:pPr>
            <w:r w:rsidRPr="004C1386">
              <w:rPr>
                <w:rFonts w:ascii="ＭＳ Ｐゴシック" w:eastAsia="ＭＳ Ｐゴシック" w:hAnsi="ＭＳ Ｐゴシック" w:cs="ＭＳ Ｐゴシック" w:hint="eastAsia"/>
                <w:kern w:val="0"/>
                <w:sz w:val="22"/>
              </w:rPr>
              <w:t>6</w:t>
            </w:r>
            <w:r w:rsidR="007C4E9A" w:rsidRPr="004C1386">
              <w:rPr>
                <w:rFonts w:ascii="ＭＳ Ｐゴシック" w:eastAsia="ＭＳ Ｐゴシック" w:hAnsi="ＭＳ Ｐゴシック" w:cs="ＭＳ Ｐゴシック" w:hint="eastAsia"/>
                <w:kern w:val="0"/>
                <w:sz w:val="22"/>
              </w:rPr>
              <w:t>3</w:t>
            </w:r>
            <w:r w:rsidRPr="004C1386">
              <w:rPr>
                <w:rFonts w:ascii="ＭＳ Ｐゴシック" w:eastAsia="ＭＳ Ｐゴシック" w:hAnsi="ＭＳ Ｐゴシック" w:cs="ＭＳ Ｐゴシック" w:hint="eastAsia"/>
                <w:kern w:val="0"/>
                <w:sz w:val="22"/>
              </w:rPr>
              <w:t>%</w:t>
            </w:r>
          </w:p>
        </w:tc>
      </w:tr>
      <w:tr w:rsidR="004C1386" w:rsidRPr="004C1386" w14:paraId="087E3E19" w14:textId="77777777" w:rsidTr="00FB183A">
        <w:trPr>
          <w:trHeight w:val="395"/>
        </w:trPr>
        <w:tc>
          <w:tcPr>
            <w:tcW w:w="1375" w:type="dxa"/>
            <w:tcBorders>
              <w:top w:val="nil"/>
              <w:left w:val="single" w:sz="4" w:space="0" w:color="auto"/>
              <w:bottom w:val="single" w:sz="4" w:space="0" w:color="auto"/>
              <w:right w:val="single" w:sz="4" w:space="0" w:color="auto"/>
            </w:tcBorders>
            <w:vAlign w:val="center"/>
          </w:tcPr>
          <w:p w14:paraId="5474D84E" w14:textId="61907B48" w:rsidR="008345B9" w:rsidRPr="004C1386" w:rsidRDefault="008345B9"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企業会計</w:t>
            </w:r>
          </w:p>
        </w:tc>
        <w:tc>
          <w:tcPr>
            <w:tcW w:w="1559" w:type="dxa"/>
            <w:tcBorders>
              <w:top w:val="nil"/>
              <w:left w:val="single" w:sz="4" w:space="0" w:color="auto"/>
              <w:bottom w:val="single" w:sz="4" w:space="0" w:color="auto"/>
              <w:right w:val="single" w:sz="4" w:space="0" w:color="auto"/>
            </w:tcBorders>
            <w:shd w:val="clear" w:color="auto" w:fill="auto"/>
            <w:noWrap/>
            <w:vAlign w:val="center"/>
          </w:tcPr>
          <w:p w14:paraId="219B1775" w14:textId="440DCF6F" w:rsidR="008345B9" w:rsidRPr="004C1386" w:rsidRDefault="008345B9"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市場施設</w:t>
            </w:r>
          </w:p>
        </w:tc>
        <w:tc>
          <w:tcPr>
            <w:tcW w:w="1417" w:type="dxa"/>
            <w:tcBorders>
              <w:top w:val="nil"/>
              <w:left w:val="nil"/>
              <w:bottom w:val="single" w:sz="4" w:space="0" w:color="auto"/>
              <w:right w:val="single" w:sz="4" w:space="0" w:color="auto"/>
            </w:tcBorders>
            <w:shd w:val="clear" w:color="auto" w:fill="auto"/>
            <w:noWrap/>
            <w:vAlign w:val="center"/>
          </w:tcPr>
          <w:p w14:paraId="55DFA54A" w14:textId="6090D786" w:rsidR="008345B9" w:rsidRPr="004C1386" w:rsidRDefault="008345B9"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w:t>
            </w:r>
          </w:p>
        </w:tc>
        <w:tc>
          <w:tcPr>
            <w:tcW w:w="1418" w:type="dxa"/>
            <w:tcBorders>
              <w:top w:val="single" w:sz="4" w:space="0" w:color="auto"/>
              <w:left w:val="nil"/>
              <w:bottom w:val="single" w:sz="4" w:space="0" w:color="auto"/>
              <w:right w:val="single" w:sz="4" w:space="0" w:color="auto"/>
            </w:tcBorders>
            <w:vAlign w:val="center"/>
          </w:tcPr>
          <w:p w14:paraId="7FD4F427" w14:textId="46FF7D81" w:rsidR="008345B9" w:rsidRPr="004C1386" w:rsidRDefault="008345B9"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0%</w:t>
            </w:r>
          </w:p>
        </w:tc>
        <w:tc>
          <w:tcPr>
            <w:tcW w:w="1914" w:type="dxa"/>
            <w:tcBorders>
              <w:top w:val="nil"/>
              <w:left w:val="single" w:sz="4" w:space="0" w:color="auto"/>
              <w:bottom w:val="single" w:sz="4" w:space="0" w:color="auto"/>
              <w:right w:val="single" w:sz="4" w:space="0" w:color="auto"/>
            </w:tcBorders>
            <w:shd w:val="clear" w:color="auto" w:fill="auto"/>
            <w:noWrap/>
            <w:vAlign w:val="center"/>
          </w:tcPr>
          <w:p w14:paraId="27A76811" w14:textId="758EC240" w:rsidR="008345B9" w:rsidRPr="004C1386" w:rsidRDefault="008345B9"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134,982</w:t>
            </w:r>
          </w:p>
        </w:tc>
        <w:tc>
          <w:tcPr>
            <w:tcW w:w="1772" w:type="dxa"/>
            <w:tcBorders>
              <w:top w:val="nil"/>
              <w:left w:val="nil"/>
              <w:bottom w:val="single" w:sz="4" w:space="0" w:color="auto"/>
              <w:right w:val="single" w:sz="4" w:space="0" w:color="auto"/>
            </w:tcBorders>
            <w:vAlign w:val="center"/>
          </w:tcPr>
          <w:p w14:paraId="5C501D3B" w14:textId="4B8BF553" w:rsidR="008345B9" w:rsidRPr="004C1386" w:rsidRDefault="008345B9" w:rsidP="00234411">
            <w:pPr>
              <w:widowControl/>
              <w:ind w:rightChars="20" w:right="42"/>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w:t>
            </w:r>
          </w:p>
        </w:tc>
      </w:tr>
      <w:tr w:rsidR="004C1386" w:rsidRPr="004C1386" w14:paraId="4F61072C" w14:textId="77777777" w:rsidTr="00FB183A">
        <w:trPr>
          <w:trHeight w:val="716"/>
        </w:trPr>
        <w:tc>
          <w:tcPr>
            <w:tcW w:w="1375" w:type="dxa"/>
            <w:tcBorders>
              <w:top w:val="nil"/>
              <w:left w:val="single" w:sz="4" w:space="0" w:color="auto"/>
              <w:bottom w:val="single" w:sz="4" w:space="0" w:color="auto"/>
              <w:right w:val="single" w:sz="4" w:space="0" w:color="auto"/>
            </w:tcBorders>
            <w:vAlign w:val="center"/>
          </w:tcPr>
          <w:p w14:paraId="4B70CDF4"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一般会計</w:t>
            </w:r>
          </w:p>
          <w:p w14:paraId="4199DF95"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特別会計</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47233E15"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その他</w:t>
            </w:r>
          </w:p>
        </w:tc>
        <w:tc>
          <w:tcPr>
            <w:tcW w:w="1417" w:type="dxa"/>
            <w:tcBorders>
              <w:top w:val="nil"/>
              <w:left w:val="nil"/>
              <w:bottom w:val="single" w:sz="4" w:space="0" w:color="auto"/>
              <w:right w:val="single" w:sz="4" w:space="0" w:color="auto"/>
            </w:tcBorders>
            <w:shd w:val="clear" w:color="auto" w:fill="auto"/>
            <w:noWrap/>
            <w:vAlign w:val="center"/>
            <w:hideMark/>
          </w:tcPr>
          <w:p w14:paraId="2E117523" w14:textId="72467DEA" w:rsidR="00400C4E" w:rsidRPr="004C1386" w:rsidRDefault="0013226C"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482</w:t>
            </w:r>
            <w:r w:rsidR="00400C4E" w:rsidRPr="004C1386">
              <w:rPr>
                <w:rFonts w:ascii="ＭＳ Ｐゴシック" w:eastAsia="ＭＳ Ｐゴシック" w:hAnsi="ＭＳ Ｐゴシック" w:cs="ＭＳ Ｐゴシック" w:hint="eastAsia"/>
                <w:kern w:val="0"/>
                <w:sz w:val="22"/>
              </w:rPr>
              <w:t xml:space="preserve"> </w:t>
            </w:r>
          </w:p>
        </w:tc>
        <w:tc>
          <w:tcPr>
            <w:tcW w:w="1418" w:type="dxa"/>
            <w:tcBorders>
              <w:top w:val="single" w:sz="4" w:space="0" w:color="auto"/>
              <w:left w:val="nil"/>
              <w:bottom w:val="single" w:sz="4" w:space="0" w:color="auto"/>
              <w:right w:val="single" w:sz="4" w:space="0" w:color="auto"/>
            </w:tcBorders>
            <w:vAlign w:val="center"/>
          </w:tcPr>
          <w:p w14:paraId="6EC77A75"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27%</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75B1C3ED" w14:textId="4BD9790A" w:rsidR="00400C4E" w:rsidRPr="004C1386" w:rsidRDefault="0013226C"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1,321,643</w:t>
            </w:r>
          </w:p>
        </w:tc>
        <w:tc>
          <w:tcPr>
            <w:tcW w:w="1772" w:type="dxa"/>
            <w:tcBorders>
              <w:top w:val="nil"/>
              <w:left w:val="nil"/>
              <w:bottom w:val="single" w:sz="4" w:space="0" w:color="auto"/>
              <w:right w:val="single" w:sz="4" w:space="0" w:color="auto"/>
            </w:tcBorders>
            <w:vAlign w:val="center"/>
          </w:tcPr>
          <w:p w14:paraId="3FB64AD1" w14:textId="0F73727F" w:rsidR="00400C4E" w:rsidRPr="004C1386" w:rsidRDefault="007C4E9A" w:rsidP="00234411">
            <w:pPr>
              <w:widowControl/>
              <w:ind w:rightChars="20" w:right="42"/>
              <w:jc w:val="right"/>
              <w:rPr>
                <w:rFonts w:ascii="ＭＳ Ｐゴシック" w:eastAsia="ＭＳ Ｐゴシック" w:hAnsi="ＭＳ Ｐゴシック"/>
              </w:rPr>
            </w:pPr>
            <w:r w:rsidRPr="004C1386">
              <w:rPr>
                <w:rFonts w:ascii="ＭＳ Ｐゴシック" w:eastAsia="ＭＳ Ｐゴシック" w:hAnsi="ＭＳ Ｐゴシック" w:cs="ＭＳ Ｐゴシック" w:hint="eastAsia"/>
                <w:kern w:val="0"/>
                <w:sz w:val="22"/>
              </w:rPr>
              <w:t>10</w:t>
            </w:r>
            <w:r w:rsidR="008345B9" w:rsidRPr="004C1386">
              <w:rPr>
                <w:rFonts w:ascii="ＭＳ Ｐゴシック" w:eastAsia="ＭＳ Ｐゴシック" w:hAnsi="ＭＳ Ｐゴシック" w:cs="ＭＳ Ｐゴシック" w:hint="eastAsia"/>
                <w:kern w:val="0"/>
                <w:sz w:val="22"/>
              </w:rPr>
              <w:t>%</w:t>
            </w:r>
          </w:p>
        </w:tc>
      </w:tr>
      <w:tr w:rsidR="004C1386" w:rsidRPr="004C1386" w14:paraId="67FAD781" w14:textId="77777777" w:rsidTr="00FB183A">
        <w:trPr>
          <w:trHeight w:val="265"/>
        </w:trPr>
        <w:tc>
          <w:tcPr>
            <w:tcW w:w="1375" w:type="dxa"/>
            <w:tcBorders>
              <w:top w:val="single" w:sz="4" w:space="0" w:color="auto"/>
              <w:left w:val="single" w:sz="4" w:space="0" w:color="auto"/>
              <w:bottom w:val="single" w:sz="4" w:space="0" w:color="auto"/>
              <w:right w:val="single" w:sz="4" w:space="0" w:color="auto"/>
            </w:tcBorders>
          </w:tcPr>
          <w:p w14:paraId="585CF541"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9A964" w14:textId="77777777" w:rsidR="00400C4E" w:rsidRPr="004C1386" w:rsidRDefault="00400C4E" w:rsidP="00234411">
            <w:pPr>
              <w:widowControl/>
              <w:jc w:val="center"/>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合計</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C240E96" w14:textId="20AA03B0" w:rsidR="00400C4E" w:rsidRPr="004C1386" w:rsidRDefault="007C4E9A" w:rsidP="007C4E9A">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1,761</w:t>
            </w:r>
            <w:r w:rsidR="00400C4E" w:rsidRPr="004C1386">
              <w:rPr>
                <w:rFonts w:ascii="ＭＳ Ｐゴシック" w:eastAsia="ＭＳ Ｐゴシック" w:hAnsi="ＭＳ Ｐゴシック" w:cs="ＭＳ Ｐゴシック" w:hint="eastAsia"/>
                <w:kern w:val="0"/>
                <w:sz w:val="22"/>
              </w:rPr>
              <w:t xml:space="preserve"> </w:t>
            </w:r>
          </w:p>
        </w:tc>
        <w:tc>
          <w:tcPr>
            <w:tcW w:w="1418" w:type="dxa"/>
            <w:tcBorders>
              <w:top w:val="single" w:sz="4" w:space="0" w:color="auto"/>
              <w:left w:val="nil"/>
              <w:bottom w:val="single" w:sz="4" w:space="0" w:color="auto"/>
              <w:right w:val="single" w:sz="4" w:space="0" w:color="auto"/>
            </w:tcBorders>
          </w:tcPr>
          <w:p w14:paraId="2E505F3F" w14:textId="77777777" w:rsidR="00400C4E" w:rsidRPr="004C1386" w:rsidRDefault="00400C4E"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100%</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2AF31" w14:textId="6D82BE3C" w:rsidR="00400C4E" w:rsidRPr="004C1386" w:rsidRDefault="007C4E9A" w:rsidP="00234411">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13,222,824</w:t>
            </w:r>
            <w:r w:rsidR="00400C4E" w:rsidRPr="004C1386">
              <w:rPr>
                <w:rFonts w:ascii="ＭＳ Ｐゴシック" w:eastAsia="ＭＳ Ｐゴシック" w:hAnsi="ＭＳ Ｐゴシック" w:cs="ＭＳ Ｐゴシック" w:hint="eastAsia"/>
                <w:kern w:val="0"/>
                <w:sz w:val="22"/>
              </w:rPr>
              <w:t xml:space="preserve"> </w:t>
            </w:r>
          </w:p>
        </w:tc>
        <w:tc>
          <w:tcPr>
            <w:tcW w:w="1772" w:type="dxa"/>
            <w:tcBorders>
              <w:top w:val="single" w:sz="4" w:space="0" w:color="auto"/>
              <w:left w:val="nil"/>
              <w:bottom w:val="single" w:sz="4" w:space="0" w:color="auto"/>
              <w:right w:val="single" w:sz="4" w:space="0" w:color="auto"/>
            </w:tcBorders>
          </w:tcPr>
          <w:p w14:paraId="50E7CEF1" w14:textId="26F89F75" w:rsidR="00400C4E" w:rsidRPr="004C1386" w:rsidRDefault="00400C4E" w:rsidP="00234411">
            <w:pPr>
              <w:widowControl/>
              <w:ind w:rightChars="20" w:right="42"/>
              <w:jc w:val="right"/>
              <w:rPr>
                <w:rFonts w:ascii="ＭＳ Ｐゴシック" w:eastAsia="ＭＳ Ｐゴシック" w:hAnsi="ＭＳ Ｐゴシック"/>
              </w:rPr>
            </w:pPr>
            <w:r w:rsidRPr="004C1386">
              <w:rPr>
                <w:rFonts w:ascii="ＭＳ Ｐゴシック" w:eastAsia="ＭＳ Ｐゴシック" w:hAnsi="ＭＳ Ｐゴシック" w:cs="ＭＳ Ｐゴシック" w:hint="eastAsia"/>
                <w:kern w:val="0"/>
                <w:sz w:val="22"/>
              </w:rPr>
              <w:t>100</w:t>
            </w:r>
            <w:r w:rsidR="008345B9" w:rsidRPr="004C1386">
              <w:rPr>
                <w:rFonts w:ascii="ＭＳ Ｐゴシック" w:eastAsia="ＭＳ Ｐゴシック" w:hAnsi="ＭＳ Ｐゴシック" w:cs="ＭＳ Ｐゴシック" w:hint="eastAsia"/>
                <w:kern w:val="0"/>
                <w:sz w:val="22"/>
              </w:rPr>
              <w:t>%</w:t>
            </w:r>
          </w:p>
        </w:tc>
      </w:tr>
    </w:tbl>
    <w:p w14:paraId="2E7E3049" w14:textId="77777777" w:rsidR="00520FC7" w:rsidRPr="004C1386" w:rsidRDefault="004A17C2" w:rsidP="00FE12CB">
      <w:pPr>
        <w:pStyle w:val="a8"/>
        <w:numPr>
          <w:ilvl w:val="0"/>
          <w:numId w:val="28"/>
        </w:numPr>
        <w:spacing w:line="280" w:lineRule="exact"/>
        <w:ind w:leftChars="0" w:left="357"/>
        <w:rPr>
          <w:rFonts w:ascii="ＭＳ ゴシック" w:eastAsia="ＭＳ ゴシック" w:hAnsi="ＭＳ ゴシック"/>
          <w:sz w:val="18"/>
          <w:szCs w:val="18"/>
        </w:rPr>
      </w:pPr>
      <w:r w:rsidRPr="004C1386">
        <w:rPr>
          <w:rFonts w:ascii="ＭＳ ゴシック" w:eastAsia="ＭＳ ゴシック" w:hAnsi="ＭＳ ゴシック" w:hint="eastAsia"/>
          <w:sz w:val="18"/>
          <w:szCs w:val="18"/>
        </w:rPr>
        <w:t>主な例：</w:t>
      </w:r>
      <w:r w:rsidR="00D973A3" w:rsidRPr="004C1386">
        <w:rPr>
          <w:rFonts w:ascii="ＭＳ ゴシック" w:eastAsia="ＭＳ ゴシック" w:hAnsi="ＭＳ ゴシック" w:hint="eastAsia"/>
          <w:sz w:val="18"/>
          <w:szCs w:val="18"/>
        </w:rPr>
        <w:t>公の施設（</w:t>
      </w:r>
      <w:r w:rsidR="002E4C70" w:rsidRPr="004C1386">
        <w:rPr>
          <w:rFonts w:ascii="ＭＳ ゴシック" w:eastAsia="ＭＳ ゴシック" w:hAnsi="ＭＳ ゴシック" w:hint="eastAsia"/>
          <w:sz w:val="18"/>
          <w:szCs w:val="18"/>
        </w:rPr>
        <w:t>国際会議場</w:t>
      </w:r>
      <w:r w:rsidR="009E08FA" w:rsidRPr="004C1386">
        <w:rPr>
          <w:rFonts w:ascii="ＭＳ ゴシック" w:eastAsia="ＭＳ ゴシック" w:hAnsi="ＭＳ ゴシック" w:hint="eastAsia"/>
          <w:sz w:val="18"/>
          <w:szCs w:val="18"/>
        </w:rPr>
        <w:t>、砂川厚生福祉センター、</w:t>
      </w:r>
      <w:r w:rsidR="00520FC7" w:rsidRPr="004C1386">
        <w:rPr>
          <w:rFonts w:ascii="ＭＳ ゴシック" w:eastAsia="ＭＳ ゴシック" w:hAnsi="ＭＳ ゴシック" w:hint="eastAsia"/>
          <w:sz w:val="18"/>
          <w:szCs w:val="18"/>
        </w:rPr>
        <w:t>高等職業技術専門校</w:t>
      </w:r>
      <w:r w:rsidR="009E08FA" w:rsidRPr="004C1386">
        <w:rPr>
          <w:rFonts w:ascii="ＭＳ ゴシック" w:eastAsia="ＭＳ ゴシック" w:hAnsi="ＭＳ ゴシック" w:hint="eastAsia"/>
          <w:sz w:val="18"/>
          <w:szCs w:val="18"/>
        </w:rPr>
        <w:t>、花の文化園、</w:t>
      </w:r>
      <w:r w:rsidR="00130AB7" w:rsidRPr="004C1386">
        <w:rPr>
          <w:rFonts w:ascii="ＭＳ ゴシック" w:eastAsia="ＭＳ ゴシック" w:hAnsi="ＭＳ ゴシック" w:hint="eastAsia"/>
          <w:sz w:val="18"/>
          <w:szCs w:val="18"/>
        </w:rPr>
        <w:t>狭山池博物館、</w:t>
      </w:r>
    </w:p>
    <w:p w14:paraId="60CD8765" w14:textId="431CBE79" w:rsidR="00991262" w:rsidRPr="004C1386" w:rsidRDefault="009E08FA" w:rsidP="00FE12CB">
      <w:pPr>
        <w:pStyle w:val="a8"/>
        <w:spacing w:line="280" w:lineRule="exact"/>
        <w:ind w:leftChars="0" w:left="357" w:firstLineChars="400" w:firstLine="720"/>
        <w:rPr>
          <w:rFonts w:ascii="ＭＳ ゴシック" w:eastAsia="ＭＳ ゴシック" w:hAnsi="ＭＳ ゴシック"/>
          <w:sz w:val="18"/>
          <w:szCs w:val="18"/>
        </w:rPr>
      </w:pPr>
      <w:r w:rsidRPr="004C1386">
        <w:rPr>
          <w:rFonts w:ascii="ＭＳ ゴシック" w:eastAsia="ＭＳ ゴシック" w:hAnsi="ＭＳ ゴシック" w:hint="eastAsia"/>
          <w:sz w:val="18"/>
          <w:szCs w:val="18"/>
        </w:rPr>
        <w:t>中之島図書館</w:t>
      </w:r>
      <w:r w:rsidR="00AD4E84" w:rsidRPr="004C1386">
        <w:rPr>
          <w:rFonts w:ascii="ＭＳ ゴシック" w:eastAsia="ＭＳ ゴシック" w:hAnsi="ＭＳ ゴシック" w:hint="eastAsia"/>
          <w:sz w:val="18"/>
          <w:szCs w:val="18"/>
        </w:rPr>
        <w:t>等</w:t>
      </w:r>
      <w:r w:rsidR="00D973A3" w:rsidRPr="004C1386">
        <w:rPr>
          <w:rFonts w:ascii="ＭＳ ゴシック" w:eastAsia="ＭＳ ゴシック" w:hAnsi="ＭＳ ゴシック" w:hint="eastAsia"/>
          <w:sz w:val="18"/>
          <w:szCs w:val="18"/>
        </w:rPr>
        <w:t>）</w:t>
      </w:r>
      <w:r w:rsidR="00520FC7" w:rsidRPr="004C1386">
        <w:rPr>
          <w:rFonts w:ascii="ＭＳ ゴシック" w:eastAsia="ＭＳ ゴシック" w:hAnsi="ＭＳ ゴシック" w:hint="eastAsia"/>
          <w:sz w:val="18"/>
          <w:szCs w:val="18"/>
        </w:rPr>
        <w:t>及び</w:t>
      </w:r>
      <w:r w:rsidR="00AD4E84" w:rsidRPr="004C1386">
        <w:rPr>
          <w:rFonts w:ascii="ＭＳ ゴシック" w:eastAsia="ＭＳ ゴシック" w:hAnsi="ＭＳ ゴシック" w:hint="eastAsia"/>
          <w:sz w:val="18"/>
          <w:szCs w:val="18"/>
        </w:rPr>
        <w:t>本庁舎以外の行政機関</w:t>
      </w:r>
      <w:r w:rsidR="00222D63" w:rsidRPr="004C1386">
        <w:rPr>
          <w:rFonts w:ascii="ＭＳ ゴシック" w:eastAsia="ＭＳ ゴシック" w:hAnsi="ＭＳ ゴシック" w:hint="eastAsia"/>
          <w:sz w:val="18"/>
          <w:szCs w:val="18"/>
        </w:rPr>
        <w:t>（</w:t>
      </w:r>
      <w:r w:rsidR="00520FC7" w:rsidRPr="004C1386">
        <w:rPr>
          <w:rFonts w:ascii="ＭＳ ゴシック" w:eastAsia="ＭＳ ゴシック" w:hAnsi="ＭＳ ゴシック" w:hint="eastAsia"/>
          <w:sz w:val="18"/>
          <w:szCs w:val="18"/>
        </w:rPr>
        <w:t>広域防災拠点、</w:t>
      </w:r>
      <w:r w:rsidR="00222D63" w:rsidRPr="004C1386">
        <w:rPr>
          <w:rFonts w:ascii="ＭＳ ゴシック" w:eastAsia="ＭＳ ゴシック" w:hAnsi="ＭＳ ゴシック" w:hint="eastAsia"/>
          <w:sz w:val="18"/>
          <w:szCs w:val="18"/>
        </w:rPr>
        <w:t>府民センター、保健所等）等</w:t>
      </w:r>
    </w:p>
    <w:p w14:paraId="235261C9" w14:textId="36B86EE6" w:rsidR="00FB183A" w:rsidRDefault="00FB183A" w:rsidP="00FB183A">
      <w:pPr>
        <w:rPr>
          <w:rFonts w:ascii="ＭＳ ゴシック" w:eastAsia="ＭＳ ゴシック" w:hAnsi="ＭＳ ゴシック"/>
          <w:sz w:val="24"/>
          <w:szCs w:val="24"/>
        </w:rPr>
      </w:pPr>
    </w:p>
    <w:p w14:paraId="5C83509C" w14:textId="77777777" w:rsidR="00FB183A" w:rsidRPr="00FB183A" w:rsidRDefault="00FB183A" w:rsidP="00FB183A">
      <w:pPr>
        <w:rPr>
          <w:rFonts w:ascii="ＭＳ ゴシック" w:eastAsia="ＭＳ ゴシック" w:hAnsi="ＭＳ ゴシック"/>
          <w:sz w:val="24"/>
          <w:szCs w:val="24"/>
        </w:rPr>
      </w:pPr>
    </w:p>
    <w:p w14:paraId="1D7A2E70" w14:textId="7E7936BB" w:rsidR="002D4CC4" w:rsidRPr="00FB183A" w:rsidRDefault="00FB183A" w:rsidP="00FB183A">
      <w:pPr>
        <w:ind w:firstLineChars="200" w:firstLine="480"/>
        <w:rPr>
          <w:rFonts w:ascii="ＭＳ ゴシック" w:eastAsia="ＭＳ ゴシック" w:hAnsi="ＭＳ ゴシック"/>
          <w:sz w:val="24"/>
          <w:szCs w:val="24"/>
        </w:rPr>
      </w:pPr>
      <w:r w:rsidRPr="00FB183A">
        <w:rPr>
          <w:rFonts w:ascii="ＭＳ ゴシック" w:eastAsia="ＭＳ ゴシック" w:hAnsi="ＭＳ ゴシック" w:hint="eastAsia"/>
          <w:sz w:val="24"/>
          <w:szCs w:val="24"/>
        </w:rPr>
        <w:lastRenderedPageBreak/>
        <w:t xml:space="preserve">② </w:t>
      </w:r>
      <w:r w:rsidR="007A4711" w:rsidRPr="00FB183A">
        <w:rPr>
          <w:rFonts w:ascii="ＭＳ ゴシック" w:eastAsia="ＭＳ ゴシック" w:hAnsi="ＭＳ ゴシック" w:hint="eastAsia"/>
          <w:sz w:val="24"/>
          <w:szCs w:val="24"/>
        </w:rPr>
        <w:t>会計区分別</w:t>
      </w:r>
      <w:r w:rsidR="002D4CC4" w:rsidRPr="00FB183A">
        <w:rPr>
          <w:rFonts w:ascii="ＭＳ ゴシック" w:eastAsia="ＭＳ ゴシック" w:hAnsi="ＭＳ ゴシック" w:hint="eastAsia"/>
          <w:sz w:val="24"/>
          <w:szCs w:val="24"/>
        </w:rPr>
        <w:t xml:space="preserve">　</w:t>
      </w:r>
      <w:r w:rsidR="007A4711" w:rsidRPr="00FB183A">
        <w:rPr>
          <w:rFonts w:ascii="ＭＳ ゴシック" w:eastAsia="ＭＳ ゴシック" w:hAnsi="ＭＳ ゴシック" w:hint="eastAsia"/>
          <w:sz w:val="24"/>
          <w:szCs w:val="24"/>
        </w:rPr>
        <w:t>施設数及び延床面積</w:t>
      </w:r>
    </w:p>
    <w:p w14:paraId="536A0FF9" w14:textId="77777777" w:rsidR="00FB183A" w:rsidRDefault="006B2ABB" w:rsidP="00FB183A">
      <w:pPr>
        <w:adjustRightInd w:val="0"/>
        <w:ind w:leftChars="200" w:left="420" w:firstLineChars="100" w:firstLine="240"/>
        <w:rPr>
          <w:rFonts w:ascii="ＭＳ ゴシック" w:eastAsia="ＭＳ ゴシック" w:hAnsi="ＭＳ ゴシック"/>
          <w:sz w:val="24"/>
          <w:szCs w:val="24"/>
        </w:rPr>
      </w:pPr>
      <w:r w:rsidRPr="00FB183A">
        <w:rPr>
          <w:rFonts w:ascii="ＭＳ ゴシック" w:eastAsia="ＭＳ ゴシック" w:hAnsi="ＭＳ ゴシック" w:hint="eastAsia"/>
          <w:sz w:val="24"/>
          <w:szCs w:val="24"/>
        </w:rPr>
        <w:t>会計</w:t>
      </w:r>
      <w:r w:rsidR="00E64C12" w:rsidRPr="00FB183A">
        <w:rPr>
          <w:rFonts w:ascii="ＭＳ ゴシック" w:eastAsia="ＭＳ ゴシック" w:hAnsi="ＭＳ ゴシック" w:hint="eastAsia"/>
          <w:sz w:val="24"/>
          <w:szCs w:val="24"/>
        </w:rPr>
        <w:t>区分</w:t>
      </w:r>
      <w:r w:rsidRPr="00FB183A">
        <w:rPr>
          <w:rFonts w:ascii="ＭＳ ゴシック" w:eastAsia="ＭＳ ゴシック" w:hAnsi="ＭＳ ゴシック" w:hint="eastAsia"/>
          <w:sz w:val="24"/>
          <w:szCs w:val="24"/>
        </w:rPr>
        <w:t>別に見ると</w:t>
      </w:r>
      <w:r w:rsidR="007A4711" w:rsidRPr="00FB183A">
        <w:rPr>
          <w:rFonts w:ascii="ＭＳ ゴシック" w:eastAsia="ＭＳ ゴシック" w:hAnsi="ＭＳ ゴシック" w:hint="eastAsia"/>
          <w:sz w:val="24"/>
          <w:szCs w:val="24"/>
        </w:rPr>
        <w:t>、</w:t>
      </w:r>
      <w:r w:rsidR="00E64C12" w:rsidRPr="00FB183A">
        <w:rPr>
          <w:rFonts w:ascii="ＭＳ ゴシック" w:eastAsia="ＭＳ ゴシック" w:hAnsi="ＭＳ ゴシック" w:hint="eastAsia"/>
          <w:sz w:val="24"/>
          <w:szCs w:val="24"/>
        </w:rPr>
        <w:t>施設数、延床面積、いずれ</w:t>
      </w:r>
      <w:r w:rsidR="00251CE4" w:rsidRPr="00FB183A">
        <w:rPr>
          <w:rFonts w:ascii="ＭＳ ゴシック" w:eastAsia="ＭＳ ゴシック" w:hAnsi="ＭＳ ゴシック" w:hint="eastAsia"/>
          <w:sz w:val="24"/>
          <w:szCs w:val="24"/>
        </w:rPr>
        <w:t>で</w:t>
      </w:r>
      <w:r w:rsidR="00E64C12" w:rsidRPr="00FB183A">
        <w:rPr>
          <w:rFonts w:ascii="ＭＳ ゴシック" w:eastAsia="ＭＳ ゴシック" w:hAnsi="ＭＳ ゴシック" w:hint="eastAsia"/>
          <w:sz w:val="24"/>
          <w:szCs w:val="24"/>
        </w:rPr>
        <w:t>み</w:t>
      </w:r>
      <w:r w:rsidR="00251CE4" w:rsidRPr="00FB183A">
        <w:rPr>
          <w:rFonts w:ascii="ＭＳ ゴシック" w:eastAsia="ＭＳ ゴシック" w:hAnsi="ＭＳ ゴシック" w:hint="eastAsia"/>
          <w:sz w:val="24"/>
          <w:szCs w:val="24"/>
        </w:rPr>
        <w:t>ても、</w:t>
      </w:r>
      <w:r w:rsidR="00FB291A" w:rsidRPr="00FB183A">
        <w:rPr>
          <w:rFonts w:ascii="ＭＳ ゴシック" w:eastAsia="ＭＳ ゴシック" w:hAnsi="ＭＳ ゴシック" w:hint="eastAsia"/>
          <w:sz w:val="24"/>
          <w:szCs w:val="24"/>
        </w:rPr>
        <w:t>概ねほとんど</w:t>
      </w:r>
      <w:r w:rsidR="00251CE4" w:rsidRPr="00FB183A">
        <w:rPr>
          <w:rFonts w:ascii="ＭＳ ゴシック" w:eastAsia="ＭＳ ゴシック" w:hAnsi="ＭＳ ゴシック" w:hint="eastAsia"/>
          <w:sz w:val="24"/>
          <w:szCs w:val="24"/>
        </w:rPr>
        <w:t>の施設</w:t>
      </w:r>
      <w:r w:rsidR="00FB291A" w:rsidRPr="00FB183A">
        <w:rPr>
          <w:rFonts w:ascii="ＭＳ ゴシック" w:eastAsia="ＭＳ ゴシック" w:hAnsi="ＭＳ ゴシック" w:hint="eastAsia"/>
          <w:sz w:val="24"/>
          <w:szCs w:val="24"/>
        </w:rPr>
        <w:t>が一般会計、</w:t>
      </w:r>
      <w:r w:rsidR="00E52497" w:rsidRPr="00FB183A">
        <w:rPr>
          <w:rFonts w:ascii="ＭＳ ゴシック" w:eastAsia="ＭＳ ゴシック" w:hAnsi="ＭＳ ゴシック" w:hint="eastAsia"/>
          <w:sz w:val="24"/>
          <w:szCs w:val="24"/>
        </w:rPr>
        <w:t>大阪</w:t>
      </w:r>
      <w:r w:rsidR="00FB291A" w:rsidRPr="00FB183A">
        <w:rPr>
          <w:rFonts w:ascii="ＭＳ ゴシック" w:eastAsia="ＭＳ ゴシック" w:hAnsi="ＭＳ ゴシック" w:hint="eastAsia"/>
          <w:sz w:val="24"/>
          <w:szCs w:val="24"/>
        </w:rPr>
        <w:t>府営住宅事業特別会計に区分され</w:t>
      </w:r>
      <w:r w:rsidR="00251CE4" w:rsidRPr="00FB183A">
        <w:rPr>
          <w:rFonts w:ascii="ＭＳ ゴシック" w:eastAsia="ＭＳ ゴシック" w:hAnsi="ＭＳ ゴシック" w:hint="eastAsia"/>
          <w:sz w:val="24"/>
          <w:szCs w:val="24"/>
        </w:rPr>
        <w:t>ている状況</w:t>
      </w:r>
      <w:r w:rsidR="00E64C12" w:rsidRPr="00FB183A">
        <w:rPr>
          <w:rFonts w:ascii="ＭＳ ゴシック" w:eastAsia="ＭＳ ゴシック" w:hAnsi="ＭＳ ゴシック" w:hint="eastAsia"/>
          <w:sz w:val="24"/>
          <w:szCs w:val="24"/>
        </w:rPr>
        <w:t>である。</w:t>
      </w:r>
      <w:r w:rsidR="0044725D" w:rsidRPr="00FB183A">
        <w:rPr>
          <w:rFonts w:ascii="ＭＳ ゴシック" w:eastAsia="ＭＳ ゴシック" w:hAnsi="ＭＳ ゴシック" w:hint="eastAsia"/>
          <w:sz w:val="24"/>
          <w:szCs w:val="24"/>
        </w:rPr>
        <w:t>（</w:t>
      </w:r>
      <w:r w:rsidR="006921BF" w:rsidRPr="00FB183A">
        <w:rPr>
          <w:rFonts w:ascii="ＭＳ ゴシック" w:eastAsia="ＭＳ ゴシック" w:hAnsi="ＭＳ ゴシック" w:hint="eastAsia"/>
          <w:sz w:val="24"/>
          <w:szCs w:val="24"/>
        </w:rPr>
        <w:t>全体の</w:t>
      </w:r>
      <w:r w:rsidR="007D26CB" w:rsidRPr="00FB183A">
        <w:rPr>
          <w:rFonts w:ascii="ＭＳ ゴシック" w:eastAsia="ＭＳ ゴシック" w:hAnsi="ＭＳ ゴシック" w:hint="eastAsia"/>
          <w:sz w:val="24"/>
          <w:szCs w:val="24"/>
        </w:rPr>
        <w:t>９６</w:t>
      </w:r>
      <w:r w:rsidR="0044725D" w:rsidRPr="00FB183A">
        <w:rPr>
          <w:rFonts w:ascii="ＭＳ ゴシック" w:eastAsia="ＭＳ ゴシック" w:hAnsi="ＭＳ ゴシック" w:hint="eastAsia"/>
          <w:sz w:val="24"/>
          <w:szCs w:val="24"/>
        </w:rPr>
        <w:t>～</w:t>
      </w:r>
      <w:r w:rsidR="007D26CB" w:rsidRPr="00FB183A">
        <w:rPr>
          <w:rFonts w:ascii="ＭＳ ゴシック" w:eastAsia="ＭＳ ゴシック" w:hAnsi="ＭＳ ゴシック" w:hint="eastAsia"/>
          <w:sz w:val="24"/>
          <w:szCs w:val="24"/>
        </w:rPr>
        <w:t>９８</w:t>
      </w:r>
      <w:r w:rsidR="009C1975" w:rsidRPr="00FB183A">
        <w:rPr>
          <w:rFonts w:ascii="ＭＳ ゴシック" w:eastAsia="ＭＳ ゴシック" w:hAnsi="ＭＳ ゴシック" w:hint="eastAsia"/>
          <w:sz w:val="24"/>
          <w:szCs w:val="24"/>
        </w:rPr>
        <w:t>パーセント</w:t>
      </w:r>
      <w:r w:rsidR="0044725D" w:rsidRPr="00FB183A">
        <w:rPr>
          <w:rFonts w:ascii="ＭＳ ゴシック" w:eastAsia="ＭＳ ゴシック" w:hAnsi="ＭＳ ゴシック" w:hint="eastAsia"/>
          <w:sz w:val="24"/>
          <w:szCs w:val="24"/>
        </w:rPr>
        <w:t>）</w:t>
      </w:r>
    </w:p>
    <w:p w14:paraId="381957BB" w14:textId="262AE0C4" w:rsidR="00A12FA1" w:rsidRDefault="00137A7A" w:rsidP="00FB183A">
      <w:pPr>
        <w:adjustRightInd w:val="0"/>
        <w:ind w:leftChars="200" w:left="420"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①のデータと併せ、</w:t>
      </w:r>
      <w:r w:rsidR="00A12FA1" w:rsidRPr="004C1386">
        <w:rPr>
          <w:rFonts w:ascii="ＭＳ ゴシック" w:eastAsia="ＭＳ ゴシック" w:hAnsi="ＭＳ ゴシック" w:hint="eastAsia"/>
          <w:sz w:val="24"/>
          <w:szCs w:val="24"/>
        </w:rPr>
        <w:t>一般会計</w:t>
      </w:r>
      <w:r w:rsidRPr="004C1386">
        <w:rPr>
          <w:rFonts w:ascii="ＭＳ ゴシック" w:eastAsia="ＭＳ ゴシック" w:hAnsi="ＭＳ ゴシック" w:hint="eastAsia"/>
          <w:sz w:val="24"/>
          <w:szCs w:val="24"/>
        </w:rPr>
        <w:t>に属している</w:t>
      </w:r>
      <w:r w:rsidR="00A12FA1" w:rsidRPr="004C1386">
        <w:rPr>
          <w:rFonts w:ascii="ＭＳ ゴシック" w:eastAsia="ＭＳ ゴシック" w:hAnsi="ＭＳ ゴシック" w:hint="eastAsia"/>
          <w:sz w:val="24"/>
          <w:szCs w:val="24"/>
        </w:rPr>
        <w:t>主な施設は、学校、警察施設であ</w:t>
      </w:r>
      <w:r w:rsidR="00E64C12" w:rsidRPr="004C1386">
        <w:rPr>
          <w:rFonts w:ascii="ＭＳ ゴシック" w:eastAsia="ＭＳ ゴシック" w:hAnsi="ＭＳ ゴシック" w:hint="eastAsia"/>
          <w:sz w:val="24"/>
          <w:szCs w:val="24"/>
        </w:rPr>
        <w:t>る</w:t>
      </w:r>
      <w:r w:rsidRPr="004C1386">
        <w:rPr>
          <w:rFonts w:ascii="ＭＳ ゴシック" w:eastAsia="ＭＳ ゴシック" w:hAnsi="ＭＳ ゴシック" w:hint="eastAsia"/>
          <w:sz w:val="24"/>
          <w:szCs w:val="24"/>
        </w:rPr>
        <w:t>ことが確認できる</w:t>
      </w:r>
      <w:r w:rsidR="00E64C12" w:rsidRPr="004C1386">
        <w:rPr>
          <w:rFonts w:ascii="ＭＳ ゴシック" w:eastAsia="ＭＳ ゴシック" w:hAnsi="ＭＳ ゴシック" w:hint="eastAsia"/>
          <w:sz w:val="24"/>
          <w:szCs w:val="24"/>
        </w:rPr>
        <w:t>。</w:t>
      </w:r>
    </w:p>
    <w:p w14:paraId="55FD8D0D" w14:textId="77777777" w:rsidR="00FB183A" w:rsidRPr="004C1386" w:rsidRDefault="00FB183A" w:rsidP="00FB183A">
      <w:pPr>
        <w:adjustRightInd w:val="0"/>
        <w:ind w:leftChars="200" w:left="420" w:firstLineChars="100" w:firstLine="240"/>
        <w:rPr>
          <w:rFonts w:ascii="ＭＳ ゴシック" w:eastAsia="ＭＳ ゴシック" w:hAnsi="ＭＳ ゴシック"/>
          <w:sz w:val="24"/>
          <w:szCs w:val="24"/>
        </w:rPr>
      </w:pPr>
    </w:p>
    <w:p w14:paraId="55D6A5F1" w14:textId="67751032" w:rsidR="002D4CC4" w:rsidRPr="004C1386" w:rsidRDefault="00635989" w:rsidP="00AE2136">
      <w:pPr>
        <w:ind w:rightChars="27" w:right="57" w:firstLineChars="100" w:firstLine="210"/>
        <w:rPr>
          <w:rFonts w:ascii="ＭＳ ゴシック" w:eastAsia="ＭＳ ゴシック" w:hAnsi="ＭＳ ゴシック"/>
          <w:sz w:val="24"/>
          <w:szCs w:val="24"/>
        </w:rPr>
      </w:pPr>
      <w:r w:rsidRPr="004C1386">
        <w:rPr>
          <w:noProof/>
        </w:rPr>
        <w:drawing>
          <wp:inline distT="0" distB="0" distL="0" distR="0" wp14:anchorId="10FB2C81" wp14:editId="7FEDE12B">
            <wp:extent cx="2894400" cy="4467600"/>
            <wp:effectExtent l="0" t="0" r="1270" b="0"/>
            <wp:docPr id="17" name="グラフ 17" title="会計区分別施設数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C0123F" w:rsidRPr="004C1386">
        <w:rPr>
          <w:noProof/>
        </w:rPr>
        <w:drawing>
          <wp:inline distT="0" distB="0" distL="0" distR="0" wp14:anchorId="522F87B8" wp14:editId="7363661B">
            <wp:extent cx="2886075" cy="4467225"/>
            <wp:effectExtent l="0" t="0" r="0" b="0"/>
            <wp:docPr id="13" name="グラフ 13" title="会計区分別延床面積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3248E4F" w14:textId="77777777" w:rsidR="00F34930" w:rsidRDefault="00F34930" w:rsidP="00F34930">
      <w:pPr>
        <w:rPr>
          <w:rFonts w:asciiTheme="majorEastAsia" w:eastAsiaTheme="majorEastAsia" w:hAnsiTheme="majorEastAsia"/>
          <w:sz w:val="24"/>
          <w:szCs w:val="24"/>
        </w:rPr>
      </w:pPr>
    </w:p>
    <w:p w14:paraId="6024D180" w14:textId="15CD6190" w:rsidR="006A553C" w:rsidRPr="00F34930" w:rsidRDefault="007A4711" w:rsidP="00F34930">
      <w:pPr>
        <w:ind w:firstLineChars="100" w:firstLine="221"/>
        <w:rPr>
          <w:rFonts w:ascii="ＭＳ Ｐゴシック" w:eastAsia="ＭＳ Ｐゴシック" w:hAnsi="ＭＳ Ｐゴシック"/>
          <w:b/>
          <w:sz w:val="22"/>
        </w:rPr>
      </w:pPr>
      <w:r w:rsidRPr="00F34930">
        <w:rPr>
          <w:rFonts w:ascii="ＭＳ Ｐゴシック" w:eastAsia="ＭＳ Ｐゴシック" w:hAnsi="ＭＳ Ｐゴシック" w:hint="eastAsia"/>
          <w:b/>
          <w:sz w:val="22"/>
        </w:rPr>
        <w:t xml:space="preserve">【会計区分別　</w:t>
      </w:r>
      <w:r w:rsidR="009D4046" w:rsidRPr="00F34930">
        <w:rPr>
          <w:rFonts w:ascii="ＭＳ Ｐゴシック" w:eastAsia="ＭＳ Ｐゴシック" w:hAnsi="ＭＳ Ｐゴシック" w:hint="eastAsia"/>
          <w:b/>
          <w:sz w:val="22"/>
        </w:rPr>
        <w:t>施設数及び</w:t>
      </w:r>
      <w:r w:rsidRPr="00F34930">
        <w:rPr>
          <w:rFonts w:ascii="ＭＳ Ｐゴシック" w:eastAsia="ＭＳ Ｐゴシック" w:hAnsi="ＭＳ Ｐゴシック" w:hint="eastAsia"/>
          <w:b/>
          <w:sz w:val="22"/>
        </w:rPr>
        <w:t>延床面積】</w:t>
      </w:r>
    </w:p>
    <w:tbl>
      <w:tblPr>
        <w:tblpPr w:leftFromText="142" w:rightFromText="142" w:vertAnchor="text" w:horzAnchor="margin" w:tblpX="297" w:tblpY="131"/>
        <w:tblW w:w="9455" w:type="dxa"/>
        <w:tblLayout w:type="fixed"/>
        <w:tblCellMar>
          <w:left w:w="99" w:type="dxa"/>
          <w:right w:w="99" w:type="dxa"/>
        </w:tblCellMar>
        <w:tblLook w:val="04A0" w:firstRow="1" w:lastRow="0" w:firstColumn="1" w:lastColumn="0" w:noHBand="0" w:noVBand="1"/>
      </w:tblPr>
      <w:tblGrid>
        <w:gridCol w:w="3501"/>
        <w:gridCol w:w="1379"/>
        <w:gridCol w:w="1380"/>
        <w:gridCol w:w="1668"/>
        <w:gridCol w:w="1527"/>
      </w:tblGrid>
      <w:tr w:rsidR="004C1386" w:rsidRPr="004C1386" w14:paraId="18475348" w14:textId="77777777" w:rsidTr="00621ABE">
        <w:trPr>
          <w:trHeight w:val="273"/>
        </w:trPr>
        <w:tc>
          <w:tcPr>
            <w:tcW w:w="35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D0A5" w14:textId="77777777" w:rsidR="00400C4E" w:rsidRPr="004C1386" w:rsidRDefault="00400C4E" w:rsidP="00621ABE">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会計区分</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14:paraId="60BE27C0" w14:textId="77777777" w:rsidR="00400C4E" w:rsidRPr="004C1386" w:rsidRDefault="00400C4E" w:rsidP="00621ABE">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施設数</w:t>
            </w:r>
          </w:p>
        </w:tc>
        <w:tc>
          <w:tcPr>
            <w:tcW w:w="1380" w:type="dxa"/>
            <w:tcBorders>
              <w:top w:val="single" w:sz="4" w:space="0" w:color="auto"/>
              <w:left w:val="nil"/>
              <w:bottom w:val="single" w:sz="4" w:space="0" w:color="auto"/>
              <w:right w:val="single" w:sz="4" w:space="0" w:color="auto"/>
            </w:tcBorders>
            <w:vAlign w:val="center"/>
          </w:tcPr>
          <w:p w14:paraId="7A07DA78" w14:textId="77777777" w:rsidR="00400C4E" w:rsidRPr="004C1386" w:rsidRDefault="00400C4E" w:rsidP="00621ABE">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hint="eastAsia"/>
                <w:b/>
                <w:bCs/>
                <w:sz w:val="22"/>
              </w:rPr>
              <w:t>施設数割合</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5391D" w14:textId="77777777" w:rsidR="00400C4E" w:rsidRPr="004C1386" w:rsidRDefault="00400C4E" w:rsidP="00621ABE">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延床面積（㎡）</w:t>
            </w:r>
          </w:p>
        </w:tc>
        <w:tc>
          <w:tcPr>
            <w:tcW w:w="1527" w:type="dxa"/>
            <w:tcBorders>
              <w:top w:val="single" w:sz="4" w:space="0" w:color="auto"/>
              <w:bottom w:val="single" w:sz="4" w:space="0" w:color="auto"/>
              <w:right w:val="single" w:sz="4" w:space="0" w:color="auto"/>
            </w:tcBorders>
            <w:vAlign w:val="center"/>
          </w:tcPr>
          <w:p w14:paraId="527CC967" w14:textId="77777777" w:rsidR="00400C4E" w:rsidRPr="004C1386" w:rsidRDefault="00400C4E" w:rsidP="00621ABE">
            <w:pPr>
              <w:widowControl/>
              <w:jc w:val="center"/>
              <w:rPr>
                <w:rFonts w:ascii="ＭＳ Ｐゴシック" w:eastAsia="ＭＳ Ｐゴシック" w:hAnsi="ＭＳ Ｐゴシック"/>
              </w:rPr>
            </w:pPr>
            <w:r w:rsidRPr="004C1386">
              <w:rPr>
                <w:rFonts w:ascii="ＭＳ Ｐゴシック" w:eastAsia="ＭＳ Ｐゴシック" w:hAnsi="ＭＳ Ｐゴシック" w:hint="eastAsia"/>
                <w:b/>
                <w:bCs/>
                <w:sz w:val="22"/>
              </w:rPr>
              <w:t>延床面積割合</w:t>
            </w:r>
          </w:p>
        </w:tc>
      </w:tr>
      <w:tr w:rsidR="004C1386" w:rsidRPr="004C1386" w14:paraId="2F8B736C" w14:textId="77777777" w:rsidTr="00621ABE">
        <w:trPr>
          <w:trHeight w:val="273"/>
        </w:trPr>
        <w:tc>
          <w:tcPr>
            <w:tcW w:w="3501" w:type="dxa"/>
            <w:tcBorders>
              <w:top w:val="nil"/>
              <w:left w:val="single" w:sz="4" w:space="0" w:color="auto"/>
              <w:bottom w:val="single" w:sz="4" w:space="0" w:color="auto"/>
              <w:right w:val="single" w:sz="4" w:space="0" w:color="auto"/>
            </w:tcBorders>
            <w:shd w:val="clear" w:color="auto" w:fill="auto"/>
            <w:noWrap/>
            <w:vAlign w:val="center"/>
            <w:hideMark/>
          </w:tcPr>
          <w:p w14:paraId="0352A2FD" w14:textId="77777777" w:rsidR="00400C4E" w:rsidRPr="004C1386" w:rsidRDefault="00400C4E" w:rsidP="00621ABE">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一般会計</w:t>
            </w:r>
          </w:p>
        </w:tc>
        <w:tc>
          <w:tcPr>
            <w:tcW w:w="1379" w:type="dxa"/>
            <w:tcBorders>
              <w:top w:val="nil"/>
              <w:left w:val="nil"/>
              <w:bottom w:val="single" w:sz="4" w:space="0" w:color="auto"/>
              <w:right w:val="single" w:sz="4" w:space="0" w:color="auto"/>
            </w:tcBorders>
            <w:shd w:val="clear" w:color="auto" w:fill="auto"/>
            <w:noWrap/>
            <w:vAlign w:val="center"/>
            <w:hideMark/>
          </w:tcPr>
          <w:p w14:paraId="14436F5F" w14:textId="77777777" w:rsidR="00400C4E" w:rsidRPr="004C1386" w:rsidRDefault="00400C4E"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1,412 </w:t>
            </w:r>
          </w:p>
        </w:tc>
        <w:tc>
          <w:tcPr>
            <w:tcW w:w="1380" w:type="dxa"/>
            <w:tcBorders>
              <w:top w:val="single" w:sz="4" w:space="0" w:color="auto"/>
              <w:left w:val="nil"/>
              <w:bottom w:val="single" w:sz="4" w:space="0" w:color="auto"/>
              <w:right w:val="single" w:sz="4" w:space="0" w:color="auto"/>
            </w:tcBorders>
            <w:vAlign w:val="center"/>
          </w:tcPr>
          <w:p w14:paraId="7A145079" w14:textId="3333A154" w:rsidR="00400C4E" w:rsidRPr="004C1386" w:rsidRDefault="00C0123F"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sz w:val="22"/>
              </w:rPr>
              <w:t>80</w:t>
            </w:r>
            <w:r w:rsidR="00400C4E" w:rsidRPr="004C1386">
              <w:rPr>
                <w:rFonts w:ascii="ＭＳ Ｐゴシック" w:eastAsia="ＭＳ Ｐゴシック" w:hAnsi="ＭＳ Ｐゴシック" w:hint="eastAsia"/>
                <w:sz w:val="22"/>
              </w:rPr>
              <w:t>%</w:t>
            </w:r>
          </w:p>
        </w:tc>
        <w:tc>
          <w:tcPr>
            <w:tcW w:w="1668" w:type="dxa"/>
            <w:tcBorders>
              <w:top w:val="nil"/>
              <w:left w:val="single" w:sz="4" w:space="0" w:color="auto"/>
              <w:bottom w:val="single" w:sz="4" w:space="0" w:color="auto"/>
              <w:right w:val="single" w:sz="4" w:space="0" w:color="auto"/>
            </w:tcBorders>
            <w:shd w:val="clear" w:color="auto" w:fill="auto"/>
            <w:noWrap/>
            <w:vAlign w:val="center"/>
            <w:hideMark/>
          </w:tcPr>
          <w:p w14:paraId="7860354E" w14:textId="77777777" w:rsidR="00400C4E" w:rsidRPr="004C1386" w:rsidRDefault="00400C4E"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4,338,223 </w:t>
            </w:r>
          </w:p>
        </w:tc>
        <w:tc>
          <w:tcPr>
            <w:tcW w:w="1527" w:type="dxa"/>
            <w:tcBorders>
              <w:top w:val="single" w:sz="4" w:space="0" w:color="auto"/>
              <w:bottom w:val="single" w:sz="4" w:space="0" w:color="auto"/>
              <w:right w:val="single" w:sz="4" w:space="0" w:color="auto"/>
            </w:tcBorders>
            <w:vAlign w:val="center"/>
          </w:tcPr>
          <w:p w14:paraId="1DE9DB36" w14:textId="6B2621F5" w:rsidR="00400C4E" w:rsidRPr="004C1386" w:rsidRDefault="00C0123F" w:rsidP="00621ABE">
            <w:pPr>
              <w:widowControl/>
              <w:jc w:val="right"/>
              <w:rPr>
                <w:rFonts w:ascii="ＭＳ Ｐゴシック" w:eastAsia="ＭＳ Ｐゴシック" w:hAnsi="ＭＳ Ｐゴシック"/>
              </w:rPr>
            </w:pPr>
            <w:r w:rsidRPr="004C1386">
              <w:rPr>
                <w:rFonts w:ascii="ＭＳ Ｐゴシック" w:eastAsia="ＭＳ Ｐゴシック" w:hAnsi="ＭＳ Ｐゴシック" w:hint="eastAsia"/>
                <w:sz w:val="22"/>
              </w:rPr>
              <w:t>33</w:t>
            </w:r>
            <w:r w:rsidR="00400C4E" w:rsidRPr="004C1386">
              <w:rPr>
                <w:rFonts w:ascii="ＭＳ Ｐゴシック" w:eastAsia="ＭＳ Ｐゴシック" w:hAnsi="ＭＳ Ｐゴシック" w:hint="eastAsia"/>
                <w:sz w:val="22"/>
              </w:rPr>
              <w:t>%</w:t>
            </w:r>
          </w:p>
        </w:tc>
      </w:tr>
      <w:tr w:rsidR="004C1386" w:rsidRPr="004C1386" w14:paraId="798008CB" w14:textId="77777777" w:rsidTr="00621ABE">
        <w:trPr>
          <w:trHeight w:val="273"/>
        </w:trPr>
        <w:tc>
          <w:tcPr>
            <w:tcW w:w="3501" w:type="dxa"/>
            <w:tcBorders>
              <w:top w:val="nil"/>
              <w:left w:val="single" w:sz="4" w:space="0" w:color="auto"/>
              <w:bottom w:val="single" w:sz="4" w:space="0" w:color="auto"/>
              <w:right w:val="single" w:sz="4" w:space="0" w:color="auto"/>
            </w:tcBorders>
            <w:shd w:val="clear" w:color="auto" w:fill="auto"/>
            <w:noWrap/>
            <w:vAlign w:val="center"/>
            <w:hideMark/>
          </w:tcPr>
          <w:p w14:paraId="13D7B0AE" w14:textId="3981E0E1" w:rsidR="00400C4E" w:rsidRPr="004C1386" w:rsidRDefault="00E52497" w:rsidP="00621ABE">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大阪</w:t>
            </w:r>
            <w:r w:rsidR="00400C4E" w:rsidRPr="004C1386">
              <w:rPr>
                <w:rFonts w:ascii="ＭＳ Ｐゴシック" w:eastAsia="ＭＳ Ｐゴシック" w:hAnsi="ＭＳ Ｐゴシック" w:cs="ＭＳ Ｐゴシック" w:hint="eastAsia"/>
                <w:kern w:val="0"/>
                <w:sz w:val="22"/>
              </w:rPr>
              <w:t>府営住宅事業特別会計</w:t>
            </w:r>
          </w:p>
        </w:tc>
        <w:tc>
          <w:tcPr>
            <w:tcW w:w="1379" w:type="dxa"/>
            <w:tcBorders>
              <w:top w:val="nil"/>
              <w:left w:val="nil"/>
              <w:bottom w:val="single" w:sz="4" w:space="0" w:color="auto"/>
              <w:right w:val="single" w:sz="4" w:space="0" w:color="auto"/>
            </w:tcBorders>
            <w:shd w:val="clear" w:color="auto" w:fill="auto"/>
            <w:noWrap/>
            <w:vAlign w:val="center"/>
            <w:hideMark/>
          </w:tcPr>
          <w:p w14:paraId="54A1D0C3" w14:textId="7DD21D89" w:rsidR="00400C4E" w:rsidRPr="004C1386" w:rsidRDefault="00C0123F"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312</w:t>
            </w:r>
            <w:r w:rsidR="00400C4E" w:rsidRPr="004C1386">
              <w:rPr>
                <w:rFonts w:ascii="ＭＳ Ｐゴシック" w:eastAsia="ＭＳ Ｐゴシック" w:hAnsi="ＭＳ Ｐゴシック" w:cs="ＭＳ Ｐゴシック" w:hint="eastAsia"/>
                <w:kern w:val="0"/>
                <w:sz w:val="22"/>
              </w:rPr>
              <w:t xml:space="preserve"> </w:t>
            </w:r>
          </w:p>
        </w:tc>
        <w:tc>
          <w:tcPr>
            <w:tcW w:w="1380" w:type="dxa"/>
            <w:tcBorders>
              <w:top w:val="single" w:sz="4" w:space="0" w:color="auto"/>
              <w:left w:val="nil"/>
              <w:bottom w:val="single" w:sz="4" w:space="0" w:color="auto"/>
              <w:right w:val="single" w:sz="4" w:space="0" w:color="auto"/>
            </w:tcBorders>
            <w:vAlign w:val="center"/>
          </w:tcPr>
          <w:p w14:paraId="5ED2A29A" w14:textId="2CE8B5C3" w:rsidR="00400C4E" w:rsidRPr="004C1386" w:rsidRDefault="00C0123F"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sz w:val="22"/>
              </w:rPr>
              <w:t>18</w:t>
            </w:r>
            <w:r w:rsidR="00400C4E" w:rsidRPr="004C1386">
              <w:rPr>
                <w:rFonts w:ascii="ＭＳ Ｐゴシック" w:eastAsia="ＭＳ Ｐゴシック" w:hAnsi="ＭＳ Ｐゴシック" w:hint="eastAsia"/>
                <w:sz w:val="22"/>
              </w:rPr>
              <w:t>%</w:t>
            </w:r>
          </w:p>
        </w:tc>
        <w:tc>
          <w:tcPr>
            <w:tcW w:w="1668" w:type="dxa"/>
            <w:tcBorders>
              <w:top w:val="nil"/>
              <w:left w:val="single" w:sz="4" w:space="0" w:color="auto"/>
              <w:bottom w:val="single" w:sz="4" w:space="0" w:color="auto"/>
              <w:right w:val="single" w:sz="4" w:space="0" w:color="auto"/>
            </w:tcBorders>
            <w:shd w:val="clear" w:color="auto" w:fill="auto"/>
            <w:noWrap/>
            <w:vAlign w:val="center"/>
            <w:hideMark/>
          </w:tcPr>
          <w:p w14:paraId="51B4DF03" w14:textId="6B2E53D3" w:rsidR="00400C4E" w:rsidRPr="004C1386" w:rsidRDefault="00C0123F"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8,344,038</w:t>
            </w:r>
            <w:r w:rsidR="00400C4E" w:rsidRPr="004C1386">
              <w:rPr>
                <w:rFonts w:ascii="ＭＳ Ｐゴシック" w:eastAsia="ＭＳ Ｐゴシック" w:hAnsi="ＭＳ Ｐゴシック" w:cs="ＭＳ Ｐゴシック" w:hint="eastAsia"/>
                <w:kern w:val="0"/>
                <w:sz w:val="22"/>
              </w:rPr>
              <w:t xml:space="preserve"> </w:t>
            </w:r>
          </w:p>
        </w:tc>
        <w:tc>
          <w:tcPr>
            <w:tcW w:w="1527" w:type="dxa"/>
            <w:tcBorders>
              <w:top w:val="single" w:sz="4" w:space="0" w:color="auto"/>
              <w:bottom w:val="single" w:sz="4" w:space="0" w:color="auto"/>
              <w:right w:val="single" w:sz="4" w:space="0" w:color="auto"/>
            </w:tcBorders>
            <w:vAlign w:val="center"/>
          </w:tcPr>
          <w:p w14:paraId="22DC539A" w14:textId="1F30AF63" w:rsidR="00400C4E" w:rsidRPr="004C1386" w:rsidRDefault="00400C4E" w:rsidP="00621ABE">
            <w:pPr>
              <w:widowControl/>
              <w:jc w:val="right"/>
              <w:rPr>
                <w:rFonts w:ascii="ＭＳ Ｐゴシック" w:eastAsia="ＭＳ Ｐゴシック" w:hAnsi="ＭＳ Ｐゴシック"/>
              </w:rPr>
            </w:pPr>
            <w:r w:rsidRPr="004C1386">
              <w:rPr>
                <w:rFonts w:ascii="ＭＳ Ｐゴシック" w:eastAsia="ＭＳ Ｐゴシック" w:hAnsi="ＭＳ Ｐゴシック" w:hint="eastAsia"/>
                <w:sz w:val="22"/>
              </w:rPr>
              <w:t>6</w:t>
            </w:r>
            <w:r w:rsidR="00C0123F" w:rsidRPr="004C1386">
              <w:rPr>
                <w:rFonts w:ascii="ＭＳ Ｐゴシック" w:eastAsia="ＭＳ Ｐゴシック" w:hAnsi="ＭＳ Ｐゴシック" w:hint="eastAsia"/>
                <w:sz w:val="22"/>
              </w:rPr>
              <w:t>3</w:t>
            </w:r>
            <w:r w:rsidRPr="004C1386">
              <w:rPr>
                <w:rFonts w:ascii="ＭＳ Ｐゴシック" w:eastAsia="ＭＳ Ｐゴシック" w:hAnsi="ＭＳ Ｐゴシック" w:hint="eastAsia"/>
                <w:sz w:val="22"/>
              </w:rPr>
              <w:t>%</w:t>
            </w:r>
          </w:p>
        </w:tc>
      </w:tr>
      <w:tr w:rsidR="004C1386" w:rsidRPr="004C1386" w14:paraId="32EEF5E7" w14:textId="77777777" w:rsidTr="00621ABE">
        <w:trPr>
          <w:trHeight w:val="273"/>
        </w:trPr>
        <w:tc>
          <w:tcPr>
            <w:tcW w:w="3501" w:type="dxa"/>
            <w:tcBorders>
              <w:top w:val="nil"/>
              <w:left w:val="single" w:sz="4" w:space="0" w:color="auto"/>
              <w:bottom w:val="single" w:sz="4" w:space="0" w:color="auto"/>
              <w:right w:val="single" w:sz="4" w:space="0" w:color="auto"/>
            </w:tcBorders>
            <w:shd w:val="clear" w:color="auto" w:fill="auto"/>
            <w:noWrap/>
            <w:vAlign w:val="center"/>
            <w:hideMark/>
          </w:tcPr>
          <w:p w14:paraId="3FDE4962" w14:textId="6B672816" w:rsidR="00400C4E" w:rsidRPr="004C1386" w:rsidRDefault="00400C4E" w:rsidP="00621ABE">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万博事業</w:t>
            </w:r>
            <w:r w:rsidR="0078375A" w:rsidRPr="004C1386">
              <w:rPr>
                <w:rFonts w:ascii="ＭＳ Ｐゴシック" w:eastAsia="ＭＳ Ｐゴシック" w:hAnsi="ＭＳ Ｐゴシック" w:cs="ＭＳ Ｐゴシック" w:hint="eastAsia"/>
                <w:kern w:val="0"/>
                <w:sz w:val="22"/>
              </w:rPr>
              <w:t>特別会計</w:t>
            </w:r>
          </w:p>
        </w:tc>
        <w:tc>
          <w:tcPr>
            <w:tcW w:w="1379" w:type="dxa"/>
            <w:tcBorders>
              <w:top w:val="nil"/>
              <w:left w:val="nil"/>
              <w:bottom w:val="single" w:sz="4" w:space="0" w:color="auto"/>
              <w:right w:val="single" w:sz="4" w:space="0" w:color="auto"/>
            </w:tcBorders>
            <w:shd w:val="clear" w:color="auto" w:fill="auto"/>
            <w:noWrap/>
            <w:vAlign w:val="center"/>
            <w:hideMark/>
          </w:tcPr>
          <w:p w14:paraId="4DB21555" w14:textId="77777777" w:rsidR="00400C4E" w:rsidRPr="004C1386" w:rsidRDefault="00400C4E"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1 </w:t>
            </w:r>
          </w:p>
        </w:tc>
        <w:tc>
          <w:tcPr>
            <w:tcW w:w="1380" w:type="dxa"/>
            <w:tcBorders>
              <w:top w:val="single" w:sz="4" w:space="0" w:color="auto"/>
              <w:left w:val="nil"/>
              <w:bottom w:val="single" w:sz="4" w:space="0" w:color="auto"/>
              <w:right w:val="single" w:sz="4" w:space="0" w:color="auto"/>
            </w:tcBorders>
            <w:vAlign w:val="center"/>
          </w:tcPr>
          <w:p w14:paraId="43E94AD3" w14:textId="77777777" w:rsidR="00400C4E" w:rsidRPr="004C1386" w:rsidRDefault="00400C4E"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sz w:val="22"/>
              </w:rPr>
              <w:t>0%</w:t>
            </w:r>
          </w:p>
        </w:tc>
        <w:tc>
          <w:tcPr>
            <w:tcW w:w="1668" w:type="dxa"/>
            <w:tcBorders>
              <w:top w:val="nil"/>
              <w:left w:val="single" w:sz="4" w:space="0" w:color="auto"/>
              <w:bottom w:val="single" w:sz="4" w:space="0" w:color="auto"/>
              <w:right w:val="single" w:sz="4" w:space="0" w:color="auto"/>
            </w:tcBorders>
            <w:shd w:val="clear" w:color="auto" w:fill="auto"/>
            <w:noWrap/>
            <w:vAlign w:val="center"/>
            <w:hideMark/>
          </w:tcPr>
          <w:p w14:paraId="67E85E89" w14:textId="77777777" w:rsidR="00400C4E" w:rsidRPr="004C1386" w:rsidRDefault="00400C4E"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54,329 </w:t>
            </w:r>
          </w:p>
        </w:tc>
        <w:tc>
          <w:tcPr>
            <w:tcW w:w="1527" w:type="dxa"/>
            <w:tcBorders>
              <w:top w:val="single" w:sz="4" w:space="0" w:color="auto"/>
              <w:bottom w:val="single" w:sz="4" w:space="0" w:color="auto"/>
              <w:right w:val="single" w:sz="4" w:space="0" w:color="auto"/>
            </w:tcBorders>
            <w:vAlign w:val="center"/>
          </w:tcPr>
          <w:p w14:paraId="587F9E76" w14:textId="77777777" w:rsidR="00400C4E" w:rsidRPr="004C1386" w:rsidRDefault="00400C4E" w:rsidP="00621ABE">
            <w:pPr>
              <w:widowControl/>
              <w:jc w:val="right"/>
              <w:rPr>
                <w:rFonts w:ascii="ＭＳ Ｐゴシック" w:eastAsia="ＭＳ Ｐゴシック" w:hAnsi="ＭＳ Ｐゴシック"/>
              </w:rPr>
            </w:pPr>
            <w:r w:rsidRPr="004C1386">
              <w:rPr>
                <w:rFonts w:ascii="ＭＳ Ｐゴシック" w:eastAsia="ＭＳ Ｐゴシック" w:hAnsi="ＭＳ Ｐゴシック" w:hint="eastAsia"/>
                <w:sz w:val="22"/>
              </w:rPr>
              <w:t>0%</w:t>
            </w:r>
          </w:p>
        </w:tc>
      </w:tr>
      <w:tr w:rsidR="004C1386" w:rsidRPr="004C1386" w14:paraId="2EEF56B2" w14:textId="77777777" w:rsidTr="00621ABE">
        <w:trPr>
          <w:trHeight w:val="273"/>
        </w:trPr>
        <w:tc>
          <w:tcPr>
            <w:tcW w:w="3501" w:type="dxa"/>
            <w:tcBorders>
              <w:top w:val="nil"/>
              <w:left w:val="single" w:sz="4" w:space="0" w:color="auto"/>
              <w:bottom w:val="single" w:sz="4" w:space="0" w:color="auto"/>
              <w:right w:val="single" w:sz="4" w:space="0" w:color="auto"/>
            </w:tcBorders>
            <w:shd w:val="clear" w:color="auto" w:fill="auto"/>
            <w:noWrap/>
            <w:vAlign w:val="center"/>
            <w:hideMark/>
          </w:tcPr>
          <w:p w14:paraId="145C5B03" w14:textId="698EBD2B" w:rsidR="00400C4E" w:rsidRPr="004C1386" w:rsidRDefault="00400C4E" w:rsidP="00621ABE">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港湾整備事業</w:t>
            </w:r>
            <w:r w:rsidR="0078375A" w:rsidRPr="004C1386">
              <w:rPr>
                <w:rFonts w:ascii="ＭＳ Ｐゴシック" w:eastAsia="ＭＳ Ｐゴシック" w:hAnsi="ＭＳ Ｐゴシック" w:cs="ＭＳ Ｐゴシック" w:hint="eastAsia"/>
                <w:kern w:val="0"/>
                <w:sz w:val="22"/>
              </w:rPr>
              <w:t>特別会計</w:t>
            </w:r>
          </w:p>
        </w:tc>
        <w:tc>
          <w:tcPr>
            <w:tcW w:w="1379" w:type="dxa"/>
            <w:tcBorders>
              <w:top w:val="nil"/>
              <w:left w:val="nil"/>
              <w:bottom w:val="single" w:sz="4" w:space="0" w:color="auto"/>
              <w:right w:val="single" w:sz="4" w:space="0" w:color="auto"/>
            </w:tcBorders>
            <w:shd w:val="clear" w:color="auto" w:fill="auto"/>
            <w:noWrap/>
            <w:vAlign w:val="center"/>
            <w:hideMark/>
          </w:tcPr>
          <w:p w14:paraId="361C4F7E" w14:textId="77777777" w:rsidR="00400C4E" w:rsidRPr="004C1386" w:rsidRDefault="00400C4E"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6 </w:t>
            </w:r>
          </w:p>
        </w:tc>
        <w:tc>
          <w:tcPr>
            <w:tcW w:w="1380" w:type="dxa"/>
            <w:tcBorders>
              <w:top w:val="single" w:sz="4" w:space="0" w:color="auto"/>
              <w:left w:val="nil"/>
              <w:bottom w:val="single" w:sz="4" w:space="0" w:color="auto"/>
              <w:right w:val="single" w:sz="4" w:space="0" w:color="auto"/>
            </w:tcBorders>
            <w:vAlign w:val="center"/>
          </w:tcPr>
          <w:p w14:paraId="77226099" w14:textId="77777777" w:rsidR="00400C4E" w:rsidRPr="004C1386" w:rsidRDefault="00400C4E"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sz w:val="22"/>
              </w:rPr>
              <w:t>0%</w:t>
            </w:r>
          </w:p>
        </w:tc>
        <w:tc>
          <w:tcPr>
            <w:tcW w:w="1668" w:type="dxa"/>
            <w:tcBorders>
              <w:top w:val="nil"/>
              <w:left w:val="single" w:sz="4" w:space="0" w:color="auto"/>
              <w:bottom w:val="single" w:sz="4" w:space="0" w:color="auto"/>
              <w:right w:val="single" w:sz="4" w:space="0" w:color="auto"/>
            </w:tcBorders>
            <w:shd w:val="clear" w:color="auto" w:fill="auto"/>
            <w:noWrap/>
            <w:vAlign w:val="center"/>
            <w:hideMark/>
          </w:tcPr>
          <w:p w14:paraId="7CE0C6E3" w14:textId="77777777" w:rsidR="00400C4E" w:rsidRPr="004C1386" w:rsidRDefault="00400C4E"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98,070 </w:t>
            </w:r>
          </w:p>
        </w:tc>
        <w:tc>
          <w:tcPr>
            <w:tcW w:w="1527" w:type="dxa"/>
            <w:tcBorders>
              <w:top w:val="single" w:sz="4" w:space="0" w:color="auto"/>
              <w:bottom w:val="single" w:sz="4" w:space="0" w:color="auto"/>
              <w:right w:val="single" w:sz="4" w:space="0" w:color="auto"/>
            </w:tcBorders>
            <w:vAlign w:val="center"/>
          </w:tcPr>
          <w:p w14:paraId="563AF5AA" w14:textId="77777777" w:rsidR="00400C4E" w:rsidRPr="004C1386" w:rsidRDefault="00400C4E" w:rsidP="00621ABE">
            <w:pPr>
              <w:widowControl/>
              <w:jc w:val="right"/>
              <w:rPr>
                <w:rFonts w:ascii="ＭＳ Ｐゴシック" w:eastAsia="ＭＳ Ｐゴシック" w:hAnsi="ＭＳ Ｐゴシック"/>
              </w:rPr>
            </w:pPr>
            <w:r w:rsidRPr="004C1386">
              <w:rPr>
                <w:rFonts w:ascii="ＭＳ Ｐゴシック" w:eastAsia="ＭＳ Ｐゴシック" w:hAnsi="ＭＳ Ｐゴシック" w:hint="eastAsia"/>
                <w:sz w:val="22"/>
              </w:rPr>
              <w:t>1%</w:t>
            </w:r>
          </w:p>
        </w:tc>
      </w:tr>
      <w:tr w:rsidR="004C1386" w:rsidRPr="004C1386" w14:paraId="0BB37F63" w14:textId="77777777" w:rsidTr="00621ABE">
        <w:trPr>
          <w:trHeight w:val="273"/>
        </w:trPr>
        <w:tc>
          <w:tcPr>
            <w:tcW w:w="3501" w:type="dxa"/>
            <w:tcBorders>
              <w:top w:val="nil"/>
              <w:left w:val="single" w:sz="4" w:space="0" w:color="auto"/>
              <w:bottom w:val="single" w:sz="4" w:space="0" w:color="auto"/>
              <w:right w:val="single" w:sz="4" w:space="0" w:color="auto"/>
            </w:tcBorders>
            <w:shd w:val="clear" w:color="auto" w:fill="auto"/>
            <w:noWrap/>
            <w:vAlign w:val="center"/>
            <w:hideMark/>
          </w:tcPr>
          <w:p w14:paraId="2EDDBFA2" w14:textId="1805B4B1" w:rsidR="00400C4E" w:rsidRPr="004C1386" w:rsidRDefault="00400C4E" w:rsidP="00621ABE">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箕面北部丘陵</w:t>
            </w:r>
            <w:r w:rsidR="0078375A" w:rsidRPr="004C1386">
              <w:rPr>
                <w:rFonts w:ascii="ＭＳ Ｐゴシック" w:eastAsia="ＭＳ Ｐゴシック" w:hAnsi="ＭＳ Ｐゴシック" w:cs="ＭＳ Ｐゴシック" w:hint="eastAsia"/>
                <w:kern w:val="0"/>
                <w:sz w:val="22"/>
              </w:rPr>
              <w:t>特別会計</w:t>
            </w:r>
          </w:p>
        </w:tc>
        <w:tc>
          <w:tcPr>
            <w:tcW w:w="1379" w:type="dxa"/>
            <w:tcBorders>
              <w:top w:val="nil"/>
              <w:left w:val="nil"/>
              <w:bottom w:val="single" w:sz="4" w:space="0" w:color="auto"/>
              <w:right w:val="single" w:sz="4" w:space="0" w:color="auto"/>
            </w:tcBorders>
            <w:shd w:val="clear" w:color="auto" w:fill="auto"/>
            <w:noWrap/>
            <w:vAlign w:val="center"/>
            <w:hideMark/>
          </w:tcPr>
          <w:p w14:paraId="0C0D82F2" w14:textId="77777777" w:rsidR="00400C4E" w:rsidRPr="004C1386" w:rsidRDefault="00400C4E"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3 </w:t>
            </w:r>
          </w:p>
        </w:tc>
        <w:tc>
          <w:tcPr>
            <w:tcW w:w="1380" w:type="dxa"/>
            <w:tcBorders>
              <w:top w:val="single" w:sz="4" w:space="0" w:color="auto"/>
              <w:left w:val="nil"/>
              <w:bottom w:val="single" w:sz="4" w:space="0" w:color="auto"/>
              <w:right w:val="single" w:sz="4" w:space="0" w:color="auto"/>
            </w:tcBorders>
            <w:vAlign w:val="center"/>
          </w:tcPr>
          <w:p w14:paraId="7D653043" w14:textId="77777777" w:rsidR="00400C4E" w:rsidRPr="004C1386" w:rsidRDefault="00400C4E"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sz w:val="22"/>
              </w:rPr>
              <w:t>0%</w:t>
            </w:r>
          </w:p>
        </w:tc>
        <w:tc>
          <w:tcPr>
            <w:tcW w:w="1668" w:type="dxa"/>
            <w:tcBorders>
              <w:top w:val="nil"/>
              <w:left w:val="single" w:sz="4" w:space="0" w:color="auto"/>
              <w:bottom w:val="single" w:sz="4" w:space="0" w:color="auto"/>
              <w:right w:val="single" w:sz="4" w:space="0" w:color="auto"/>
            </w:tcBorders>
            <w:shd w:val="clear" w:color="auto" w:fill="auto"/>
            <w:noWrap/>
            <w:vAlign w:val="center"/>
            <w:hideMark/>
          </w:tcPr>
          <w:p w14:paraId="2DF97CF1" w14:textId="77777777" w:rsidR="00400C4E" w:rsidRPr="004C1386" w:rsidRDefault="00400C4E"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2,045 </w:t>
            </w:r>
          </w:p>
        </w:tc>
        <w:tc>
          <w:tcPr>
            <w:tcW w:w="1527" w:type="dxa"/>
            <w:tcBorders>
              <w:top w:val="single" w:sz="4" w:space="0" w:color="auto"/>
              <w:bottom w:val="single" w:sz="4" w:space="0" w:color="auto"/>
              <w:right w:val="single" w:sz="4" w:space="0" w:color="auto"/>
            </w:tcBorders>
            <w:vAlign w:val="center"/>
          </w:tcPr>
          <w:p w14:paraId="573AF41A" w14:textId="77777777" w:rsidR="00400C4E" w:rsidRPr="004C1386" w:rsidRDefault="00400C4E" w:rsidP="00621ABE">
            <w:pPr>
              <w:widowControl/>
              <w:jc w:val="right"/>
              <w:rPr>
                <w:rFonts w:ascii="ＭＳ Ｐゴシック" w:eastAsia="ＭＳ Ｐゴシック" w:hAnsi="ＭＳ Ｐゴシック"/>
              </w:rPr>
            </w:pPr>
            <w:r w:rsidRPr="004C1386">
              <w:rPr>
                <w:rFonts w:ascii="ＭＳ Ｐゴシック" w:eastAsia="ＭＳ Ｐゴシック" w:hAnsi="ＭＳ Ｐゴシック" w:hint="eastAsia"/>
                <w:sz w:val="22"/>
              </w:rPr>
              <w:t>0%</w:t>
            </w:r>
          </w:p>
        </w:tc>
      </w:tr>
      <w:tr w:rsidR="004C1386" w:rsidRPr="004C1386" w14:paraId="406B5958" w14:textId="77777777" w:rsidTr="00621ABE">
        <w:trPr>
          <w:trHeight w:val="273"/>
        </w:trPr>
        <w:tc>
          <w:tcPr>
            <w:tcW w:w="3501" w:type="dxa"/>
            <w:tcBorders>
              <w:top w:val="nil"/>
              <w:left w:val="single" w:sz="4" w:space="0" w:color="auto"/>
              <w:bottom w:val="single" w:sz="4" w:space="0" w:color="auto"/>
              <w:right w:val="single" w:sz="4" w:space="0" w:color="auto"/>
            </w:tcBorders>
            <w:shd w:val="clear" w:color="auto" w:fill="auto"/>
            <w:noWrap/>
            <w:vAlign w:val="center"/>
            <w:hideMark/>
          </w:tcPr>
          <w:p w14:paraId="002AA8B3" w14:textId="3CC061C4" w:rsidR="00400C4E" w:rsidRPr="004C1386" w:rsidRDefault="00400C4E" w:rsidP="00621ABE">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流域下水道事業</w:t>
            </w:r>
            <w:r w:rsidR="0078375A" w:rsidRPr="004C1386">
              <w:rPr>
                <w:rFonts w:ascii="ＭＳ Ｐゴシック" w:eastAsia="ＭＳ Ｐゴシック" w:hAnsi="ＭＳ Ｐゴシック" w:cs="ＭＳ Ｐゴシック" w:hint="eastAsia"/>
                <w:kern w:val="0"/>
                <w:sz w:val="22"/>
              </w:rPr>
              <w:t>特別会計</w:t>
            </w:r>
            <w:r w:rsidR="00A774FE" w:rsidRPr="00D0797F">
              <w:rPr>
                <w:rFonts w:ascii="ＭＳ Ｐゴシック" w:eastAsia="ＭＳ Ｐゴシック" w:hAnsi="ＭＳ Ｐゴシック" w:cs="ＭＳ Ｐゴシック" w:hint="eastAsia"/>
                <w:b/>
                <w:kern w:val="0"/>
                <w:sz w:val="22"/>
                <w:vertAlign w:val="superscript"/>
              </w:rPr>
              <w:t>※</w:t>
            </w:r>
          </w:p>
        </w:tc>
        <w:tc>
          <w:tcPr>
            <w:tcW w:w="1379" w:type="dxa"/>
            <w:tcBorders>
              <w:top w:val="nil"/>
              <w:left w:val="nil"/>
              <w:bottom w:val="single" w:sz="4" w:space="0" w:color="auto"/>
              <w:right w:val="single" w:sz="4" w:space="0" w:color="auto"/>
            </w:tcBorders>
            <w:shd w:val="clear" w:color="auto" w:fill="auto"/>
            <w:noWrap/>
            <w:vAlign w:val="center"/>
            <w:hideMark/>
          </w:tcPr>
          <w:p w14:paraId="7F96832F" w14:textId="77777777" w:rsidR="00400C4E" w:rsidRPr="004C1386" w:rsidRDefault="00400C4E"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26 </w:t>
            </w:r>
          </w:p>
        </w:tc>
        <w:tc>
          <w:tcPr>
            <w:tcW w:w="1380" w:type="dxa"/>
            <w:tcBorders>
              <w:top w:val="single" w:sz="4" w:space="0" w:color="auto"/>
              <w:left w:val="nil"/>
              <w:bottom w:val="single" w:sz="4" w:space="0" w:color="auto"/>
              <w:right w:val="single" w:sz="4" w:space="0" w:color="auto"/>
            </w:tcBorders>
            <w:vAlign w:val="center"/>
          </w:tcPr>
          <w:p w14:paraId="4C33B010" w14:textId="6577D960" w:rsidR="00400C4E" w:rsidRPr="004C1386" w:rsidRDefault="003F7EB4"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hint="eastAsia"/>
                <w:sz w:val="22"/>
              </w:rPr>
              <w:t>2</w:t>
            </w:r>
            <w:r w:rsidR="00400C4E" w:rsidRPr="004C1386">
              <w:rPr>
                <w:rFonts w:ascii="ＭＳ Ｐゴシック" w:eastAsia="ＭＳ Ｐゴシック" w:hAnsi="ＭＳ Ｐゴシック" w:hint="eastAsia"/>
                <w:sz w:val="22"/>
              </w:rPr>
              <w:t>%</w:t>
            </w:r>
          </w:p>
        </w:tc>
        <w:tc>
          <w:tcPr>
            <w:tcW w:w="1668" w:type="dxa"/>
            <w:tcBorders>
              <w:top w:val="nil"/>
              <w:left w:val="single" w:sz="4" w:space="0" w:color="auto"/>
              <w:bottom w:val="single" w:sz="4" w:space="0" w:color="auto"/>
              <w:right w:val="single" w:sz="4" w:space="0" w:color="auto"/>
            </w:tcBorders>
            <w:shd w:val="clear" w:color="auto" w:fill="auto"/>
            <w:noWrap/>
            <w:vAlign w:val="center"/>
            <w:hideMark/>
          </w:tcPr>
          <w:p w14:paraId="75F64621" w14:textId="77777777" w:rsidR="00400C4E" w:rsidRPr="004C1386" w:rsidRDefault="00400C4E"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 xml:space="preserve">251,137 </w:t>
            </w:r>
          </w:p>
        </w:tc>
        <w:tc>
          <w:tcPr>
            <w:tcW w:w="1527" w:type="dxa"/>
            <w:tcBorders>
              <w:top w:val="single" w:sz="4" w:space="0" w:color="auto"/>
              <w:bottom w:val="single" w:sz="4" w:space="0" w:color="auto"/>
              <w:right w:val="single" w:sz="4" w:space="0" w:color="auto"/>
            </w:tcBorders>
            <w:vAlign w:val="center"/>
          </w:tcPr>
          <w:p w14:paraId="03ED448C" w14:textId="77777777" w:rsidR="00400C4E" w:rsidRPr="004C1386" w:rsidRDefault="00400C4E" w:rsidP="00621ABE">
            <w:pPr>
              <w:widowControl/>
              <w:jc w:val="right"/>
              <w:rPr>
                <w:rFonts w:ascii="ＭＳ Ｐゴシック" w:eastAsia="ＭＳ Ｐゴシック" w:hAnsi="ＭＳ Ｐゴシック"/>
              </w:rPr>
            </w:pPr>
            <w:r w:rsidRPr="004C1386">
              <w:rPr>
                <w:rFonts w:ascii="ＭＳ Ｐゴシック" w:eastAsia="ＭＳ Ｐゴシック" w:hAnsi="ＭＳ Ｐゴシック" w:hint="eastAsia"/>
                <w:sz w:val="22"/>
              </w:rPr>
              <w:t>2%</w:t>
            </w:r>
          </w:p>
        </w:tc>
      </w:tr>
      <w:tr w:rsidR="004C1386" w:rsidRPr="004C1386" w14:paraId="5AF009D8" w14:textId="77777777" w:rsidTr="00621ABE">
        <w:trPr>
          <w:trHeight w:val="273"/>
        </w:trPr>
        <w:tc>
          <w:tcPr>
            <w:tcW w:w="3501" w:type="dxa"/>
            <w:tcBorders>
              <w:top w:val="nil"/>
              <w:left w:val="single" w:sz="4" w:space="0" w:color="auto"/>
              <w:bottom w:val="single" w:sz="4" w:space="0" w:color="auto"/>
              <w:right w:val="single" w:sz="4" w:space="0" w:color="auto"/>
            </w:tcBorders>
            <w:shd w:val="clear" w:color="auto" w:fill="auto"/>
            <w:noWrap/>
            <w:vAlign w:val="center"/>
          </w:tcPr>
          <w:p w14:paraId="60A2A446" w14:textId="31B147E5" w:rsidR="00AE2136" w:rsidRPr="004C1386" w:rsidRDefault="00AE2136" w:rsidP="00621ABE">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大阪府中央卸売市場事業企業会計</w:t>
            </w:r>
          </w:p>
        </w:tc>
        <w:tc>
          <w:tcPr>
            <w:tcW w:w="1379" w:type="dxa"/>
            <w:tcBorders>
              <w:top w:val="nil"/>
              <w:left w:val="nil"/>
              <w:bottom w:val="single" w:sz="4" w:space="0" w:color="auto"/>
              <w:right w:val="single" w:sz="4" w:space="0" w:color="auto"/>
            </w:tcBorders>
            <w:shd w:val="clear" w:color="auto" w:fill="auto"/>
            <w:noWrap/>
            <w:vAlign w:val="center"/>
          </w:tcPr>
          <w:p w14:paraId="5A850365" w14:textId="21BD08E4" w:rsidR="00AE2136" w:rsidRPr="004C1386" w:rsidRDefault="00AE2136"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w:t>
            </w:r>
          </w:p>
        </w:tc>
        <w:tc>
          <w:tcPr>
            <w:tcW w:w="1380" w:type="dxa"/>
            <w:tcBorders>
              <w:top w:val="single" w:sz="4" w:space="0" w:color="auto"/>
              <w:left w:val="nil"/>
              <w:bottom w:val="single" w:sz="4" w:space="0" w:color="auto"/>
              <w:right w:val="single" w:sz="4" w:space="0" w:color="auto"/>
            </w:tcBorders>
            <w:vAlign w:val="center"/>
          </w:tcPr>
          <w:p w14:paraId="3BE01E19" w14:textId="3DEB989B" w:rsidR="00AE2136" w:rsidRPr="004C1386" w:rsidRDefault="00AE2136" w:rsidP="00621ABE">
            <w:pPr>
              <w:widowControl/>
              <w:jc w:val="right"/>
              <w:rPr>
                <w:rFonts w:ascii="ＭＳ Ｐゴシック" w:eastAsia="ＭＳ Ｐゴシック" w:hAnsi="ＭＳ Ｐゴシック"/>
                <w:sz w:val="22"/>
              </w:rPr>
            </w:pPr>
            <w:r w:rsidRPr="004C1386">
              <w:rPr>
                <w:rFonts w:ascii="ＭＳ Ｐゴシック" w:eastAsia="ＭＳ Ｐゴシック" w:hAnsi="ＭＳ Ｐゴシック" w:hint="eastAsia"/>
                <w:sz w:val="22"/>
              </w:rPr>
              <w:t>0%</w:t>
            </w:r>
          </w:p>
        </w:tc>
        <w:tc>
          <w:tcPr>
            <w:tcW w:w="1668" w:type="dxa"/>
            <w:tcBorders>
              <w:top w:val="nil"/>
              <w:left w:val="single" w:sz="4" w:space="0" w:color="auto"/>
              <w:bottom w:val="single" w:sz="4" w:space="0" w:color="auto"/>
              <w:right w:val="single" w:sz="4" w:space="0" w:color="auto"/>
            </w:tcBorders>
            <w:shd w:val="clear" w:color="auto" w:fill="auto"/>
            <w:noWrap/>
            <w:vAlign w:val="center"/>
          </w:tcPr>
          <w:p w14:paraId="1FEF67D8" w14:textId="1CD71685" w:rsidR="00AE2136" w:rsidRPr="004C1386" w:rsidRDefault="00AE2136"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134,982</w:t>
            </w:r>
          </w:p>
        </w:tc>
        <w:tc>
          <w:tcPr>
            <w:tcW w:w="1527" w:type="dxa"/>
            <w:tcBorders>
              <w:top w:val="single" w:sz="4" w:space="0" w:color="auto"/>
              <w:bottom w:val="single" w:sz="4" w:space="0" w:color="auto"/>
              <w:right w:val="single" w:sz="4" w:space="0" w:color="auto"/>
            </w:tcBorders>
            <w:vAlign w:val="center"/>
          </w:tcPr>
          <w:p w14:paraId="3E6F9D3D" w14:textId="2AD358AF" w:rsidR="00AE2136" w:rsidRPr="004C1386" w:rsidRDefault="00AE2136" w:rsidP="00621ABE">
            <w:pPr>
              <w:widowControl/>
              <w:jc w:val="right"/>
              <w:rPr>
                <w:rFonts w:ascii="ＭＳ Ｐゴシック" w:eastAsia="ＭＳ Ｐゴシック" w:hAnsi="ＭＳ Ｐゴシック"/>
                <w:sz w:val="22"/>
              </w:rPr>
            </w:pPr>
            <w:r w:rsidRPr="004C1386">
              <w:rPr>
                <w:rFonts w:ascii="ＭＳ Ｐゴシック" w:eastAsia="ＭＳ Ｐゴシック" w:hAnsi="ＭＳ Ｐゴシック" w:hint="eastAsia"/>
                <w:sz w:val="22"/>
              </w:rPr>
              <w:t>1%</w:t>
            </w:r>
          </w:p>
        </w:tc>
      </w:tr>
      <w:tr w:rsidR="004C1386" w:rsidRPr="004C1386" w14:paraId="2675C050" w14:textId="77777777" w:rsidTr="00621ABE">
        <w:trPr>
          <w:trHeight w:val="273"/>
        </w:trPr>
        <w:tc>
          <w:tcPr>
            <w:tcW w:w="3501" w:type="dxa"/>
            <w:tcBorders>
              <w:top w:val="nil"/>
              <w:left w:val="single" w:sz="4" w:space="0" w:color="auto"/>
              <w:bottom w:val="single" w:sz="4" w:space="0" w:color="auto"/>
              <w:right w:val="single" w:sz="4" w:space="0" w:color="auto"/>
            </w:tcBorders>
            <w:shd w:val="clear" w:color="auto" w:fill="auto"/>
            <w:noWrap/>
            <w:vAlign w:val="center"/>
            <w:hideMark/>
          </w:tcPr>
          <w:p w14:paraId="714F5E6E" w14:textId="77777777" w:rsidR="00400C4E" w:rsidRPr="004C1386" w:rsidRDefault="00400C4E" w:rsidP="00621ABE">
            <w:pPr>
              <w:widowControl/>
              <w:jc w:val="lef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合計</w:t>
            </w:r>
          </w:p>
        </w:tc>
        <w:tc>
          <w:tcPr>
            <w:tcW w:w="1379" w:type="dxa"/>
            <w:tcBorders>
              <w:top w:val="nil"/>
              <w:left w:val="nil"/>
              <w:bottom w:val="single" w:sz="4" w:space="0" w:color="auto"/>
              <w:right w:val="single" w:sz="4" w:space="0" w:color="auto"/>
            </w:tcBorders>
            <w:shd w:val="clear" w:color="auto" w:fill="auto"/>
            <w:noWrap/>
            <w:vAlign w:val="center"/>
            <w:hideMark/>
          </w:tcPr>
          <w:p w14:paraId="0CE69D85" w14:textId="577D5AE5" w:rsidR="00400C4E" w:rsidRPr="004C1386" w:rsidRDefault="00C0123F"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1,761</w:t>
            </w:r>
            <w:r w:rsidR="00400C4E" w:rsidRPr="004C1386">
              <w:rPr>
                <w:rFonts w:ascii="ＭＳ Ｐゴシック" w:eastAsia="ＭＳ Ｐゴシック" w:hAnsi="ＭＳ Ｐゴシック" w:cs="ＭＳ Ｐゴシック" w:hint="eastAsia"/>
                <w:kern w:val="0"/>
                <w:sz w:val="22"/>
              </w:rPr>
              <w:t xml:space="preserve"> </w:t>
            </w:r>
          </w:p>
        </w:tc>
        <w:tc>
          <w:tcPr>
            <w:tcW w:w="1380" w:type="dxa"/>
            <w:tcBorders>
              <w:top w:val="single" w:sz="4" w:space="0" w:color="auto"/>
              <w:left w:val="nil"/>
              <w:bottom w:val="single" w:sz="4" w:space="0" w:color="auto"/>
              <w:right w:val="single" w:sz="4" w:space="0" w:color="auto"/>
            </w:tcBorders>
          </w:tcPr>
          <w:p w14:paraId="0635BF07" w14:textId="77777777" w:rsidR="00400C4E" w:rsidRPr="004C1386" w:rsidRDefault="00400C4E"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100%</w:t>
            </w:r>
          </w:p>
        </w:tc>
        <w:tc>
          <w:tcPr>
            <w:tcW w:w="1668" w:type="dxa"/>
            <w:tcBorders>
              <w:top w:val="nil"/>
              <w:left w:val="single" w:sz="4" w:space="0" w:color="auto"/>
              <w:bottom w:val="single" w:sz="4" w:space="0" w:color="auto"/>
              <w:right w:val="single" w:sz="4" w:space="0" w:color="auto"/>
            </w:tcBorders>
            <w:shd w:val="clear" w:color="auto" w:fill="auto"/>
            <w:noWrap/>
            <w:vAlign w:val="center"/>
            <w:hideMark/>
          </w:tcPr>
          <w:p w14:paraId="56EE1C80" w14:textId="63924C10" w:rsidR="00400C4E" w:rsidRPr="004C1386" w:rsidRDefault="00C0123F" w:rsidP="00621ABE">
            <w:pPr>
              <w:widowControl/>
              <w:jc w:val="right"/>
              <w:rPr>
                <w:rFonts w:ascii="ＭＳ Ｐゴシック" w:eastAsia="ＭＳ Ｐゴシック" w:hAnsi="ＭＳ Ｐゴシック" w:cs="ＭＳ Ｐゴシック"/>
                <w:kern w:val="0"/>
                <w:sz w:val="22"/>
              </w:rPr>
            </w:pPr>
            <w:r w:rsidRPr="004C1386">
              <w:rPr>
                <w:rFonts w:ascii="ＭＳ Ｐゴシック" w:eastAsia="ＭＳ Ｐゴシック" w:hAnsi="ＭＳ Ｐゴシック" w:cs="ＭＳ Ｐゴシック" w:hint="eastAsia"/>
                <w:kern w:val="0"/>
                <w:sz w:val="22"/>
              </w:rPr>
              <w:t>13,222,824</w:t>
            </w:r>
            <w:r w:rsidR="00400C4E" w:rsidRPr="004C1386">
              <w:rPr>
                <w:rFonts w:ascii="ＭＳ Ｐゴシック" w:eastAsia="ＭＳ Ｐゴシック" w:hAnsi="ＭＳ Ｐゴシック" w:cs="ＭＳ Ｐゴシック" w:hint="eastAsia"/>
                <w:kern w:val="0"/>
                <w:sz w:val="22"/>
              </w:rPr>
              <w:t xml:space="preserve"> </w:t>
            </w:r>
          </w:p>
        </w:tc>
        <w:tc>
          <w:tcPr>
            <w:tcW w:w="1527" w:type="dxa"/>
            <w:tcBorders>
              <w:top w:val="single" w:sz="4" w:space="0" w:color="auto"/>
              <w:bottom w:val="single" w:sz="4" w:space="0" w:color="auto"/>
              <w:right w:val="single" w:sz="4" w:space="0" w:color="auto"/>
            </w:tcBorders>
            <w:vAlign w:val="center"/>
          </w:tcPr>
          <w:p w14:paraId="07C833BE" w14:textId="77777777" w:rsidR="00400C4E" w:rsidRPr="004C1386" w:rsidRDefault="00400C4E" w:rsidP="00621ABE">
            <w:pPr>
              <w:widowControl/>
              <w:jc w:val="right"/>
              <w:rPr>
                <w:rFonts w:ascii="ＭＳ Ｐゴシック" w:eastAsia="ＭＳ Ｐゴシック" w:hAnsi="ＭＳ Ｐゴシック"/>
              </w:rPr>
            </w:pPr>
            <w:r w:rsidRPr="004C1386">
              <w:rPr>
                <w:rFonts w:ascii="ＭＳ Ｐゴシック" w:eastAsia="ＭＳ Ｐゴシック" w:hAnsi="ＭＳ Ｐゴシック"/>
                <w:sz w:val="22"/>
              </w:rPr>
              <w:t>100%</w:t>
            </w:r>
            <w:r w:rsidRPr="004C1386">
              <w:rPr>
                <w:rFonts w:ascii="ＭＳ Ｐゴシック" w:eastAsia="ＭＳ Ｐゴシック" w:hAnsi="ＭＳ Ｐゴシック" w:hint="eastAsia"/>
                <w:sz w:val="22"/>
              </w:rPr>
              <w:t xml:space="preserve">　</w:t>
            </w:r>
          </w:p>
        </w:tc>
      </w:tr>
    </w:tbl>
    <w:p w14:paraId="533EF769" w14:textId="12683C09" w:rsidR="00CA30C3" w:rsidRPr="00D0797F" w:rsidRDefault="00A774FE" w:rsidP="00A774FE">
      <w:pPr>
        <w:jc w:val="right"/>
        <w:rPr>
          <w:rFonts w:ascii="ＭＳ ゴシック" w:eastAsia="ＭＳ ゴシック" w:hAnsi="ＭＳ ゴシック"/>
          <w:sz w:val="16"/>
          <w:szCs w:val="16"/>
        </w:rPr>
      </w:pPr>
      <w:r w:rsidRPr="00D0797F">
        <w:rPr>
          <w:rFonts w:ascii="ＭＳ Ｐゴシック" w:eastAsia="ＭＳ Ｐゴシック" w:hAnsi="ＭＳ Ｐゴシック" w:hint="eastAsia"/>
          <w:kern w:val="0"/>
          <w:sz w:val="16"/>
          <w:szCs w:val="16"/>
        </w:rPr>
        <w:t>※平成30年度に企業会計へ移行</w:t>
      </w:r>
    </w:p>
    <w:p w14:paraId="4A76C298" w14:textId="4AECBEB0" w:rsidR="00161B0C" w:rsidRPr="00621ABE" w:rsidRDefault="00621ABE" w:rsidP="00621ABE">
      <w:pPr>
        <w:adjustRightInd w:val="0"/>
        <w:ind w:firstLineChars="200" w:firstLine="480"/>
        <w:rPr>
          <w:rFonts w:ascii="ＭＳ ゴシック" w:eastAsia="ＭＳ ゴシック" w:hAnsi="ＭＳ ゴシック"/>
          <w:sz w:val="24"/>
          <w:szCs w:val="24"/>
        </w:rPr>
      </w:pPr>
      <w:r w:rsidRPr="00621ABE">
        <w:rPr>
          <w:rFonts w:ascii="ＭＳ ゴシック" w:eastAsia="ＭＳ ゴシック" w:hAnsi="ＭＳ ゴシック" w:hint="eastAsia"/>
          <w:sz w:val="24"/>
          <w:szCs w:val="24"/>
        </w:rPr>
        <w:lastRenderedPageBreak/>
        <w:t>③</w:t>
      </w:r>
      <w:r>
        <w:rPr>
          <w:rFonts w:ascii="ＭＳ ゴシック" w:eastAsia="ＭＳ ゴシック" w:hAnsi="ＭＳ ゴシック" w:hint="eastAsia"/>
          <w:sz w:val="24"/>
          <w:szCs w:val="24"/>
        </w:rPr>
        <w:t xml:space="preserve"> </w:t>
      </w:r>
      <w:r w:rsidRPr="00621ABE">
        <w:rPr>
          <w:rFonts w:ascii="ＭＳ ゴシック" w:eastAsia="ＭＳ ゴシック" w:hAnsi="ＭＳ ゴシック" w:hint="eastAsia"/>
          <w:sz w:val="24"/>
          <w:szCs w:val="24"/>
        </w:rPr>
        <w:t>規模別</w:t>
      </w:r>
      <w:r w:rsidR="0047583F" w:rsidRPr="00621ABE">
        <w:rPr>
          <w:rFonts w:ascii="ＭＳ ゴシック" w:eastAsia="ＭＳ ゴシック" w:hAnsi="ＭＳ ゴシック" w:hint="eastAsia"/>
          <w:sz w:val="24"/>
          <w:szCs w:val="24"/>
        </w:rPr>
        <w:t xml:space="preserve">　</w:t>
      </w:r>
      <w:r w:rsidR="00161B0C" w:rsidRPr="00621ABE">
        <w:rPr>
          <w:rFonts w:ascii="ＭＳ ゴシック" w:eastAsia="ＭＳ ゴシック" w:hAnsi="ＭＳ ゴシック" w:hint="eastAsia"/>
          <w:sz w:val="24"/>
          <w:szCs w:val="24"/>
        </w:rPr>
        <w:t>施設数及び延床面積</w:t>
      </w:r>
    </w:p>
    <w:p w14:paraId="27600D69" w14:textId="77777777" w:rsidR="00621ABE" w:rsidRDefault="00093244" w:rsidP="00621ABE">
      <w:pPr>
        <w:adjustRightInd w:val="0"/>
        <w:ind w:leftChars="200" w:left="420"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規模別</w:t>
      </w:r>
      <w:r w:rsidR="00EC510F" w:rsidRPr="004C1386">
        <w:rPr>
          <w:rFonts w:ascii="ＭＳ ゴシック" w:eastAsia="ＭＳ ゴシック" w:hAnsi="ＭＳ ゴシック" w:hint="eastAsia"/>
          <w:sz w:val="24"/>
          <w:szCs w:val="24"/>
        </w:rPr>
        <w:t>にみると、</w:t>
      </w:r>
      <w:r w:rsidR="0044725D" w:rsidRPr="004C1386">
        <w:rPr>
          <w:rFonts w:ascii="ＭＳ ゴシック" w:eastAsia="ＭＳ ゴシック" w:hAnsi="ＭＳ ゴシック" w:hint="eastAsia"/>
          <w:sz w:val="24"/>
          <w:szCs w:val="24"/>
        </w:rPr>
        <w:t>施設数</w:t>
      </w:r>
      <w:r w:rsidR="00EC510F" w:rsidRPr="004C1386">
        <w:rPr>
          <w:rFonts w:ascii="ＭＳ ゴシック" w:eastAsia="ＭＳ ゴシック" w:hAnsi="ＭＳ ゴシック" w:hint="eastAsia"/>
          <w:sz w:val="24"/>
          <w:szCs w:val="24"/>
        </w:rPr>
        <w:t>では</w:t>
      </w:r>
      <w:r w:rsidR="0044725D" w:rsidRPr="004C1386">
        <w:rPr>
          <w:rFonts w:ascii="ＭＳ ゴシック" w:eastAsia="ＭＳ ゴシック" w:hAnsi="ＭＳ ゴシック" w:hint="eastAsia"/>
          <w:sz w:val="24"/>
          <w:szCs w:val="24"/>
        </w:rPr>
        <w:t>、</w:t>
      </w:r>
      <w:r w:rsidR="00EC510F" w:rsidRPr="004C1386">
        <w:rPr>
          <w:rFonts w:ascii="ＭＳ ゴシック" w:eastAsia="ＭＳ ゴシック" w:hAnsi="ＭＳ ゴシック" w:hint="eastAsia"/>
          <w:sz w:val="24"/>
          <w:szCs w:val="24"/>
        </w:rPr>
        <w:t>全体の</w:t>
      </w:r>
      <w:r w:rsidR="00E33C4C" w:rsidRPr="004C1386">
        <w:rPr>
          <w:rFonts w:ascii="ＭＳ ゴシック" w:eastAsia="ＭＳ ゴシック" w:hAnsi="ＭＳ ゴシック" w:hint="eastAsia"/>
          <w:sz w:val="24"/>
          <w:szCs w:val="24"/>
        </w:rPr>
        <w:t>約４４</w:t>
      </w:r>
      <w:r w:rsidR="009C1975">
        <w:rPr>
          <w:rFonts w:ascii="ＭＳ ゴシック" w:eastAsia="ＭＳ ゴシック" w:hAnsi="ＭＳ ゴシック" w:hint="eastAsia"/>
          <w:sz w:val="24"/>
          <w:szCs w:val="24"/>
        </w:rPr>
        <w:t>パーセント</w:t>
      </w:r>
      <w:r w:rsidR="00444FAF" w:rsidRPr="004C1386">
        <w:rPr>
          <w:rFonts w:ascii="ＭＳ ゴシック" w:eastAsia="ＭＳ ゴシック" w:hAnsi="ＭＳ ゴシック" w:hint="eastAsia"/>
          <w:sz w:val="24"/>
          <w:szCs w:val="24"/>
        </w:rPr>
        <w:t>が</w:t>
      </w:r>
      <w:r w:rsidRPr="004C1386">
        <w:rPr>
          <w:rFonts w:ascii="ＭＳ ゴシック" w:eastAsia="ＭＳ ゴシック" w:hAnsi="ＭＳ ゴシック" w:hint="eastAsia"/>
          <w:sz w:val="24"/>
          <w:szCs w:val="24"/>
        </w:rPr>
        <w:t>１００</w:t>
      </w:r>
      <w:r w:rsidR="00244CF8">
        <w:rPr>
          <w:rFonts w:ascii="ＭＳ ゴシック" w:eastAsia="ＭＳ ゴシック" w:hAnsi="ＭＳ ゴシック" w:hint="eastAsia"/>
          <w:sz w:val="24"/>
          <w:szCs w:val="24"/>
        </w:rPr>
        <w:t>平方メートル</w:t>
      </w:r>
      <w:r w:rsidRPr="004C1386">
        <w:rPr>
          <w:rFonts w:ascii="ＭＳ ゴシック" w:eastAsia="ＭＳ ゴシック" w:hAnsi="ＭＳ ゴシック" w:hint="eastAsia"/>
          <w:sz w:val="24"/>
          <w:szCs w:val="24"/>
        </w:rPr>
        <w:t>未満の小規模施設（</w:t>
      </w:r>
      <w:r w:rsidR="00F30B56" w:rsidRPr="004C1386">
        <w:rPr>
          <w:rFonts w:ascii="ＭＳ ゴシック" w:eastAsia="ＭＳ ゴシック" w:hAnsi="ＭＳ ゴシック" w:hint="eastAsia"/>
          <w:sz w:val="24"/>
          <w:szCs w:val="24"/>
        </w:rPr>
        <w:t>交番、</w:t>
      </w:r>
      <w:r w:rsidRPr="004C1386">
        <w:rPr>
          <w:rFonts w:ascii="ＭＳ ゴシック" w:eastAsia="ＭＳ ゴシック" w:hAnsi="ＭＳ ゴシック" w:hint="eastAsia"/>
          <w:sz w:val="24"/>
          <w:szCs w:val="24"/>
        </w:rPr>
        <w:t>水防倉庫、地盤沈下観測所など）である。</w:t>
      </w:r>
    </w:p>
    <w:p w14:paraId="3C9FF45A" w14:textId="2496CC53" w:rsidR="00400C4E" w:rsidRDefault="00093244" w:rsidP="00621ABE">
      <w:pPr>
        <w:adjustRightInd w:val="0"/>
        <w:ind w:leftChars="200" w:left="420" w:firstLineChars="100" w:firstLine="24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一方、延床面積でみると、</w:t>
      </w:r>
      <w:r w:rsidR="00EC510F" w:rsidRPr="004C1386">
        <w:rPr>
          <w:rFonts w:ascii="ＭＳ ゴシック" w:eastAsia="ＭＳ ゴシック" w:hAnsi="ＭＳ ゴシック" w:hint="eastAsia"/>
          <w:sz w:val="24"/>
          <w:szCs w:val="24"/>
        </w:rPr>
        <w:t>施設数では約</w:t>
      </w:r>
      <w:r w:rsidR="007C655B" w:rsidRPr="004C1386">
        <w:rPr>
          <w:rFonts w:ascii="ＭＳ ゴシック" w:eastAsia="ＭＳ ゴシック" w:hAnsi="ＭＳ ゴシック" w:hint="eastAsia"/>
          <w:sz w:val="24"/>
          <w:szCs w:val="24"/>
        </w:rPr>
        <w:t>２０</w:t>
      </w:r>
      <w:r w:rsidR="009C1975">
        <w:rPr>
          <w:rFonts w:ascii="ＭＳ ゴシック" w:eastAsia="ＭＳ ゴシック" w:hAnsi="ＭＳ ゴシック" w:hint="eastAsia"/>
          <w:sz w:val="24"/>
          <w:szCs w:val="24"/>
        </w:rPr>
        <w:t>パーセント</w:t>
      </w:r>
      <w:r w:rsidR="00EC510F" w:rsidRPr="004C1386">
        <w:rPr>
          <w:rFonts w:ascii="ＭＳ ゴシック" w:eastAsia="ＭＳ ゴシック" w:hAnsi="ＭＳ ゴシック" w:hint="eastAsia"/>
          <w:sz w:val="24"/>
          <w:szCs w:val="24"/>
        </w:rPr>
        <w:t>程度である</w:t>
      </w:r>
      <w:r w:rsidR="007C655B" w:rsidRPr="004C1386">
        <w:rPr>
          <w:rFonts w:ascii="ＭＳ ゴシック" w:eastAsia="ＭＳ ゴシック" w:hAnsi="ＭＳ ゴシック" w:hint="eastAsia"/>
          <w:sz w:val="24"/>
          <w:szCs w:val="24"/>
        </w:rPr>
        <w:t>１</w:t>
      </w:r>
      <w:r w:rsidRPr="004C1386">
        <w:rPr>
          <w:rFonts w:ascii="ＭＳ ゴシック" w:eastAsia="ＭＳ ゴシック" w:hAnsi="ＭＳ ゴシック" w:hint="eastAsia"/>
          <w:sz w:val="24"/>
          <w:szCs w:val="24"/>
        </w:rPr>
        <w:t>万</w:t>
      </w:r>
      <w:r w:rsidR="00244CF8">
        <w:rPr>
          <w:rFonts w:ascii="ＭＳ ゴシック" w:eastAsia="ＭＳ ゴシック" w:hAnsi="ＭＳ ゴシック" w:hint="eastAsia"/>
          <w:sz w:val="24"/>
          <w:szCs w:val="24"/>
        </w:rPr>
        <w:t>平方メートル</w:t>
      </w:r>
      <w:r w:rsidRPr="004C1386">
        <w:rPr>
          <w:rFonts w:ascii="ＭＳ ゴシック" w:eastAsia="ＭＳ ゴシック" w:hAnsi="ＭＳ ゴシック" w:hint="eastAsia"/>
          <w:sz w:val="24"/>
          <w:szCs w:val="24"/>
        </w:rPr>
        <w:t>以上の大規模施設</w:t>
      </w:r>
      <w:r w:rsidR="00F30B56" w:rsidRPr="004C1386">
        <w:rPr>
          <w:rFonts w:ascii="ＭＳ ゴシック" w:eastAsia="ＭＳ ゴシック" w:hAnsi="ＭＳ ゴシック" w:hint="eastAsia"/>
          <w:sz w:val="24"/>
          <w:szCs w:val="24"/>
        </w:rPr>
        <w:t>（</w:t>
      </w:r>
      <w:r w:rsidR="00D50662" w:rsidRPr="004C1386">
        <w:rPr>
          <w:rFonts w:ascii="ＭＳ ゴシック" w:eastAsia="ＭＳ ゴシック" w:hAnsi="ＭＳ ゴシック" w:hint="eastAsia"/>
          <w:sz w:val="24"/>
          <w:szCs w:val="24"/>
        </w:rPr>
        <w:t>府</w:t>
      </w:r>
      <w:r w:rsidR="002C2D0F" w:rsidRPr="004C1386">
        <w:rPr>
          <w:rFonts w:ascii="ＭＳ ゴシック" w:eastAsia="ＭＳ ゴシック" w:hAnsi="ＭＳ ゴシック" w:hint="eastAsia"/>
          <w:sz w:val="24"/>
          <w:szCs w:val="24"/>
        </w:rPr>
        <w:t>営</w:t>
      </w:r>
      <w:r w:rsidR="00F30B56" w:rsidRPr="004C1386">
        <w:rPr>
          <w:rFonts w:ascii="ＭＳ ゴシック" w:eastAsia="ＭＳ ゴシック" w:hAnsi="ＭＳ ゴシック" w:hint="eastAsia"/>
          <w:sz w:val="24"/>
          <w:szCs w:val="24"/>
        </w:rPr>
        <w:t>住宅、学校</w:t>
      </w:r>
      <w:r w:rsidR="00C56296" w:rsidRPr="004C1386">
        <w:rPr>
          <w:rFonts w:ascii="ＭＳ ゴシック" w:eastAsia="ＭＳ ゴシック" w:hAnsi="ＭＳ ゴシック" w:hint="eastAsia"/>
          <w:sz w:val="24"/>
          <w:szCs w:val="24"/>
        </w:rPr>
        <w:t>、本庁舎</w:t>
      </w:r>
      <w:r w:rsidR="00EC510F" w:rsidRPr="004C1386">
        <w:rPr>
          <w:rFonts w:ascii="ＭＳ ゴシック" w:eastAsia="ＭＳ ゴシック" w:hAnsi="ＭＳ ゴシック" w:hint="eastAsia"/>
          <w:sz w:val="24"/>
          <w:szCs w:val="24"/>
        </w:rPr>
        <w:t>、警察本部</w:t>
      </w:r>
      <w:r w:rsidR="00366E06" w:rsidRPr="004C1386">
        <w:rPr>
          <w:rFonts w:ascii="ＭＳ ゴシック" w:eastAsia="ＭＳ ゴシック" w:hAnsi="ＭＳ ゴシック" w:hint="eastAsia"/>
          <w:sz w:val="24"/>
          <w:szCs w:val="24"/>
        </w:rPr>
        <w:t>本庁舎</w:t>
      </w:r>
      <w:r w:rsidR="00414DD7" w:rsidRPr="004C1386">
        <w:rPr>
          <w:rFonts w:ascii="ＭＳ ゴシック" w:eastAsia="ＭＳ ゴシック" w:hAnsi="ＭＳ ゴシック" w:hint="eastAsia"/>
          <w:sz w:val="24"/>
          <w:szCs w:val="24"/>
        </w:rPr>
        <w:t>及び</w:t>
      </w:r>
      <w:r w:rsidR="00EC510F" w:rsidRPr="004C1386">
        <w:rPr>
          <w:rFonts w:ascii="ＭＳ ゴシック" w:eastAsia="ＭＳ ゴシック" w:hAnsi="ＭＳ ゴシック" w:hint="eastAsia"/>
          <w:sz w:val="24"/>
          <w:szCs w:val="24"/>
        </w:rPr>
        <w:t>大阪府立国際会議場</w:t>
      </w:r>
      <w:r w:rsidR="00F30B56" w:rsidRPr="004C1386">
        <w:rPr>
          <w:rFonts w:ascii="ＭＳ ゴシック" w:eastAsia="ＭＳ ゴシック" w:hAnsi="ＭＳ ゴシック" w:hint="eastAsia"/>
          <w:sz w:val="24"/>
          <w:szCs w:val="24"/>
        </w:rPr>
        <w:t>など</w:t>
      </w:r>
      <w:r w:rsidR="00EC510F" w:rsidRPr="004C1386">
        <w:rPr>
          <w:rFonts w:ascii="ＭＳ ゴシック" w:eastAsia="ＭＳ ゴシック" w:hAnsi="ＭＳ ゴシック" w:hint="eastAsia"/>
          <w:sz w:val="24"/>
          <w:szCs w:val="24"/>
        </w:rPr>
        <w:t>の大型の公の施設</w:t>
      </w:r>
      <w:r w:rsidR="00F30B56" w:rsidRPr="004C1386">
        <w:rPr>
          <w:rFonts w:ascii="ＭＳ ゴシック" w:eastAsia="ＭＳ ゴシック" w:hAnsi="ＭＳ ゴシック" w:hint="eastAsia"/>
          <w:sz w:val="24"/>
          <w:szCs w:val="24"/>
        </w:rPr>
        <w:t>）</w:t>
      </w:r>
      <w:r w:rsidRPr="004C1386">
        <w:rPr>
          <w:rFonts w:ascii="ＭＳ ゴシック" w:eastAsia="ＭＳ ゴシック" w:hAnsi="ＭＳ ゴシック" w:hint="eastAsia"/>
          <w:sz w:val="24"/>
          <w:szCs w:val="24"/>
        </w:rPr>
        <w:t>が</w:t>
      </w:r>
      <w:r w:rsidR="00EC510F" w:rsidRPr="004C1386">
        <w:rPr>
          <w:rFonts w:ascii="ＭＳ ゴシック" w:eastAsia="ＭＳ ゴシック" w:hAnsi="ＭＳ ゴシック" w:hint="eastAsia"/>
          <w:sz w:val="24"/>
          <w:szCs w:val="24"/>
        </w:rPr>
        <w:t>、</w:t>
      </w:r>
      <w:r w:rsidR="009545D4" w:rsidRPr="004C1386">
        <w:rPr>
          <w:rFonts w:ascii="ＭＳ ゴシック" w:eastAsia="ＭＳ ゴシック" w:hAnsi="ＭＳ ゴシック" w:hint="eastAsia"/>
          <w:sz w:val="24"/>
          <w:szCs w:val="24"/>
        </w:rPr>
        <w:t>全体の約９</w:t>
      </w:r>
      <w:r w:rsidR="00444FAF" w:rsidRPr="004C1386">
        <w:rPr>
          <w:rFonts w:ascii="ＭＳ ゴシック" w:eastAsia="ＭＳ ゴシック" w:hAnsi="ＭＳ ゴシック" w:hint="eastAsia"/>
          <w:sz w:val="24"/>
          <w:szCs w:val="24"/>
        </w:rPr>
        <w:t>０</w:t>
      </w:r>
      <w:r w:rsidR="009C1975">
        <w:rPr>
          <w:rFonts w:ascii="ＭＳ ゴシック" w:eastAsia="ＭＳ ゴシック" w:hAnsi="ＭＳ ゴシック" w:hint="eastAsia"/>
          <w:sz w:val="24"/>
          <w:szCs w:val="24"/>
        </w:rPr>
        <w:t>パーセント</w:t>
      </w:r>
      <w:r w:rsidR="00444FAF" w:rsidRPr="004C1386">
        <w:rPr>
          <w:rFonts w:ascii="ＭＳ ゴシック" w:eastAsia="ＭＳ ゴシック" w:hAnsi="ＭＳ ゴシック" w:hint="eastAsia"/>
          <w:sz w:val="24"/>
          <w:szCs w:val="24"/>
        </w:rPr>
        <w:t>を占め</w:t>
      </w:r>
      <w:r w:rsidRPr="004C1386">
        <w:rPr>
          <w:rFonts w:ascii="ＭＳ ゴシック" w:eastAsia="ＭＳ ゴシック" w:hAnsi="ＭＳ ゴシック" w:hint="eastAsia"/>
          <w:sz w:val="24"/>
          <w:szCs w:val="24"/>
        </w:rPr>
        <w:t>ている。</w:t>
      </w:r>
    </w:p>
    <w:p w14:paraId="482959EE" w14:textId="77777777" w:rsidR="00621ABE" w:rsidRPr="004C1386" w:rsidRDefault="00621ABE" w:rsidP="00621ABE">
      <w:pPr>
        <w:adjustRightInd w:val="0"/>
        <w:ind w:leftChars="200" w:left="420" w:firstLineChars="100" w:firstLine="240"/>
        <w:rPr>
          <w:rFonts w:ascii="ＭＳ ゴシック" w:eastAsia="ＭＳ ゴシック" w:hAnsi="ＭＳ ゴシック"/>
          <w:sz w:val="24"/>
          <w:szCs w:val="24"/>
        </w:rPr>
      </w:pPr>
    </w:p>
    <w:p w14:paraId="4A76C29C" w14:textId="4A830732" w:rsidR="00895B6C" w:rsidRDefault="00557517" w:rsidP="00CC2884">
      <w:pPr>
        <w:ind w:rightChars="-242" w:right="-508"/>
        <w:rPr>
          <w:rFonts w:ascii="ＭＳ ゴシック" w:eastAsia="ＭＳ ゴシック" w:hAnsi="ＭＳ ゴシック"/>
          <w:sz w:val="24"/>
          <w:szCs w:val="24"/>
        </w:rPr>
      </w:pPr>
      <w:r w:rsidRPr="004C1386">
        <w:rPr>
          <w:noProof/>
        </w:rPr>
        <w:drawing>
          <wp:inline distT="0" distB="0" distL="0" distR="0" wp14:anchorId="1E382DB0" wp14:editId="78E663B5">
            <wp:extent cx="3060000" cy="3456000"/>
            <wp:effectExtent l="0" t="0" r="7620" b="0"/>
            <wp:docPr id="1" name="グラフ 1" title="規模別施設数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4C1386">
        <w:rPr>
          <w:noProof/>
        </w:rPr>
        <w:drawing>
          <wp:inline distT="0" distB="0" distL="0" distR="0" wp14:anchorId="11FE669E" wp14:editId="40F122B6">
            <wp:extent cx="3076575" cy="3455670"/>
            <wp:effectExtent l="0" t="0" r="0" b="0"/>
            <wp:docPr id="18" name="グラフ 18" title="規模別延床面積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B7D8E4" w14:textId="77777777" w:rsidR="00F34930" w:rsidRPr="00F34930" w:rsidRDefault="00F34930" w:rsidP="00F34930">
      <w:pPr>
        <w:rPr>
          <w:rFonts w:asciiTheme="majorEastAsia" w:eastAsiaTheme="majorEastAsia" w:hAnsiTheme="majorEastAsia"/>
          <w:sz w:val="24"/>
          <w:szCs w:val="24"/>
        </w:rPr>
      </w:pPr>
    </w:p>
    <w:p w14:paraId="0E49FDC2" w14:textId="7A7D2BF1" w:rsidR="00F34930" w:rsidRPr="00F34930" w:rsidRDefault="00F34930" w:rsidP="00F34930">
      <w:pPr>
        <w:ind w:firstLineChars="100" w:firstLine="221"/>
        <w:rPr>
          <w:rFonts w:ascii="ＭＳ Ｐゴシック" w:eastAsia="ＭＳ Ｐゴシック" w:hAnsi="ＭＳ Ｐゴシック"/>
          <w:b/>
          <w:sz w:val="22"/>
        </w:rPr>
      </w:pPr>
      <w:r w:rsidRPr="00F34930">
        <w:rPr>
          <w:rFonts w:ascii="ＭＳ Ｐゴシック" w:eastAsia="ＭＳ Ｐゴシック" w:hAnsi="ＭＳ Ｐゴシック" w:hint="eastAsia"/>
          <w:b/>
          <w:sz w:val="22"/>
        </w:rPr>
        <w:t>【規模別　施設数及び延床面積】</w:t>
      </w:r>
    </w:p>
    <w:tbl>
      <w:tblPr>
        <w:tblW w:w="9355" w:type="dxa"/>
        <w:tblInd w:w="383" w:type="dxa"/>
        <w:tblLayout w:type="fixed"/>
        <w:tblCellMar>
          <w:left w:w="99" w:type="dxa"/>
          <w:right w:w="99" w:type="dxa"/>
        </w:tblCellMar>
        <w:tblLook w:val="04A0" w:firstRow="1" w:lastRow="0" w:firstColumn="1" w:lastColumn="0" w:noHBand="0" w:noVBand="1"/>
      </w:tblPr>
      <w:tblGrid>
        <w:gridCol w:w="2268"/>
        <w:gridCol w:w="1630"/>
        <w:gridCol w:w="1630"/>
        <w:gridCol w:w="2126"/>
        <w:gridCol w:w="1701"/>
      </w:tblGrid>
      <w:tr w:rsidR="004C1386" w:rsidRPr="004C1386" w14:paraId="666C3379" w14:textId="77777777" w:rsidTr="00F34930">
        <w:trPr>
          <w:trHeight w:hRule="exact" w:val="34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2E256" w14:textId="77777777" w:rsidR="001F5965" w:rsidRPr="004C1386" w:rsidRDefault="001F5965" w:rsidP="007C655B">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施設区分</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14:paraId="2351B4B1" w14:textId="77777777" w:rsidR="001F5965" w:rsidRPr="004C1386" w:rsidRDefault="001F5965" w:rsidP="007C655B">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施設数</w:t>
            </w:r>
          </w:p>
        </w:tc>
        <w:tc>
          <w:tcPr>
            <w:tcW w:w="1630" w:type="dxa"/>
            <w:tcBorders>
              <w:top w:val="single" w:sz="4" w:space="0" w:color="auto"/>
              <w:left w:val="nil"/>
              <w:bottom w:val="single" w:sz="4" w:space="0" w:color="auto"/>
              <w:right w:val="single" w:sz="4" w:space="0" w:color="auto"/>
            </w:tcBorders>
            <w:shd w:val="clear" w:color="auto" w:fill="auto"/>
            <w:noWrap/>
            <w:vAlign w:val="center"/>
            <w:hideMark/>
          </w:tcPr>
          <w:p w14:paraId="108DADAA" w14:textId="19E6AD96" w:rsidR="001F5965" w:rsidRPr="004C1386" w:rsidRDefault="00C63F7C" w:rsidP="007C655B">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施設数</w:t>
            </w:r>
            <w:r w:rsidR="001F5965" w:rsidRPr="004C1386">
              <w:rPr>
                <w:rFonts w:ascii="ＭＳ Ｐゴシック" w:eastAsia="ＭＳ Ｐゴシック" w:hAnsi="ＭＳ Ｐゴシック" w:cs="ＭＳ Ｐゴシック" w:hint="eastAsia"/>
                <w:b/>
                <w:bCs/>
                <w:kern w:val="0"/>
                <w:sz w:val="22"/>
              </w:rPr>
              <w:t>割合</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264C118D" w14:textId="275720EF" w:rsidR="001F5965" w:rsidRPr="004C1386" w:rsidRDefault="00CC2884" w:rsidP="007C655B">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延床</w:t>
            </w:r>
            <w:r w:rsidR="001F5965" w:rsidRPr="004C1386">
              <w:rPr>
                <w:rFonts w:ascii="ＭＳ Ｐゴシック" w:eastAsia="ＭＳ Ｐゴシック" w:hAnsi="ＭＳ Ｐゴシック" w:cs="ＭＳ Ｐゴシック" w:hint="eastAsia"/>
                <w:b/>
                <w:bCs/>
                <w:kern w:val="0"/>
                <w:sz w:val="22"/>
              </w:rPr>
              <w:t>面積</w:t>
            </w:r>
            <w:r w:rsidR="00C63F7C" w:rsidRPr="004C1386">
              <w:rPr>
                <w:rFonts w:ascii="ＭＳ Ｐゴシック" w:eastAsia="ＭＳ Ｐゴシック" w:hAnsi="ＭＳ Ｐゴシック" w:cs="ＭＳ Ｐゴシック" w:hint="eastAsia"/>
                <w:b/>
                <w:bCs/>
                <w:kern w:val="0"/>
                <w:sz w:val="22"/>
              </w:rPr>
              <w: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F4A09F1" w14:textId="7DFEF608" w:rsidR="001F5965" w:rsidRPr="004C1386" w:rsidRDefault="00C63F7C" w:rsidP="007C655B">
            <w:pPr>
              <w:widowControl/>
              <w:jc w:val="center"/>
              <w:rPr>
                <w:rFonts w:ascii="ＭＳ Ｐゴシック" w:eastAsia="ＭＳ Ｐゴシック" w:hAnsi="ＭＳ Ｐゴシック" w:cs="ＭＳ Ｐゴシック"/>
                <w:b/>
                <w:bCs/>
                <w:kern w:val="0"/>
                <w:sz w:val="22"/>
              </w:rPr>
            </w:pPr>
            <w:r w:rsidRPr="004C1386">
              <w:rPr>
                <w:rFonts w:ascii="ＭＳ Ｐゴシック" w:eastAsia="ＭＳ Ｐゴシック" w:hAnsi="ＭＳ Ｐゴシック" w:cs="ＭＳ Ｐゴシック" w:hint="eastAsia"/>
                <w:b/>
                <w:bCs/>
                <w:kern w:val="0"/>
                <w:sz w:val="22"/>
              </w:rPr>
              <w:t>延床面積</w:t>
            </w:r>
            <w:r w:rsidR="001F5965" w:rsidRPr="004C1386">
              <w:rPr>
                <w:rFonts w:ascii="ＭＳ Ｐゴシック" w:eastAsia="ＭＳ Ｐゴシック" w:hAnsi="ＭＳ Ｐゴシック" w:cs="ＭＳ Ｐゴシック" w:hint="eastAsia"/>
                <w:b/>
                <w:bCs/>
                <w:kern w:val="0"/>
                <w:sz w:val="22"/>
              </w:rPr>
              <w:t>割合</w:t>
            </w:r>
          </w:p>
        </w:tc>
      </w:tr>
      <w:tr w:rsidR="004C1386" w:rsidRPr="004C1386" w14:paraId="76C4DBA1"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5FFF8963"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～99㎡</w:t>
            </w:r>
          </w:p>
        </w:tc>
        <w:tc>
          <w:tcPr>
            <w:tcW w:w="1630" w:type="dxa"/>
            <w:tcBorders>
              <w:top w:val="nil"/>
              <w:left w:val="nil"/>
              <w:bottom w:val="single" w:sz="4" w:space="0" w:color="auto"/>
              <w:right w:val="single" w:sz="4" w:space="0" w:color="auto"/>
            </w:tcBorders>
            <w:shd w:val="clear" w:color="auto" w:fill="auto"/>
            <w:noWrap/>
            <w:vAlign w:val="center"/>
            <w:hideMark/>
          </w:tcPr>
          <w:p w14:paraId="69469266" w14:textId="70F1476C"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778</w:t>
            </w:r>
          </w:p>
        </w:tc>
        <w:tc>
          <w:tcPr>
            <w:tcW w:w="1630" w:type="dxa"/>
            <w:tcBorders>
              <w:top w:val="nil"/>
              <w:left w:val="nil"/>
              <w:bottom w:val="single" w:sz="4" w:space="0" w:color="auto"/>
              <w:right w:val="single" w:sz="4" w:space="0" w:color="auto"/>
            </w:tcBorders>
            <w:shd w:val="clear" w:color="auto" w:fill="auto"/>
            <w:noWrap/>
            <w:vAlign w:val="center"/>
            <w:hideMark/>
          </w:tcPr>
          <w:p w14:paraId="536B416C" w14:textId="0F658545"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44%</w:t>
            </w:r>
          </w:p>
        </w:tc>
        <w:tc>
          <w:tcPr>
            <w:tcW w:w="2126" w:type="dxa"/>
            <w:tcBorders>
              <w:top w:val="nil"/>
              <w:left w:val="nil"/>
              <w:bottom w:val="single" w:sz="4" w:space="0" w:color="auto"/>
              <w:right w:val="single" w:sz="4" w:space="0" w:color="auto"/>
            </w:tcBorders>
            <w:shd w:val="clear" w:color="auto" w:fill="auto"/>
            <w:noWrap/>
            <w:vAlign w:val="center"/>
            <w:hideMark/>
          </w:tcPr>
          <w:p w14:paraId="54B9BB6D" w14:textId="21B7C29F"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37,146 </w:t>
            </w:r>
          </w:p>
        </w:tc>
        <w:tc>
          <w:tcPr>
            <w:tcW w:w="1701" w:type="dxa"/>
            <w:tcBorders>
              <w:top w:val="nil"/>
              <w:left w:val="nil"/>
              <w:bottom w:val="single" w:sz="4" w:space="0" w:color="auto"/>
              <w:right w:val="single" w:sz="4" w:space="0" w:color="auto"/>
            </w:tcBorders>
            <w:shd w:val="clear" w:color="auto" w:fill="auto"/>
            <w:noWrap/>
            <w:vAlign w:val="center"/>
            <w:hideMark/>
          </w:tcPr>
          <w:p w14:paraId="745833B7" w14:textId="45D2083A"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0%</w:t>
            </w:r>
          </w:p>
        </w:tc>
      </w:tr>
      <w:tr w:rsidR="004C1386" w:rsidRPr="004C1386" w14:paraId="0CF32A09"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92A9BE8"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100㎡～</w:t>
            </w:r>
          </w:p>
        </w:tc>
        <w:tc>
          <w:tcPr>
            <w:tcW w:w="1630" w:type="dxa"/>
            <w:tcBorders>
              <w:top w:val="nil"/>
              <w:left w:val="nil"/>
              <w:bottom w:val="single" w:sz="4" w:space="0" w:color="auto"/>
              <w:right w:val="single" w:sz="4" w:space="0" w:color="auto"/>
            </w:tcBorders>
            <w:shd w:val="clear" w:color="auto" w:fill="auto"/>
            <w:noWrap/>
            <w:vAlign w:val="center"/>
            <w:hideMark/>
          </w:tcPr>
          <w:p w14:paraId="72AC0D30" w14:textId="7F579A6A"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188</w:t>
            </w:r>
          </w:p>
        </w:tc>
        <w:tc>
          <w:tcPr>
            <w:tcW w:w="1630" w:type="dxa"/>
            <w:tcBorders>
              <w:top w:val="nil"/>
              <w:left w:val="nil"/>
              <w:bottom w:val="single" w:sz="4" w:space="0" w:color="auto"/>
              <w:right w:val="single" w:sz="4" w:space="0" w:color="auto"/>
            </w:tcBorders>
            <w:shd w:val="clear" w:color="auto" w:fill="auto"/>
            <w:noWrap/>
            <w:vAlign w:val="center"/>
            <w:hideMark/>
          </w:tcPr>
          <w:p w14:paraId="4D82D8A8" w14:textId="4D4754E1"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11%</w:t>
            </w:r>
          </w:p>
        </w:tc>
        <w:tc>
          <w:tcPr>
            <w:tcW w:w="2126" w:type="dxa"/>
            <w:tcBorders>
              <w:top w:val="nil"/>
              <w:left w:val="nil"/>
              <w:bottom w:val="single" w:sz="4" w:space="0" w:color="auto"/>
              <w:right w:val="single" w:sz="4" w:space="0" w:color="auto"/>
            </w:tcBorders>
            <w:shd w:val="clear" w:color="auto" w:fill="auto"/>
            <w:noWrap/>
            <w:vAlign w:val="center"/>
            <w:hideMark/>
          </w:tcPr>
          <w:p w14:paraId="2FBE865D" w14:textId="68B7E7FE"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37,857 </w:t>
            </w:r>
          </w:p>
        </w:tc>
        <w:tc>
          <w:tcPr>
            <w:tcW w:w="1701" w:type="dxa"/>
            <w:tcBorders>
              <w:top w:val="nil"/>
              <w:left w:val="nil"/>
              <w:bottom w:val="single" w:sz="4" w:space="0" w:color="auto"/>
              <w:right w:val="single" w:sz="4" w:space="0" w:color="auto"/>
            </w:tcBorders>
            <w:shd w:val="clear" w:color="auto" w:fill="auto"/>
            <w:noWrap/>
            <w:vAlign w:val="center"/>
            <w:hideMark/>
          </w:tcPr>
          <w:p w14:paraId="3B3575C0" w14:textId="662C7DD0"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0%</w:t>
            </w:r>
          </w:p>
        </w:tc>
      </w:tr>
      <w:tr w:rsidR="004C1386" w:rsidRPr="004C1386" w14:paraId="50B57A74"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67A0423B"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500㎡～</w:t>
            </w:r>
          </w:p>
        </w:tc>
        <w:tc>
          <w:tcPr>
            <w:tcW w:w="1630" w:type="dxa"/>
            <w:tcBorders>
              <w:top w:val="nil"/>
              <w:left w:val="nil"/>
              <w:bottom w:val="single" w:sz="4" w:space="0" w:color="auto"/>
              <w:right w:val="single" w:sz="4" w:space="0" w:color="auto"/>
            </w:tcBorders>
            <w:shd w:val="clear" w:color="auto" w:fill="auto"/>
            <w:noWrap/>
            <w:vAlign w:val="center"/>
            <w:hideMark/>
          </w:tcPr>
          <w:p w14:paraId="0A19BCA9" w14:textId="58B2E435"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54</w:t>
            </w:r>
          </w:p>
        </w:tc>
        <w:tc>
          <w:tcPr>
            <w:tcW w:w="1630" w:type="dxa"/>
            <w:tcBorders>
              <w:top w:val="nil"/>
              <w:left w:val="nil"/>
              <w:bottom w:val="single" w:sz="4" w:space="0" w:color="auto"/>
              <w:right w:val="single" w:sz="4" w:space="0" w:color="auto"/>
            </w:tcBorders>
            <w:shd w:val="clear" w:color="auto" w:fill="auto"/>
            <w:noWrap/>
            <w:vAlign w:val="center"/>
            <w:hideMark/>
          </w:tcPr>
          <w:p w14:paraId="1867501A" w14:textId="5C499937"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3%</w:t>
            </w:r>
          </w:p>
        </w:tc>
        <w:tc>
          <w:tcPr>
            <w:tcW w:w="2126" w:type="dxa"/>
            <w:tcBorders>
              <w:top w:val="nil"/>
              <w:left w:val="nil"/>
              <w:bottom w:val="single" w:sz="4" w:space="0" w:color="auto"/>
              <w:right w:val="single" w:sz="4" w:space="0" w:color="auto"/>
            </w:tcBorders>
            <w:shd w:val="clear" w:color="auto" w:fill="auto"/>
            <w:noWrap/>
            <w:vAlign w:val="center"/>
            <w:hideMark/>
          </w:tcPr>
          <w:p w14:paraId="4E78AB78" w14:textId="0750F6B4"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39,476 </w:t>
            </w:r>
          </w:p>
        </w:tc>
        <w:tc>
          <w:tcPr>
            <w:tcW w:w="1701" w:type="dxa"/>
            <w:tcBorders>
              <w:top w:val="nil"/>
              <w:left w:val="nil"/>
              <w:bottom w:val="single" w:sz="4" w:space="0" w:color="auto"/>
              <w:right w:val="single" w:sz="4" w:space="0" w:color="auto"/>
            </w:tcBorders>
            <w:shd w:val="clear" w:color="auto" w:fill="auto"/>
            <w:noWrap/>
            <w:vAlign w:val="center"/>
            <w:hideMark/>
          </w:tcPr>
          <w:p w14:paraId="0656F303" w14:textId="6C1AA3A0"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0%</w:t>
            </w:r>
          </w:p>
        </w:tc>
      </w:tr>
      <w:tr w:rsidR="004C1386" w:rsidRPr="004C1386" w14:paraId="20D985D8"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5D278F1A"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1,000㎡～</w:t>
            </w:r>
          </w:p>
        </w:tc>
        <w:tc>
          <w:tcPr>
            <w:tcW w:w="1630" w:type="dxa"/>
            <w:tcBorders>
              <w:top w:val="nil"/>
              <w:left w:val="nil"/>
              <w:bottom w:val="single" w:sz="4" w:space="0" w:color="auto"/>
              <w:right w:val="single" w:sz="4" w:space="0" w:color="auto"/>
            </w:tcBorders>
            <w:shd w:val="clear" w:color="auto" w:fill="auto"/>
            <w:noWrap/>
            <w:vAlign w:val="center"/>
            <w:hideMark/>
          </w:tcPr>
          <w:p w14:paraId="51A9C5EA" w14:textId="1BC00275"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55</w:t>
            </w:r>
          </w:p>
        </w:tc>
        <w:tc>
          <w:tcPr>
            <w:tcW w:w="1630" w:type="dxa"/>
            <w:tcBorders>
              <w:top w:val="nil"/>
              <w:left w:val="nil"/>
              <w:bottom w:val="single" w:sz="4" w:space="0" w:color="auto"/>
              <w:right w:val="single" w:sz="4" w:space="0" w:color="auto"/>
            </w:tcBorders>
            <w:shd w:val="clear" w:color="auto" w:fill="auto"/>
            <w:noWrap/>
            <w:vAlign w:val="center"/>
            <w:hideMark/>
          </w:tcPr>
          <w:p w14:paraId="791A8A4E" w14:textId="7BE64772"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3%</w:t>
            </w:r>
          </w:p>
        </w:tc>
        <w:tc>
          <w:tcPr>
            <w:tcW w:w="2126" w:type="dxa"/>
            <w:tcBorders>
              <w:top w:val="nil"/>
              <w:left w:val="nil"/>
              <w:bottom w:val="single" w:sz="4" w:space="0" w:color="auto"/>
              <w:right w:val="single" w:sz="4" w:space="0" w:color="auto"/>
            </w:tcBorders>
            <w:shd w:val="clear" w:color="auto" w:fill="auto"/>
            <w:noWrap/>
            <w:vAlign w:val="center"/>
            <w:hideMark/>
          </w:tcPr>
          <w:p w14:paraId="0A38CC8C" w14:textId="2F717ED5"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79,960 </w:t>
            </w:r>
          </w:p>
        </w:tc>
        <w:tc>
          <w:tcPr>
            <w:tcW w:w="1701" w:type="dxa"/>
            <w:tcBorders>
              <w:top w:val="nil"/>
              <w:left w:val="nil"/>
              <w:bottom w:val="single" w:sz="4" w:space="0" w:color="auto"/>
              <w:right w:val="single" w:sz="4" w:space="0" w:color="auto"/>
            </w:tcBorders>
            <w:shd w:val="clear" w:color="auto" w:fill="auto"/>
            <w:noWrap/>
            <w:vAlign w:val="center"/>
            <w:hideMark/>
          </w:tcPr>
          <w:p w14:paraId="400BD43A" w14:textId="2BE3D314"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w:t>
            </w:r>
          </w:p>
        </w:tc>
      </w:tr>
      <w:tr w:rsidR="004C1386" w:rsidRPr="004C1386" w14:paraId="636D7A50"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53F081F7"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2,000㎡～</w:t>
            </w:r>
          </w:p>
        </w:tc>
        <w:tc>
          <w:tcPr>
            <w:tcW w:w="1630" w:type="dxa"/>
            <w:tcBorders>
              <w:top w:val="nil"/>
              <w:left w:val="nil"/>
              <w:bottom w:val="single" w:sz="4" w:space="0" w:color="auto"/>
              <w:right w:val="single" w:sz="4" w:space="0" w:color="auto"/>
            </w:tcBorders>
            <w:shd w:val="clear" w:color="auto" w:fill="auto"/>
            <w:noWrap/>
            <w:vAlign w:val="center"/>
            <w:hideMark/>
          </w:tcPr>
          <w:p w14:paraId="4CB6BA0B" w14:textId="5C1B66BC"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49</w:t>
            </w:r>
          </w:p>
        </w:tc>
        <w:tc>
          <w:tcPr>
            <w:tcW w:w="1630" w:type="dxa"/>
            <w:tcBorders>
              <w:top w:val="nil"/>
              <w:left w:val="nil"/>
              <w:bottom w:val="single" w:sz="4" w:space="0" w:color="auto"/>
              <w:right w:val="single" w:sz="4" w:space="0" w:color="auto"/>
            </w:tcBorders>
            <w:shd w:val="clear" w:color="auto" w:fill="auto"/>
            <w:noWrap/>
            <w:vAlign w:val="center"/>
            <w:hideMark/>
          </w:tcPr>
          <w:p w14:paraId="190C259E" w14:textId="3726E372"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3%</w:t>
            </w:r>
          </w:p>
        </w:tc>
        <w:tc>
          <w:tcPr>
            <w:tcW w:w="2126" w:type="dxa"/>
            <w:tcBorders>
              <w:top w:val="nil"/>
              <w:left w:val="nil"/>
              <w:bottom w:val="single" w:sz="4" w:space="0" w:color="auto"/>
              <w:right w:val="single" w:sz="4" w:space="0" w:color="auto"/>
            </w:tcBorders>
            <w:shd w:val="clear" w:color="auto" w:fill="auto"/>
            <w:noWrap/>
            <w:vAlign w:val="center"/>
            <w:hideMark/>
          </w:tcPr>
          <w:p w14:paraId="020BEE47" w14:textId="461402D9"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120,777 </w:t>
            </w:r>
          </w:p>
        </w:tc>
        <w:tc>
          <w:tcPr>
            <w:tcW w:w="1701" w:type="dxa"/>
            <w:tcBorders>
              <w:top w:val="nil"/>
              <w:left w:val="nil"/>
              <w:bottom w:val="single" w:sz="4" w:space="0" w:color="auto"/>
              <w:right w:val="single" w:sz="4" w:space="0" w:color="auto"/>
            </w:tcBorders>
            <w:shd w:val="clear" w:color="auto" w:fill="auto"/>
            <w:noWrap/>
            <w:vAlign w:val="center"/>
            <w:hideMark/>
          </w:tcPr>
          <w:p w14:paraId="1EC0BF09" w14:textId="7D838A26"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w:t>
            </w:r>
          </w:p>
        </w:tc>
      </w:tr>
      <w:tr w:rsidR="004C1386" w:rsidRPr="004C1386" w14:paraId="2EE58428"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9FA28D3"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3,000㎡～</w:t>
            </w:r>
          </w:p>
        </w:tc>
        <w:tc>
          <w:tcPr>
            <w:tcW w:w="1630" w:type="dxa"/>
            <w:tcBorders>
              <w:top w:val="nil"/>
              <w:left w:val="nil"/>
              <w:bottom w:val="single" w:sz="4" w:space="0" w:color="auto"/>
              <w:right w:val="single" w:sz="4" w:space="0" w:color="auto"/>
            </w:tcBorders>
            <w:shd w:val="clear" w:color="auto" w:fill="auto"/>
            <w:noWrap/>
            <w:vAlign w:val="center"/>
            <w:hideMark/>
          </w:tcPr>
          <w:p w14:paraId="0CFD17B9" w14:textId="54031E34"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61</w:t>
            </w:r>
          </w:p>
        </w:tc>
        <w:tc>
          <w:tcPr>
            <w:tcW w:w="1630" w:type="dxa"/>
            <w:tcBorders>
              <w:top w:val="nil"/>
              <w:left w:val="nil"/>
              <w:bottom w:val="single" w:sz="4" w:space="0" w:color="auto"/>
              <w:right w:val="single" w:sz="4" w:space="0" w:color="auto"/>
            </w:tcBorders>
            <w:shd w:val="clear" w:color="auto" w:fill="auto"/>
            <w:noWrap/>
            <w:vAlign w:val="center"/>
            <w:hideMark/>
          </w:tcPr>
          <w:p w14:paraId="6483CB6D" w14:textId="2814940C"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3%</w:t>
            </w:r>
          </w:p>
        </w:tc>
        <w:tc>
          <w:tcPr>
            <w:tcW w:w="2126" w:type="dxa"/>
            <w:tcBorders>
              <w:top w:val="nil"/>
              <w:left w:val="nil"/>
              <w:bottom w:val="single" w:sz="4" w:space="0" w:color="auto"/>
              <w:right w:val="single" w:sz="4" w:space="0" w:color="auto"/>
            </w:tcBorders>
            <w:shd w:val="clear" w:color="auto" w:fill="auto"/>
            <w:noWrap/>
            <w:vAlign w:val="center"/>
            <w:hideMark/>
          </w:tcPr>
          <w:p w14:paraId="2F200FC8" w14:textId="2DD681F9"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208,741 </w:t>
            </w:r>
          </w:p>
        </w:tc>
        <w:tc>
          <w:tcPr>
            <w:tcW w:w="1701" w:type="dxa"/>
            <w:tcBorders>
              <w:top w:val="nil"/>
              <w:left w:val="nil"/>
              <w:bottom w:val="single" w:sz="4" w:space="0" w:color="auto"/>
              <w:right w:val="single" w:sz="4" w:space="0" w:color="auto"/>
            </w:tcBorders>
            <w:shd w:val="clear" w:color="auto" w:fill="auto"/>
            <w:noWrap/>
            <w:vAlign w:val="center"/>
            <w:hideMark/>
          </w:tcPr>
          <w:p w14:paraId="7C0A36CE" w14:textId="0666F51B"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2%</w:t>
            </w:r>
          </w:p>
        </w:tc>
      </w:tr>
      <w:tr w:rsidR="004C1386" w:rsidRPr="004C1386" w14:paraId="4FCC9C99"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360BCE2B"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4,000㎡～</w:t>
            </w:r>
          </w:p>
        </w:tc>
        <w:tc>
          <w:tcPr>
            <w:tcW w:w="1630" w:type="dxa"/>
            <w:tcBorders>
              <w:top w:val="nil"/>
              <w:left w:val="nil"/>
              <w:bottom w:val="single" w:sz="4" w:space="0" w:color="auto"/>
              <w:right w:val="single" w:sz="4" w:space="0" w:color="auto"/>
            </w:tcBorders>
            <w:shd w:val="clear" w:color="auto" w:fill="auto"/>
            <w:noWrap/>
            <w:vAlign w:val="center"/>
            <w:hideMark/>
          </w:tcPr>
          <w:p w14:paraId="7DF12714" w14:textId="42DF4F70"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37</w:t>
            </w:r>
          </w:p>
        </w:tc>
        <w:tc>
          <w:tcPr>
            <w:tcW w:w="1630" w:type="dxa"/>
            <w:tcBorders>
              <w:top w:val="nil"/>
              <w:left w:val="nil"/>
              <w:bottom w:val="single" w:sz="4" w:space="0" w:color="auto"/>
              <w:right w:val="single" w:sz="4" w:space="0" w:color="auto"/>
            </w:tcBorders>
            <w:shd w:val="clear" w:color="auto" w:fill="auto"/>
            <w:noWrap/>
            <w:vAlign w:val="center"/>
            <w:hideMark/>
          </w:tcPr>
          <w:p w14:paraId="277513D7" w14:textId="2CF7726E"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2%</w:t>
            </w:r>
          </w:p>
        </w:tc>
        <w:tc>
          <w:tcPr>
            <w:tcW w:w="2126" w:type="dxa"/>
            <w:tcBorders>
              <w:top w:val="nil"/>
              <w:left w:val="nil"/>
              <w:bottom w:val="single" w:sz="4" w:space="0" w:color="auto"/>
              <w:right w:val="single" w:sz="4" w:space="0" w:color="auto"/>
            </w:tcBorders>
            <w:shd w:val="clear" w:color="auto" w:fill="auto"/>
            <w:noWrap/>
            <w:vAlign w:val="center"/>
            <w:hideMark/>
          </w:tcPr>
          <w:p w14:paraId="5186F665" w14:textId="56FE7A05"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167,258 </w:t>
            </w:r>
          </w:p>
        </w:tc>
        <w:tc>
          <w:tcPr>
            <w:tcW w:w="1701" w:type="dxa"/>
            <w:tcBorders>
              <w:top w:val="nil"/>
              <w:left w:val="nil"/>
              <w:bottom w:val="single" w:sz="4" w:space="0" w:color="auto"/>
              <w:right w:val="single" w:sz="4" w:space="0" w:color="auto"/>
            </w:tcBorders>
            <w:shd w:val="clear" w:color="auto" w:fill="auto"/>
            <w:noWrap/>
            <w:vAlign w:val="center"/>
            <w:hideMark/>
          </w:tcPr>
          <w:p w14:paraId="41A771FC" w14:textId="29306C3F"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w:t>
            </w:r>
          </w:p>
        </w:tc>
      </w:tr>
      <w:tr w:rsidR="004C1386" w:rsidRPr="004C1386" w14:paraId="37114FB2"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7A0816E"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5,000㎡～</w:t>
            </w:r>
          </w:p>
        </w:tc>
        <w:tc>
          <w:tcPr>
            <w:tcW w:w="1630" w:type="dxa"/>
            <w:tcBorders>
              <w:top w:val="nil"/>
              <w:left w:val="nil"/>
              <w:bottom w:val="single" w:sz="4" w:space="0" w:color="auto"/>
              <w:right w:val="single" w:sz="4" w:space="0" w:color="auto"/>
            </w:tcBorders>
            <w:shd w:val="clear" w:color="auto" w:fill="auto"/>
            <w:noWrap/>
            <w:vAlign w:val="center"/>
            <w:hideMark/>
          </w:tcPr>
          <w:p w14:paraId="63924FB8" w14:textId="690D4120"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107</w:t>
            </w:r>
          </w:p>
        </w:tc>
        <w:tc>
          <w:tcPr>
            <w:tcW w:w="1630" w:type="dxa"/>
            <w:tcBorders>
              <w:top w:val="nil"/>
              <w:left w:val="nil"/>
              <w:bottom w:val="single" w:sz="4" w:space="0" w:color="auto"/>
              <w:right w:val="single" w:sz="4" w:space="0" w:color="auto"/>
            </w:tcBorders>
            <w:shd w:val="clear" w:color="auto" w:fill="auto"/>
            <w:noWrap/>
            <w:vAlign w:val="center"/>
            <w:hideMark/>
          </w:tcPr>
          <w:p w14:paraId="7F09424C" w14:textId="532E181B"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6%</w:t>
            </w:r>
          </w:p>
        </w:tc>
        <w:tc>
          <w:tcPr>
            <w:tcW w:w="2126" w:type="dxa"/>
            <w:tcBorders>
              <w:top w:val="nil"/>
              <w:left w:val="nil"/>
              <w:bottom w:val="single" w:sz="4" w:space="0" w:color="auto"/>
              <w:right w:val="single" w:sz="4" w:space="0" w:color="auto"/>
            </w:tcBorders>
            <w:shd w:val="clear" w:color="auto" w:fill="auto"/>
            <w:noWrap/>
            <w:vAlign w:val="center"/>
            <w:hideMark/>
          </w:tcPr>
          <w:p w14:paraId="21415280" w14:textId="351DCDB7"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761,734 </w:t>
            </w:r>
          </w:p>
        </w:tc>
        <w:tc>
          <w:tcPr>
            <w:tcW w:w="1701" w:type="dxa"/>
            <w:tcBorders>
              <w:top w:val="nil"/>
              <w:left w:val="nil"/>
              <w:bottom w:val="single" w:sz="4" w:space="0" w:color="auto"/>
              <w:right w:val="single" w:sz="4" w:space="0" w:color="auto"/>
            </w:tcBorders>
            <w:shd w:val="clear" w:color="auto" w:fill="auto"/>
            <w:noWrap/>
            <w:vAlign w:val="center"/>
            <w:hideMark/>
          </w:tcPr>
          <w:p w14:paraId="6206B9C3" w14:textId="175CA6D0"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6%</w:t>
            </w:r>
          </w:p>
        </w:tc>
      </w:tr>
      <w:tr w:rsidR="004C1386" w:rsidRPr="004C1386" w14:paraId="6DD2B8D6"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2E2B420C"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10,000㎡～</w:t>
            </w:r>
          </w:p>
        </w:tc>
        <w:tc>
          <w:tcPr>
            <w:tcW w:w="1630" w:type="dxa"/>
            <w:tcBorders>
              <w:top w:val="nil"/>
              <w:left w:val="nil"/>
              <w:bottom w:val="single" w:sz="4" w:space="0" w:color="auto"/>
              <w:right w:val="single" w:sz="4" w:space="0" w:color="auto"/>
            </w:tcBorders>
            <w:shd w:val="clear" w:color="auto" w:fill="auto"/>
            <w:noWrap/>
            <w:vAlign w:val="center"/>
            <w:hideMark/>
          </w:tcPr>
          <w:p w14:paraId="4C918CCB" w14:textId="184A48F1"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153</w:t>
            </w:r>
          </w:p>
        </w:tc>
        <w:tc>
          <w:tcPr>
            <w:tcW w:w="1630" w:type="dxa"/>
            <w:tcBorders>
              <w:top w:val="nil"/>
              <w:left w:val="nil"/>
              <w:bottom w:val="single" w:sz="4" w:space="0" w:color="auto"/>
              <w:right w:val="single" w:sz="4" w:space="0" w:color="auto"/>
            </w:tcBorders>
            <w:shd w:val="clear" w:color="auto" w:fill="auto"/>
            <w:noWrap/>
            <w:vAlign w:val="center"/>
            <w:hideMark/>
          </w:tcPr>
          <w:p w14:paraId="06D317B3" w14:textId="5DDCC11C"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9%</w:t>
            </w:r>
          </w:p>
        </w:tc>
        <w:tc>
          <w:tcPr>
            <w:tcW w:w="2126" w:type="dxa"/>
            <w:tcBorders>
              <w:top w:val="nil"/>
              <w:left w:val="nil"/>
              <w:bottom w:val="single" w:sz="4" w:space="0" w:color="auto"/>
              <w:right w:val="single" w:sz="4" w:space="0" w:color="auto"/>
            </w:tcBorders>
            <w:shd w:val="clear" w:color="auto" w:fill="auto"/>
            <w:noWrap/>
            <w:vAlign w:val="center"/>
            <w:hideMark/>
          </w:tcPr>
          <w:p w14:paraId="6B40DA3C" w14:textId="23922CDE"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2,013,181 </w:t>
            </w:r>
          </w:p>
        </w:tc>
        <w:tc>
          <w:tcPr>
            <w:tcW w:w="1701" w:type="dxa"/>
            <w:tcBorders>
              <w:top w:val="nil"/>
              <w:left w:val="nil"/>
              <w:bottom w:val="single" w:sz="4" w:space="0" w:color="auto"/>
              <w:right w:val="single" w:sz="4" w:space="0" w:color="auto"/>
            </w:tcBorders>
            <w:shd w:val="clear" w:color="auto" w:fill="auto"/>
            <w:noWrap/>
            <w:vAlign w:val="center"/>
            <w:hideMark/>
          </w:tcPr>
          <w:p w14:paraId="32011015" w14:textId="7D1C9B88" w:rsidR="00557517" w:rsidRPr="004C1386" w:rsidRDefault="00557517" w:rsidP="00CC2884">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15%</w:t>
            </w:r>
          </w:p>
        </w:tc>
      </w:tr>
      <w:tr w:rsidR="004C1386" w:rsidRPr="004C1386" w14:paraId="64D81C51"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4809E752"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15,000㎡～</w:t>
            </w:r>
          </w:p>
        </w:tc>
        <w:tc>
          <w:tcPr>
            <w:tcW w:w="1630" w:type="dxa"/>
            <w:tcBorders>
              <w:top w:val="nil"/>
              <w:left w:val="nil"/>
              <w:bottom w:val="single" w:sz="4" w:space="0" w:color="auto"/>
              <w:right w:val="single" w:sz="4" w:space="0" w:color="auto"/>
            </w:tcBorders>
            <w:shd w:val="clear" w:color="auto" w:fill="auto"/>
            <w:noWrap/>
            <w:vAlign w:val="center"/>
            <w:hideMark/>
          </w:tcPr>
          <w:p w14:paraId="3EFC1F1D" w14:textId="67617B81"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91</w:t>
            </w:r>
          </w:p>
        </w:tc>
        <w:tc>
          <w:tcPr>
            <w:tcW w:w="1630" w:type="dxa"/>
            <w:tcBorders>
              <w:top w:val="nil"/>
              <w:left w:val="nil"/>
              <w:bottom w:val="single" w:sz="4" w:space="0" w:color="auto"/>
              <w:right w:val="single" w:sz="4" w:space="0" w:color="auto"/>
            </w:tcBorders>
            <w:shd w:val="clear" w:color="auto" w:fill="auto"/>
            <w:noWrap/>
            <w:vAlign w:val="center"/>
            <w:hideMark/>
          </w:tcPr>
          <w:p w14:paraId="69426BB5" w14:textId="2AD33134"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5%</w:t>
            </w:r>
          </w:p>
        </w:tc>
        <w:tc>
          <w:tcPr>
            <w:tcW w:w="2126" w:type="dxa"/>
            <w:tcBorders>
              <w:top w:val="nil"/>
              <w:left w:val="nil"/>
              <w:bottom w:val="single" w:sz="4" w:space="0" w:color="auto"/>
              <w:right w:val="single" w:sz="4" w:space="0" w:color="auto"/>
            </w:tcBorders>
            <w:shd w:val="clear" w:color="auto" w:fill="auto"/>
            <w:noWrap/>
            <w:vAlign w:val="center"/>
            <w:hideMark/>
          </w:tcPr>
          <w:p w14:paraId="342AE63B" w14:textId="18D728F3"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1,535,988 </w:t>
            </w:r>
          </w:p>
        </w:tc>
        <w:tc>
          <w:tcPr>
            <w:tcW w:w="1701" w:type="dxa"/>
            <w:tcBorders>
              <w:top w:val="nil"/>
              <w:left w:val="nil"/>
              <w:bottom w:val="single" w:sz="4" w:space="0" w:color="auto"/>
              <w:right w:val="single" w:sz="4" w:space="0" w:color="auto"/>
            </w:tcBorders>
            <w:shd w:val="clear" w:color="auto" w:fill="auto"/>
            <w:noWrap/>
            <w:vAlign w:val="center"/>
            <w:hideMark/>
          </w:tcPr>
          <w:p w14:paraId="6CCF395A" w14:textId="78C59A46"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12%</w:t>
            </w:r>
          </w:p>
        </w:tc>
      </w:tr>
      <w:tr w:rsidR="004C1386" w:rsidRPr="004C1386" w14:paraId="3306DE21"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51C33B8C"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20,000㎡～</w:t>
            </w:r>
          </w:p>
        </w:tc>
        <w:tc>
          <w:tcPr>
            <w:tcW w:w="1630" w:type="dxa"/>
            <w:tcBorders>
              <w:top w:val="nil"/>
              <w:left w:val="nil"/>
              <w:bottom w:val="single" w:sz="4" w:space="0" w:color="auto"/>
              <w:right w:val="single" w:sz="4" w:space="0" w:color="auto"/>
            </w:tcBorders>
            <w:shd w:val="clear" w:color="auto" w:fill="auto"/>
            <w:noWrap/>
            <w:vAlign w:val="center"/>
            <w:hideMark/>
          </w:tcPr>
          <w:p w14:paraId="49D047D2" w14:textId="0C2D1EEE"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138</w:t>
            </w:r>
          </w:p>
        </w:tc>
        <w:tc>
          <w:tcPr>
            <w:tcW w:w="1630" w:type="dxa"/>
            <w:tcBorders>
              <w:top w:val="nil"/>
              <w:left w:val="nil"/>
              <w:bottom w:val="single" w:sz="4" w:space="0" w:color="auto"/>
              <w:right w:val="single" w:sz="4" w:space="0" w:color="auto"/>
            </w:tcBorders>
            <w:shd w:val="clear" w:color="auto" w:fill="auto"/>
            <w:noWrap/>
            <w:vAlign w:val="center"/>
            <w:hideMark/>
          </w:tcPr>
          <w:p w14:paraId="56601496" w14:textId="68151786"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8%</w:t>
            </w:r>
          </w:p>
        </w:tc>
        <w:tc>
          <w:tcPr>
            <w:tcW w:w="2126" w:type="dxa"/>
            <w:tcBorders>
              <w:top w:val="nil"/>
              <w:left w:val="nil"/>
              <w:bottom w:val="single" w:sz="4" w:space="0" w:color="auto"/>
              <w:right w:val="single" w:sz="4" w:space="0" w:color="auto"/>
            </w:tcBorders>
            <w:shd w:val="clear" w:color="auto" w:fill="auto"/>
            <w:noWrap/>
            <w:vAlign w:val="center"/>
            <w:hideMark/>
          </w:tcPr>
          <w:p w14:paraId="3F029B67" w14:textId="50ACBA2E"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4,235,122 </w:t>
            </w:r>
          </w:p>
        </w:tc>
        <w:tc>
          <w:tcPr>
            <w:tcW w:w="1701" w:type="dxa"/>
            <w:tcBorders>
              <w:top w:val="nil"/>
              <w:left w:val="nil"/>
              <w:bottom w:val="single" w:sz="4" w:space="0" w:color="auto"/>
              <w:right w:val="single" w:sz="4" w:space="0" w:color="auto"/>
            </w:tcBorders>
            <w:shd w:val="clear" w:color="auto" w:fill="auto"/>
            <w:noWrap/>
            <w:vAlign w:val="center"/>
            <w:hideMark/>
          </w:tcPr>
          <w:p w14:paraId="6210A13F" w14:textId="04ED4651"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32%</w:t>
            </w:r>
          </w:p>
        </w:tc>
      </w:tr>
      <w:tr w:rsidR="004C1386" w:rsidRPr="004C1386" w14:paraId="66A21797"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29847593"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50,000㎡～</w:t>
            </w:r>
          </w:p>
        </w:tc>
        <w:tc>
          <w:tcPr>
            <w:tcW w:w="1630" w:type="dxa"/>
            <w:tcBorders>
              <w:top w:val="nil"/>
              <w:left w:val="nil"/>
              <w:bottom w:val="single" w:sz="4" w:space="0" w:color="auto"/>
              <w:right w:val="single" w:sz="4" w:space="0" w:color="auto"/>
            </w:tcBorders>
            <w:shd w:val="clear" w:color="auto" w:fill="auto"/>
            <w:noWrap/>
            <w:vAlign w:val="center"/>
            <w:hideMark/>
          </w:tcPr>
          <w:p w14:paraId="599F5D38" w14:textId="6960332A"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41</w:t>
            </w:r>
          </w:p>
        </w:tc>
        <w:tc>
          <w:tcPr>
            <w:tcW w:w="1630" w:type="dxa"/>
            <w:tcBorders>
              <w:top w:val="nil"/>
              <w:left w:val="nil"/>
              <w:bottom w:val="single" w:sz="4" w:space="0" w:color="auto"/>
              <w:right w:val="single" w:sz="4" w:space="0" w:color="auto"/>
            </w:tcBorders>
            <w:shd w:val="clear" w:color="auto" w:fill="auto"/>
            <w:noWrap/>
            <w:vAlign w:val="center"/>
            <w:hideMark/>
          </w:tcPr>
          <w:p w14:paraId="51C81EDC" w14:textId="19AED5DE"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2%</w:t>
            </w:r>
          </w:p>
        </w:tc>
        <w:tc>
          <w:tcPr>
            <w:tcW w:w="2126" w:type="dxa"/>
            <w:tcBorders>
              <w:top w:val="nil"/>
              <w:left w:val="nil"/>
              <w:bottom w:val="single" w:sz="4" w:space="0" w:color="auto"/>
              <w:right w:val="single" w:sz="4" w:space="0" w:color="auto"/>
            </w:tcBorders>
            <w:shd w:val="clear" w:color="auto" w:fill="auto"/>
            <w:noWrap/>
            <w:vAlign w:val="center"/>
            <w:hideMark/>
          </w:tcPr>
          <w:p w14:paraId="0554BEE2" w14:textId="75F593FA"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2,817,608 </w:t>
            </w:r>
          </w:p>
        </w:tc>
        <w:tc>
          <w:tcPr>
            <w:tcW w:w="1701" w:type="dxa"/>
            <w:tcBorders>
              <w:top w:val="nil"/>
              <w:left w:val="nil"/>
              <w:bottom w:val="single" w:sz="4" w:space="0" w:color="auto"/>
              <w:right w:val="single" w:sz="4" w:space="0" w:color="auto"/>
            </w:tcBorders>
            <w:shd w:val="clear" w:color="auto" w:fill="auto"/>
            <w:noWrap/>
            <w:vAlign w:val="center"/>
            <w:hideMark/>
          </w:tcPr>
          <w:p w14:paraId="1F2B993A" w14:textId="0EDAE698"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21%</w:t>
            </w:r>
          </w:p>
        </w:tc>
      </w:tr>
      <w:tr w:rsidR="004C1386" w:rsidRPr="004C1386" w14:paraId="543BC542"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736FEDAB" w14:textId="77777777" w:rsidR="00557517" w:rsidRPr="004C1386" w:rsidRDefault="00557517" w:rsidP="007C655B">
            <w:pPr>
              <w:widowControl/>
              <w:jc w:val="lef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100,000㎡～</w:t>
            </w:r>
          </w:p>
        </w:tc>
        <w:tc>
          <w:tcPr>
            <w:tcW w:w="1630" w:type="dxa"/>
            <w:tcBorders>
              <w:top w:val="nil"/>
              <w:left w:val="nil"/>
              <w:bottom w:val="single" w:sz="4" w:space="0" w:color="auto"/>
              <w:right w:val="single" w:sz="4" w:space="0" w:color="auto"/>
            </w:tcBorders>
            <w:shd w:val="clear" w:color="auto" w:fill="auto"/>
            <w:noWrap/>
            <w:vAlign w:val="center"/>
            <w:hideMark/>
          </w:tcPr>
          <w:p w14:paraId="27FDB5F4" w14:textId="19D391D9"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9</w:t>
            </w:r>
          </w:p>
        </w:tc>
        <w:tc>
          <w:tcPr>
            <w:tcW w:w="1630" w:type="dxa"/>
            <w:tcBorders>
              <w:top w:val="nil"/>
              <w:left w:val="nil"/>
              <w:bottom w:val="single" w:sz="4" w:space="0" w:color="auto"/>
              <w:right w:val="single" w:sz="4" w:space="0" w:color="auto"/>
            </w:tcBorders>
            <w:shd w:val="clear" w:color="auto" w:fill="auto"/>
            <w:noWrap/>
            <w:vAlign w:val="center"/>
            <w:hideMark/>
          </w:tcPr>
          <w:p w14:paraId="4B3A1CCB" w14:textId="5C2A74E6"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1%</w:t>
            </w:r>
          </w:p>
        </w:tc>
        <w:tc>
          <w:tcPr>
            <w:tcW w:w="2126" w:type="dxa"/>
            <w:tcBorders>
              <w:top w:val="nil"/>
              <w:left w:val="nil"/>
              <w:bottom w:val="single" w:sz="4" w:space="0" w:color="auto"/>
              <w:right w:val="single" w:sz="4" w:space="0" w:color="auto"/>
            </w:tcBorders>
            <w:shd w:val="clear" w:color="auto" w:fill="auto"/>
            <w:noWrap/>
            <w:vAlign w:val="center"/>
            <w:hideMark/>
          </w:tcPr>
          <w:p w14:paraId="0F6F78B5" w14:textId="464AC753"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1,167,977 </w:t>
            </w:r>
          </w:p>
        </w:tc>
        <w:tc>
          <w:tcPr>
            <w:tcW w:w="1701" w:type="dxa"/>
            <w:tcBorders>
              <w:top w:val="nil"/>
              <w:left w:val="nil"/>
              <w:bottom w:val="single" w:sz="4" w:space="0" w:color="auto"/>
              <w:right w:val="single" w:sz="4" w:space="0" w:color="auto"/>
            </w:tcBorders>
            <w:shd w:val="clear" w:color="auto" w:fill="auto"/>
            <w:noWrap/>
            <w:vAlign w:val="center"/>
            <w:hideMark/>
          </w:tcPr>
          <w:p w14:paraId="42766CE1" w14:textId="1163F6C3" w:rsidR="00557517" w:rsidRPr="004C1386" w:rsidRDefault="00557517"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9%</w:t>
            </w:r>
          </w:p>
        </w:tc>
      </w:tr>
      <w:tr w:rsidR="004C1386" w:rsidRPr="004C1386" w14:paraId="5C970AA1" w14:textId="77777777" w:rsidTr="00F34930">
        <w:trPr>
          <w:trHeight w:hRule="exact" w:val="340"/>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14:paraId="140B66CC" w14:textId="622AB35D" w:rsidR="00E33C4C" w:rsidRPr="004C1386" w:rsidRDefault="00E33C4C" w:rsidP="007C655B">
            <w:pPr>
              <w:widowControl/>
              <w:jc w:val="center"/>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合計</w:t>
            </w:r>
          </w:p>
        </w:tc>
        <w:tc>
          <w:tcPr>
            <w:tcW w:w="1630" w:type="dxa"/>
            <w:tcBorders>
              <w:top w:val="nil"/>
              <w:left w:val="nil"/>
              <w:bottom w:val="single" w:sz="4" w:space="0" w:color="auto"/>
              <w:right w:val="single" w:sz="4" w:space="0" w:color="auto"/>
            </w:tcBorders>
            <w:shd w:val="clear" w:color="auto" w:fill="auto"/>
            <w:noWrap/>
            <w:vAlign w:val="center"/>
            <w:hideMark/>
          </w:tcPr>
          <w:p w14:paraId="14735037" w14:textId="3A969B8C" w:rsidR="00E33C4C" w:rsidRPr="004C1386" w:rsidRDefault="00557517" w:rsidP="00CC2884">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1,761</w:t>
            </w:r>
            <w:r w:rsidR="00E33C4C" w:rsidRPr="004C1386">
              <w:rPr>
                <w:rFonts w:ascii="ＭＳ Ｐゴシック" w:eastAsia="ＭＳ Ｐゴシック" w:hAnsi="ＭＳ Ｐゴシック" w:cs="ＭＳ Ｐゴシック" w:hint="eastAsia"/>
                <w:kern w:val="0"/>
                <w:sz w:val="20"/>
                <w:szCs w:val="20"/>
              </w:rPr>
              <w:t xml:space="preserve"> </w:t>
            </w:r>
          </w:p>
        </w:tc>
        <w:tc>
          <w:tcPr>
            <w:tcW w:w="1630" w:type="dxa"/>
            <w:tcBorders>
              <w:top w:val="nil"/>
              <w:left w:val="nil"/>
              <w:bottom w:val="single" w:sz="4" w:space="0" w:color="auto"/>
              <w:right w:val="single" w:sz="4" w:space="0" w:color="auto"/>
            </w:tcBorders>
            <w:shd w:val="clear" w:color="auto" w:fill="auto"/>
            <w:noWrap/>
            <w:vAlign w:val="center"/>
            <w:hideMark/>
          </w:tcPr>
          <w:p w14:paraId="26D918FC" w14:textId="083D1B60" w:rsidR="00E33C4C" w:rsidRPr="004C1386" w:rsidRDefault="00E33C4C"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 xml:space="preserve">100%　</w:t>
            </w:r>
          </w:p>
        </w:tc>
        <w:tc>
          <w:tcPr>
            <w:tcW w:w="2126" w:type="dxa"/>
            <w:tcBorders>
              <w:top w:val="nil"/>
              <w:left w:val="nil"/>
              <w:bottom w:val="single" w:sz="4" w:space="0" w:color="auto"/>
              <w:right w:val="single" w:sz="4" w:space="0" w:color="auto"/>
            </w:tcBorders>
            <w:shd w:val="clear" w:color="auto" w:fill="auto"/>
            <w:noWrap/>
            <w:vAlign w:val="center"/>
            <w:hideMark/>
          </w:tcPr>
          <w:p w14:paraId="71A04E91" w14:textId="5278C398" w:rsidR="00E33C4C" w:rsidRPr="004C1386" w:rsidRDefault="00E33C4C"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hint="eastAsia"/>
                <w:sz w:val="20"/>
                <w:szCs w:val="20"/>
              </w:rPr>
              <w:t xml:space="preserve">13,222,824 </w:t>
            </w:r>
          </w:p>
        </w:tc>
        <w:tc>
          <w:tcPr>
            <w:tcW w:w="1701" w:type="dxa"/>
            <w:tcBorders>
              <w:top w:val="nil"/>
              <w:left w:val="nil"/>
              <w:bottom w:val="single" w:sz="4" w:space="0" w:color="auto"/>
              <w:right w:val="single" w:sz="4" w:space="0" w:color="auto"/>
            </w:tcBorders>
            <w:shd w:val="clear" w:color="auto" w:fill="auto"/>
            <w:noWrap/>
            <w:vAlign w:val="center"/>
            <w:hideMark/>
          </w:tcPr>
          <w:p w14:paraId="2DF2F468" w14:textId="219D3B2C" w:rsidR="00E33C4C" w:rsidRPr="004C1386" w:rsidRDefault="00E33C4C" w:rsidP="007C655B">
            <w:pPr>
              <w:widowControl/>
              <w:jc w:val="right"/>
              <w:rPr>
                <w:rFonts w:ascii="ＭＳ Ｐゴシック" w:eastAsia="ＭＳ Ｐゴシック" w:hAnsi="ＭＳ Ｐゴシック" w:cs="ＭＳ Ｐゴシック"/>
                <w:kern w:val="0"/>
                <w:sz w:val="20"/>
                <w:szCs w:val="20"/>
              </w:rPr>
            </w:pPr>
            <w:r w:rsidRPr="004C1386">
              <w:rPr>
                <w:rFonts w:ascii="ＭＳ Ｐゴシック" w:eastAsia="ＭＳ Ｐゴシック" w:hAnsi="ＭＳ Ｐゴシック" w:cs="ＭＳ Ｐゴシック" w:hint="eastAsia"/>
                <w:kern w:val="0"/>
                <w:sz w:val="20"/>
                <w:szCs w:val="20"/>
              </w:rPr>
              <w:t xml:space="preserve">　100%</w:t>
            </w:r>
          </w:p>
        </w:tc>
      </w:tr>
    </w:tbl>
    <w:p w14:paraId="3D3AA9DB" w14:textId="64A952B4" w:rsidR="00F34930" w:rsidRDefault="00F34930" w:rsidP="00F34930">
      <w:pPr>
        <w:rPr>
          <w:rFonts w:ascii="ＭＳ ゴシック" w:eastAsia="ＭＳ ゴシック" w:hAnsi="ＭＳ ゴシック"/>
          <w:sz w:val="24"/>
          <w:szCs w:val="24"/>
        </w:rPr>
      </w:pPr>
    </w:p>
    <w:p w14:paraId="795EF665" w14:textId="3D5F125C" w:rsidR="005C5D1A" w:rsidRPr="00C270ED" w:rsidRDefault="00F34930" w:rsidP="00C270ED">
      <w:pPr>
        <w:adjustRightInd w:val="0"/>
        <w:ind w:firstLineChars="200" w:firstLine="480"/>
        <w:rPr>
          <w:rFonts w:asciiTheme="majorEastAsia" w:eastAsiaTheme="majorEastAsia" w:hAnsiTheme="majorEastAsia"/>
          <w:sz w:val="24"/>
          <w:szCs w:val="24"/>
        </w:rPr>
      </w:pPr>
      <w:r w:rsidRPr="00C270ED">
        <w:rPr>
          <w:rFonts w:asciiTheme="majorEastAsia" w:eastAsiaTheme="majorEastAsia" w:hAnsiTheme="majorEastAsia" w:hint="eastAsia"/>
          <w:sz w:val="24"/>
          <w:szCs w:val="24"/>
        </w:rPr>
        <w:lastRenderedPageBreak/>
        <w:t>④ 建替</w:t>
      </w:r>
      <w:r w:rsidR="00583F0F" w:rsidRPr="00C270ED">
        <w:rPr>
          <w:rFonts w:asciiTheme="majorEastAsia" w:eastAsiaTheme="majorEastAsia" w:hAnsiTheme="majorEastAsia" w:hint="eastAsia"/>
          <w:sz w:val="24"/>
          <w:szCs w:val="24"/>
        </w:rPr>
        <w:t>時期別</w:t>
      </w:r>
      <w:r w:rsidR="001F67C0" w:rsidRPr="00C270ED">
        <w:rPr>
          <w:rFonts w:asciiTheme="majorEastAsia" w:eastAsiaTheme="majorEastAsia" w:hAnsiTheme="majorEastAsia" w:hint="eastAsia"/>
          <w:sz w:val="24"/>
          <w:szCs w:val="24"/>
        </w:rPr>
        <w:t>施設数及び</w:t>
      </w:r>
      <w:r w:rsidR="005C5D1A" w:rsidRPr="00C270ED">
        <w:rPr>
          <w:rFonts w:asciiTheme="majorEastAsia" w:eastAsiaTheme="majorEastAsia" w:hAnsiTheme="majorEastAsia" w:hint="eastAsia"/>
          <w:sz w:val="24"/>
          <w:szCs w:val="24"/>
        </w:rPr>
        <w:t>延床面積（</w:t>
      </w:r>
      <w:r w:rsidR="009545D4" w:rsidRPr="00C270ED">
        <w:rPr>
          <w:rFonts w:asciiTheme="majorEastAsia" w:eastAsiaTheme="majorEastAsia" w:hAnsiTheme="majorEastAsia" w:hint="eastAsia"/>
          <w:sz w:val="24"/>
          <w:szCs w:val="24"/>
        </w:rPr>
        <w:t>老朽化の状況）</w:t>
      </w:r>
    </w:p>
    <w:p w14:paraId="51FD2FB3" w14:textId="59AD0F90" w:rsidR="00C270ED" w:rsidRDefault="005C5D1A" w:rsidP="00C270ED">
      <w:pPr>
        <w:adjustRightInd w:val="0"/>
        <w:ind w:leftChars="200" w:left="420" w:firstLineChars="100" w:firstLine="240"/>
        <w:rPr>
          <w:rFonts w:asciiTheme="majorEastAsia" w:eastAsiaTheme="majorEastAsia" w:hAnsiTheme="majorEastAsia"/>
          <w:sz w:val="24"/>
          <w:szCs w:val="24"/>
        </w:rPr>
      </w:pPr>
      <w:r w:rsidRPr="00C270ED">
        <w:rPr>
          <w:rFonts w:asciiTheme="majorEastAsia" w:eastAsiaTheme="majorEastAsia" w:hAnsiTheme="majorEastAsia" w:hint="eastAsia"/>
          <w:sz w:val="24"/>
          <w:szCs w:val="24"/>
        </w:rPr>
        <w:t>本</w:t>
      </w:r>
      <w:r w:rsidR="000A79C1" w:rsidRPr="00C270ED">
        <w:rPr>
          <w:rFonts w:asciiTheme="majorEastAsia" w:eastAsiaTheme="majorEastAsia" w:hAnsiTheme="majorEastAsia" w:hint="eastAsia"/>
          <w:sz w:val="24"/>
          <w:szCs w:val="24"/>
        </w:rPr>
        <w:t>府が所有する</w:t>
      </w:r>
      <w:r w:rsidR="001B4FE2" w:rsidRPr="00C270ED">
        <w:rPr>
          <w:rFonts w:asciiTheme="majorEastAsia" w:eastAsiaTheme="majorEastAsia" w:hAnsiTheme="majorEastAsia" w:hint="eastAsia"/>
          <w:sz w:val="24"/>
          <w:szCs w:val="24"/>
        </w:rPr>
        <w:t>施設</w:t>
      </w:r>
      <w:r w:rsidR="000A79C1" w:rsidRPr="00C270ED">
        <w:rPr>
          <w:rFonts w:asciiTheme="majorEastAsia" w:eastAsiaTheme="majorEastAsia" w:hAnsiTheme="majorEastAsia" w:hint="eastAsia"/>
          <w:sz w:val="24"/>
          <w:szCs w:val="24"/>
        </w:rPr>
        <w:t>を</w:t>
      </w:r>
      <w:r w:rsidR="00E52497" w:rsidRPr="00C270ED">
        <w:rPr>
          <w:rFonts w:asciiTheme="majorEastAsia" w:eastAsiaTheme="majorEastAsia" w:hAnsiTheme="majorEastAsia" w:hint="eastAsia"/>
          <w:sz w:val="24"/>
          <w:szCs w:val="24"/>
        </w:rPr>
        <w:t>建築後５０年を経過した後に</w:t>
      </w:r>
      <w:r w:rsidR="00B417FB" w:rsidRPr="00C270ED">
        <w:rPr>
          <w:rFonts w:asciiTheme="majorEastAsia" w:eastAsiaTheme="majorEastAsia" w:hAnsiTheme="majorEastAsia" w:hint="eastAsia"/>
          <w:sz w:val="24"/>
          <w:szCs w:val="24"/>
        </w:rPr>
        <w:t>建</w:t>
      </w:r>
      <w:r w:rsidR="00E441B3" w:rsidRPr="00C270ED">
        <w:rPr>
          <w:rFonts w:asciiTheme="majorEastAsia" w:eastAsiaTheme="majorEastAsia" w:hAnsiTheme="majorEastAsia" w:hint="eastAsia"/>
          <w:sz w:val="24"/>
          <w:szCs w:val="24"/>
        </w:rPr>
        <w:t>て</w:t>
      </w:r>
      <w:r w:rsidR="00B417FB" w:rsidRPr="00C270ED">
        <w:rPr>
          <w:rFonts w:asciiTheme="majorEastAsia" w:eastAsiaTheme="majorEastAsia" w:hAnsiTheme="majorEastAsia" w:hint="eastAsia"/>
          <w:sz w:val="24"/>
          <w:szCs w:val="24"/>
        </w:rPr>
        <w:t>替</w:t>
      </w:r>
      <w:r w:rsidR="00E441B3" w:rsidRPr="00C270ED">
        <w:rPr>
          <w:rFonts w:asciiTheme="majorEastAsia" w:eastAsiaTheme="majorEastAsia" w:hAnsiTheme="majorEastAsia" w:hint="eastAsia"/>
          <w:sz w:val="24"/>
          <w:szCs w:val="24"/>
        </w:rPr>
        <w:t>え</w:t>
      </w:r>
      <w:r w:rsidR="00B417FB" w:rsidRPr="00C270ED">
        <w:rPr>
          <w:rFonts w:asciiTheme="majorEastAsia" w:eastAsiaTheme="majorEastAsia" w:hAnsiTheme="majorEastAsia" w:hint="eastAsia"/>
          <w:sz w:val="24"/>
          <w:szCs w:val="24"/>
        </w:rPr>
        <w:t>るとした場合、７</w:t>
      </w:r>
      <w:r w:rsidR="000A79C1" w:rsidRPr="00C270ED">
        <w:rPr>
          <w:rFonts w:asciiTheme="majorEastAsia" w:eastAsiaTheme="majorEastAsia" w:hAnsiTheme="majorEastAsia" w:hint="eastAsia"/>
          <w:sz w:val="24"/>
          <w:szCs w:val="24"/>
        </w:rPr>
        <w:t>年後の</w:t>
      </w:r>
      <w:r w:rsidR="00104FF5">
        <w:rPr>
          <w:rFonts w:asciiTheme="majorEastAsia" w:eastAsiaTheme="majorEastAsia" w:hAnsiTheme="majorEastAsia" w:hint="eastAsia"/>
          <w:sz w:val="24"/>
          <w:szCs w:val="24"/>
        </w:rPr>
        <w:t>令和</w:t>
      </w:r>
      <w:r w:rsidR="000A79C1" w:rsidRPr="00C270ED">
        <w:rPr>
          <w:rFonts w:asciiTheme="majorEastAsia" w:eastAsiaTheme="majorEastAsia" w:hAnsiTheme="majorEastAsia" w:hint="eastAsia"/>
          <w:sz w:val="24"/>
          <w:szCs w:val="24"/>
        </w:rPr>
        <w:t>４年</w:t>
      </w:r>
      <w:r w:rsidR="002C2D0F" w:rsidRPr="00C270ED">
        <w:rPr>
          <w:rFonts w:asciiTheme="majorEastAsia" w:eastAsiaTheme="majorEastAsia" w:hAnsiTheme="majorEastAsia" w:hint="eastAsia"/>
          <w:sz w:val="24"/>
          <w:szCs w:val="24"/>
        </w:rPr>
        <w:t>（２０２２年）</w:t>
      </w:r>
      <w:r w:rsidR="000A79C1" w:rsidRPr="00C270ED">
        <w:rPr>
          <w:rFonts w:asciiTheme="majorEastAsia" w:eastAsiaTheme="majorEastAsia" w:hAnsiTheme="majorEastAsia" w:hint="eastAsia"/>
          <w:sz w:val="24"/>
          <w:szCs w:val="24"/>
        </w:rPr>
        <w:t>が建替施設数及び延床面積のピーク</w:t>
      </w:r>
      <w:r w:rsidRPr="00C270ED">
        <w:rPr>
          <w:rFonts w:asciiTheme="majorEastAsia" w:eastAsiaTheme="majorEastAsia" w:hAnsiTheme="majorEastAsia" w:hint="eastAsia"/>
          <w:sz w:val="24"/>
          <w:szCs w:val="24"/>
        </w:rPr>
        <w:t>になる</w:t>
      </w:r>
      <w:r w:rsidR="00645BBC" w:rsidRPr="00C270ED">
        <w:rPr>
          <w:rFonts w:asciiTheme="majorEastAsia" w:eastAsiaTheme="majorEastAsia" w:hAnsiTheme="majorEastAsia" w:hint="eastAsia"/>
          <w:sz w:val="24"/>
          <w:szCs w:val="24"/>
        </w:rPr>
        <w:t>（６９</w:t>
      </w:r>
      <w:r w:rsidR="000A79C1" w:rsidRPr="00C270ED">
        <w:rPr>
          <w:rFonts w:asciiTheme="majorEastAsia" w:eastAsiaTheme="majorEastAsia" w:hAnsiTheme="majorEastAsia" w:hint="eastAsia"/>
          <w:sz w:val="24"/>
          <w:szCs w:val="24"/>
        </w:rPr>
        <w:t>施設、約７</w:t>
      </w:r>
      <w:r w:rsidR="00433BC9" w:rsidRPr="00C270ED">
        <w:rPr>
          <w:rFonts w:asciiTheme="majorEastAsia" w:eastAsiaTheme="majorEastAsia" w:hAnsiTheme="majorEastAsia" w:hint="eastAsia"/>
          <w:sz w:val="24"/>
          <w:szCs w:val="24"/>
        </w:rPr>
        <w:t>７</w:t>
      </w:r>
      <w:r w:rsidR="000A79C1" w:rsidRPr="00C270ED">
        <w:rPr>
          <w:rFonts w:asciiTheme="majorEastAsia" w:eastAsiaTheme="majorEastAsia" w:hAnsiTheme="majorEastAsia" w:hint="eastAsia"/>
          <w:sz w:val="24"/>
          <w:szCs w:val="24"/>
        </w:rPr>
        <w:t>万</w:t>
      </w:r>
      <w:r w:rsidR="00244CF8" w:rsidRPr="00C270ED">
        <w:rPr>
          <w:rFonts w:asciiTheme="majorEastAsia" w:eastAsiaTheme="majorEastAsia" w:hAnsiTheme="majorEastAsia" w:hint="eastAsia"/>
          <w:sz w:val="24"/>
          <w:szCs w:val="24"/>
        </w:rPr>
        <w:t>平方メートル</w:t>
      </w:r>
      <w:r w:rsidR="000A79C1" w:rsidRPr="00C270ED">
        <w:rPr>
          <w:rFonts w:asciiTheme="majorEastAsia" w:eastAsiaTheme="majorEastAsia" w:hAnsiTheme="majorEastAsia" w:hint="eastAsia"/>
          <w:sz w:val="24"/>
          <w:szCs w:val="24"/>
        </w:rPr>
        <w:t>）</w:t>
      </w:r>
      <w:r w:rsidR="00E441B3" w:rsidRPr="00C270ED">
        <w:rPr>
          <w:rFonts w:asciiTheme="majorEastAsia" w:eastAsiaTheme="majorEastAsia" w:hAnsiTheme="majorEastAsia" w:hint="eastAsia"/>
          <w:sz w:val="24"/>
          <w:szCs w:val="24"/>
        </w:rPr>
        <w:t>。</w:t>
      </w:r>
    </w:p>
    <w:p w14:paraId="69B2215A" w14:textId="1705A68E" w:rsidR="00C270ED" w:rsidRDefault="009545D4" w:rsidP="00C270ED">
      <w:pPr>
        <w:adjustRightInd w:val="0"/>
        <w:ind w:leftChars="200" w:left="420" w:firstLineChars="100" w:firstLine="240"/>
        <w:rPr>
          <w:rFonts w:asciiTheme="majorEastAsia" w:eastAsiaTheme="majorEastAsia" w:hAnsiTheme="majorEastAsia"/>
          <w:sz w:val="24"/>
          <w:szCs w:val="24"/>
        </w:rPr>
      </w:pPr>
      <w:r w:rsidRPr="00C270ED">
        <w:rPr>
          <w:rFonts w:asciiTheme="majorEastAsia" w:eastAsiaTheme="majorEastAsia" w:hAnsiTheme="majorEastAsia" w:hint="eastAsia"/>
          <w:sz w:val="24"/>
          <w:szCs w:val="24"/>
        </w:rPr>
        <w:t>施設類型別にみると、施設数では警察施設、</w:t>
      </w:r>
      <w:r w:rsidR="00D50662" w:rsidRPr="00C270ED">
        <w:rPr>
          <w:rFonts w:asciiTheme="majorEastAsia" w:eastAsiaTheme="majorEastAsia" w:hAnsiTheme="majorEastAsia" w:hint="eastAsia"/>
          <w:sz w:val="24"/>
          <w:szCs w:val="24"/>
        </w:rPr>
        <w:t>府</w:t>
      </w:r>
      <w:r w:rsidRPr="00C270ED">
        <w:rPr>
          <w:rFonts w:asciiTheme="majorEastAsia" w:eastAsiaTheme="majorEastAsia" w:hAnsiTheme="majorEastAsia" w:hint="eastAsia"/>
          <w:sz w:val="24"/>
          <w:szCs w:val="24"/>
        </w:rPr>
        <w:t>営住宅が、延</w:t>
      </w:r>
      <w:r w:rsidR="00B417FB" w:rsidRPr="00C270ED">
        <w:rPr>
          <w:rFonts w:asciiTheme="majorEastAsia" w:eastAsiaTheme="majorEastAsia" w:hAnsiTheme="majorEastAsia" w:hint="eastAsia"/>
          <w:sz w:val="24"/>
          <w:szCs w:val="24"/>
        </w:rPr>
        <w:t>床面積では</w:t>
      </w:r>
      <w:r w:rsidR="00D50662" w:rsidRPr="00C270ED">
        <w:rPr>
          <w:rFonts w:asciiTheme="majorEastAsia" w:eastAsiaTheme="majorEastAsia" w:hAnsiTheme="majorEastAsia" w:hint="eastAsia"/>
          <w:sz w:val="24"/>
          <w:szCs w:val="24"/>
        </w:rPr>
        <w:t>府</w:t>
      </w:r>
      <w:r w:rsidR="00B417FB" w:rsidRPr="00C270ED">
        <w:rPr>
          <w:rFonts w:asciiTheme="majorEastAsia" w:eastAsiaTheme="majorEastAsia" w:hAnsiTheme="majorEastAsia" w:hint="eastAsia"/>
          <w:sz w:val="24"/>
          <w:szCs w:val="24"/>
        </w:rPr>
        <w:t>営住宅、学校が多くを占める。</w:t>
      </w:r>
    </w:p>
    <w:p w14:paraId="53DEFA33" w14:textId="00BB5AB2" w:rsidR="009545D4" w:rsidRDefault="00E52497" w:rsidP="00C270ED">
      <w:pPr>
        <w:adjustRightInd w:val="0"/>
        <w:ind w:leftChars="200" w:left="420" w:firstLineChars="100" w:firstLine="240"/>
        <w:rPr>
          <w:rFonts w:asciiTheme="majorEastAsia" w:eastAsiaTheme="majorEastAsia" w:hAnsiTheme="majorEastAsia"/>
          <w:sz w:val="24"/>
          <w:szCs w:val="24"/>
        </w:rPr>
      </w:pPr>
      <w:r w:rsidRPr="00C270ED">
        <w:rPr>
          <w:rFonts w:asciiTheme="majorEastAsia" w:eastAsiaTheme="majorEastAsia" w:hAnsiTheme="majorEastAsia" w:hint="eastAsia"/>
          <w:sz w:val="24"/>
          <w:szCs w:val="24"/>
        </w:rPr>
        <w:t>また、今後１０年間で、建替</w:t>
      </w:r>
      <w:r w:rsidR="009545D4" w:rsidRPr="00C270ED">
        <w:rPr>
          <w:rFonts w:asciiTheme="majorEastAsia" w:eastAsiaTheme="majorEastAsia" w:hAnsiTheme="majorEastAsia" w:hint="eastAsia"/>
          <w:sz w:val="24"/>
          <w:szCs w:val="24"/>
        </w:rPr>
        <w:t>時期を迎える施設の延床面積は全体の約４割となる。更に、今後２０年間では、全体の約６割とな</w:t>
      </w:r>
      <w:r w:rsidR="00E441B3" w:rsidRPr="00C270ED">
        <w:rPr>
          <w:rFonts w:asciiTheme="majorEastAsia" w:eastAsiaTheme="majorEastAsia" w:hAnsiTheme="majorEastAsia" w:hint="eastAsia"/>
          <w:sz w:val="24"/>
          <w:szCs w:val="24"/>
        </w:rPr>
        <w:t>る</w:t>
      </w:r>
      <w:r w:rsidR="009545D4" w:rsidRPr="00C270ED">
        <w:rPr>
          <w:rFonts w:asciiTheme="majorEastAsia" w:eastAsiaTheme="majorEastAsia" w:hAnsiTheme="majorEastAsia" w:hint="eastAsia"/>
          <w:sz w:val="24"/>
          <w:szCs w:val="24"/>
        </w:rPr>
        <w:t>。</w:t>
      </w:r>
    </w:p>
    <w:p w14:paraId="2E92FD03" w14:textId="77777777" w:rsidR="00C270ED" w:rsidRPr="00C270ED" w:rsidRDefault="00C270ED" w:rsidP="00C270ED">
      <w:pPr>
        <w:adjustRightInd w:val="0"/>
        <w:ind w:leftChars="200" w:left="420" w:firstLineChars="100" w:firstLine="240"/>
        <w:rPr>
          <w:rFonts w:asciiTheme="majorEastAsia" w:eastAsiaTheme="majorEastAsia" w:hAnsiTheme="majorEastAsia"/>
          <w:sz w:val="24"/>
          <w:szCs w:val="24"/>
        </w:rPr>
      </w:pPr>
    </w:p>
    <w:p w14:paraId="3F5B429F" w14:textId="5D1838C6" w:rsidR="00BC5234" w:rsidRDefault="007A4FF8" w:rsidP="00BC5234">
      <w:pPr>
        <w:ind w:leftChars="67" w:left="141"/>
        <w:rPr>
          <w:rFonts w:ascii="ＭＳ ゴシック" w:eastAsia="ＭＳ ゴシック" w:hAnsi="ＭＳ ゴシック"/>
          <w:sz w:val="24"/>
          <w:szCs w:val="24"/>
        </w:rPr>
      </w:pPr>
      <w:r w:rsidRPr="004C1386">
        <w:rPr>
          <w:rFonts w:ascii="ＭＳ Ｐゴシック" w:eastAsia="ＭＳ Ｐゴシック" w:hAnsi="ＭＳ Ｐゴシック"/>
          <w:noProof/>
        </w:rPr>
        <w:drawing>
          <wp:inline distT="0" distB="0" distL="0" distR="0" wp14:anchorId="3A769F74" wp14:editId="28B66502">
            <wp:extent cx="6155055" cy="3086100"/>
            <wp:effectExtent l="0" t="0" r="0" b="0"/>
            <wp:docPr id="22" name="グラフ 22" title="建替時期別施設数（施設類型別）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46F1A1" w14:textId="77777777" w:rsidR="00C270ED" w:rsidRPr="004C1386" w:rsidRDefault="00C270ED" w:rsidP="00BC5234">
      <w:pPr>
        <w:ind w:leftChars="67" w:left="141"/>
        <w:rPr>
          <w:rFonts w:ascii="ＭＳ ゴシック" w:eastAsia="ＭＳ ゴシック" w:hAnsi="ＭＳ ゴシック"/>
          <w:sz w:val="24"/>
          <w:szCs w:val="24"/>
        </w:rPr>
      </w:pPr>
    </w:p>
    <w:p w14:paraId="67EC822A" w14:textId="76095B22" w:rsidR="004B4A0F" w:rsidRPr="004C1386" w:rsidRDefault="007D6D26" w:rsidP="00BC5234">
      <w:pPr>
        <w:ind w:leftChars="67" w:left="141"/>
        <w:rPr>
          <w:rFonts w:ascii="ＭＳ ゴシック" w:eastAsia="ＭＳ ゴシック" w:hAnsi="ＭＳ ゴシック"/>
          <w:sz w:val="24"/>
          <w:szCs w:val="24"/>
        </w:rPr>
      </w:pPr>
      <w:r w:rsidRPr="004C1386">
        <w:rPr>
          <w:rFonts w:ascii="ＭＳ Ｐゴシック" w:eastAsia="ＭＳ Ｐゴシック" w:hAnsi="ＭＳ Ｐゴシック"/>
          <w:noProof/>
        </w:rPr>
        <w:drawing>
          <wp:inline distT="0" distB="0" distL="0" distR="0" wp14:anchorId="5FFA20E2" wp14:editId="605A5ED8">
            <wp:extent cx="6076950" cy="3296920"/>
            <wp:effectExtent l="0" t="0" r="0" b="0"/>
            <wp:docPr id="36" name="グラフ 36" descr="今後10年間で、築後50年を経過する施設は全体の約4割を占める" title="建替時期別延床面積（施設類型別）について示した棒グラフ"/>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81B39E" w14:textId="77777777" w:rsidR="00C270ED" w:rsidRDefault="00C270ED" w:rsidP="004B4A0F">
      <w:pPr>
        <w:ind w:rightChars="-242" w:right="-508"/>
        <w:rPr>
          <w:rFonts w:asciiTheme="majorEastAsia" w:eastAsiaTheme="majorEastAsia" w:hAnsiTheme="majorEastAsia"/>
          <w:noProof/>
          <w:sz w:val="24"/>
          <w:szCs w:val="24"/>
        </w:rPr>
      </w:pPr>
    </w:p>
    <w:p w14:paraId="4AEF739A" w14:textId="3287F9AA" w:rsidR="006E418B" w:rsidRPr="00C270ED" w:rsidRDefault="009A58FC" w:rsidP="00C270ED">
      <w:pPr>
        <w:rPr>
          <w:rFonts w:asciiTheme="majorEastAsia" w:eastAsiaTheme="majorEastAsia" w:hAnsiTheme="majorEastAsia"/>
          <w:sz w:val="24"/>
          <w:szCs w:val="24"/>
        </w:rPr>
      </w:pPr>
      <w:r w:rsidRPr="00C270ED">
        <w:rPr>
          <w:rFonts w:asciiTheme="majorEastAsia" w:eastAsiaTheme="majorEastAsia" w:hAnsiTheme="majorEastAsia" w:hint="eastAsia"/>
          <w:sz w:val="24"/>
          <w:szCs w:val="24"/>
        </w:rPr>
        <w:lastRenderedPageBreak/>
        <w:t>（２）</w:t>
      </w:r>
      <w:r w:rsidR="008F55B1" w:rsidRPr="00C270ED">
        <w:rPr>
          <w:rFonts w:asciiTheme="majorEastAsia" w:eastAsiaTheme="majorEastAsia" w:hAnsiTheme="majorEastAsia" w:hint="eastAsia"/>
          <w:sz w:val="24"/>
          <w:szCs w:val="24"/>
        </w:rPr>
        <w:t>都市基盤施設（</w:t>
      </w:r>
      <w:r w:rsidR="006E418B" w:rsidRPr="00C270ED">
        <w:rPr>
          <w:rFonts w:asciiTheme="majorEastAsia" w:eastAsiaTheme="majorEastAsia" w:hAnsiTheme="majorEastAsia" w:hint="eastAsia"/>
          <w:sz w:val="24"/>
          <w:szCs w:val="24"/>
        </w:rPr>
        <w:t>インフラ</w:t>
      </w:r>
      <w:r w:rsidR="008F55B1" w:rsidRPr="00C270ED">
        <w:rPr>
          <w:rFonts w:asciiTheme="majorEastAsia" w:eastAsiaTheme="majorEastAsia" w:hAnsiTheme="majorEastAsia" w:hint="eastAsia"/>
          <w:sz w:val="24"/>
          <w:szCs w:val="24"/>
        </w:rPr>
        <w:t>）</w:t>
      </w:r>
      <w:r w:rsidR="006E418B" w:rsidRPr="00C270ED">
        <w:rPr>
          <w:rFonts w:asciiTheme="majorEastAsia" w:eastAsiaTheme="majorEastAsia" w:hAnsiTheme="majorEastAsia" w:hint="eastAsia"/>
          <w:sz w:val="24"/>
          <w:szCs w:val="24"/>
        </w:rPr>
        <w:t>の現状</w:t>
      </w:r>
    </w:p>
    <w:p w14:paraId="5210043D" w14:textId="0603AC02" w:rsidR="009A58FC" w:rsidRPr="00C270ED" w:rsidRDefault="009A58FC" w:rsidP="00C270ED">
      <w:pPr>
        <w:ind w:firstLineChars="200" w:firstLine="480"/>
        <w:rPr>
          <w:rFonts w:asciiTheme="majorEastAsia" w:eastAsiaTheme="majorEastAsia" w:hAnsiTheme="majorEastAsia"/>
          <w:sz w:val="24"/>
          <w:szCs w:val="24"/>
        </w:rPr>
      </w:pPr>
      <w:r w:rsidRPr="00C270ED">
        <w:rPr>
          <w:rFonts w:asciiTheme="majorEastAsia" w:eastAsiaTheme="majorEastAsia" w:hAnsiTheme="majorEastAsia" w:hint="eastAsia"/>
          <w:sz w:val="24"/>
          <w:szCs w:val="24"/>
        </w:rPr>
        <w:t>①</w:t>
      </w:r>
      <w:r w:rsidR="00066179" w:rsidRPr="00C270ED">
        <w:rPr>
          <w:rFonts w:asciiTheme="majorEastAsia" w:eastAsiaTheme="majorEastAsia" w:hAnsiTheme="majorEastAsia" w:hint="eastAsia"/>
          <w:sz w:val="24"/>
          <w:szCs w:val="24"/>
        </w:rPr>
        <w:t xml:space="preserve"> </w:t>
      </w:r>
      <w:r w:rsidR="008F55B1" w:rsidRPr="00C270ED">
        <w:rPr>
          <w:rFonts w:asciiTheme="majorEastAsia" w:eastAsiaTheme="majorEastAsia" w:hAnsiTheme="majorEastAsia" w:hint="eastAsia"/>
          <w:sz w:val="24"/>
          <w:szCs w:val="24"/>
        </w:rPr>
        <w:t>道路等</w:t>
      </w:r>
      <w:r w:rsidRPr="00C270ED">
        <w:rPr>
          <w:rFonts w:asciiTheme="majorEastAsia" w:eastAsiaTheme="majorEastAsia" w:hAnsiTheme="majorEastAsia" w:hint="eastAsia"/>
          <w:sz w:val="24"/>
          <w:szCs w:val="24"/>
        </w:rPr>
        <w:t>（インフラ）</w:t>
      </w:r>
    </w:p>
    <w:p w14:paraId="2AFE5467" w14:textId="4F3FBDCA" w:rsidR="006E418B" w:rsidRPr="00C270ED" w:rsidRDefault="009A58FC" w:rsidP="00C270ED">
      <w:pPr>
        <w:ind w:firstLineChars="300" w:firstLine="720"/>
        <w:rPr>
          <w:rFonts w:asciiTheme="majorEastAsia" w:eastAsiaTheme="majorEastAsia" w:hAnsiTheme="majorEastAsia"/>
          <w:sz w:val="24"/>
          <w:szCs w:val="24"/>
        </w:rPr>
      </w:pPr>
      <w:r w:rsidRPr="00C270ED">
        <w:rPr>
          <w:rFonts w:asciiTheme="majorEastAsia" w:eastAsiaTheme="majorEastAsia" w:hAnsiTheme="majorEastAsia" w:hint="eastAsia"/>
          <w:sz w:val="24"/>
          <w:szCs w:val="24"/>
        </w:rPr>
        <w:t>ア</w:t>
      </w:r>
      <w:r w:rsidR="00240AEB" w:rsidRPr="00C270ED">
        <w:rPr>
          <w:rFonts w:asciiTheme="majorEastAsia" w:eastAsiaTheme="majorEastAsia" w:hAnsiTheme="majorEastAsia" w:hint="eastAsia"/>
          <w:sz w:val="24"/>
          <w:szCs w:val="24"/>
        </w:rPr>
        <w:t xml:space="preserve">　</w:t>
      </w:r>
      <w:r w:rsidR="006E418B" w:rsidRPr="00C270ED">
        <w:rPr>
          <w:rFonts w:asciiTheme="majorEastAsia" w:eastAsiaTheme="majorEastAsia" w:hAnsiTheme="majorEastAsia" w:hint="eastAsia"/>
          <w:sz w:val="24"/>
          <w:szCs w:val="24"/>
        </w:rPr>
        <w:t>施設区分別箇所数等（平成２</w:t>
      </w:r>
      <w:r w:rsidR="009551B5" w:rsidRPr="00C270ED">
        <w:rPr>
          <w:rFonts w:asciiTheme="majorEastAsia" w:eastAsiaTheme="majorEastAsia" w:hAnsiTheme="majorEastAsia" w:hint="eastAsia"/>
          <w:sz w:val="24"/>
          <w:szCs w:val="24"/>
        </w:rPr>
        <w:t>６</w:t>
      </w:r>
      <w:r w:rsidR="006E418B" w:rsidRPr="00C270ED">
        <w:rPr>
          <w:rFonts w:asciiTheme="majorEastAsia" w:eastAsiaTheme="majorEastAsia" w:hAnsiTheme="majorEastAsia" w:hint="eastAsia"/>
          <w:sz w:val="24"/>
          <w:szCs w:val="24"/>
        </w:rPr>
        <w:t>年度</w:t>
      </w:r>
      <w:r w:rsidR="003F7AAA" w:rsidRPr="00C270ED">
        <w:rPr>
          <w:rFonts w:asciiTheme="majorEastAsia" w:eastAsiaTheme="majorEastAsia" w:hAnsiTheme="majorEastAsia" w:hint="eastAsia"/>
          <w:sz w:val="24"/>
          <w:szCs w:val="24"/>
        </w:rPr>
        <w:t>末</w:t>
      </w:r>
      <w:r w:rsidR="00C270ED" w:rsidRPr="00C270ED">
        <w:rPr>
          <w:rFonts w:asciiTheme="majorEastAsia" w:eastAsiaTheme="majorEastAsia" w:hAnsiTheme="majorEastAsia" w:hint="eastAsia"/>
          <w:sz w:val="24"/>
          <w:szCs w:val="24"/>
        </w:rPr>
        <w:t>時点）</w:t>
      </w:r>
    </w:p>
    <w:p w14:paraId="7C5EDEB1" w14:textId="54352A0A" w:rsidR="00017535" w:rsidRPr="004C1386" w:rsidRDefault="00017535" w:rsidP="00017535">
      <w:pPr>
        <w:rPr>
          <w:rFonts w:ascii="ＭＳ ゴシック" w:eastAsia="ＭＳ ゴシック" w:hAnsi="ＭＳ ゴシック"/>
          <w:sz w:val="20"/>
          <w:szCs w:val="20"/>
        </w:rPr>
      </w:pPr>
      <w:r w:rsidRPr="004C1386">
        <w:rPr>
          <w:rFonts w:ascii="ＭＳ ゴシック" w:eastAsia="ＭＳ ゴシック" w:hAnsi="ＭＳ ゴシック"/>
          <w:noProof/>
          <w:sz w:val="20"/>
          <w:szCs w:val="20"/>
        </w:rPr>
        <w:drawing>
          <wp:inline distT="0" distB="0" distL="0" distR="0" wp14:anchorId="42076822" wp14:editId="24A228B2">
            <wp:extent cx="6153150" cy="3657600"/>
            <wp:effectExtent l="0" t="0" r="0" b="0"/>
            <wp:docPr id="27" name="図 27" title="道路等（インフラ）の施設区分別箇所数等について示した表（平成２６年度末時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9488" cy="3667312"/>
                    </a:xfrm>
                    <a:prstGeom prst="rect">
                      <a:avLst/>
                    </a:prstGeom>
                    <a:noFill/>
                    <a:ln>
                      <a:noFill/>
                    </a:ln>
                  </pic:spPr>
                </pic:pic>
              </a:graphicData>
            </a:graphic>
          </wp:inline>
        </w:drawing>
      </w:r>
    </w:p>
    <w:p w14:paraId="10831B32" w14:textId="77777777" w:rsidR="00C270ED" w:rsidRDefault="00C270ED" w:rsidP="006F4C4B">
      <w:pPr>
        <w:ind w:firstLineChars="300" w:firstLine="720"/>
        <w:jc w:val="left"/>
        <w:rPr>
          <w:rFonts w:ascii="ＭＳ ゴシック" w:eastAsia="ＭＳ ゴシック" w:hAnsi="ＭＳ ゴシック"/>
          <w:sz w:val="24"/>
          <w:szCs w:val="24"/>
        </w:rPr>
      </w:pPr>
    </w:p>
    <w:p w14:paraId="4E01111F" w14:textId="395BC436" w:rsidR="00017535" w:rsidRPr="004C1386" w:rsidRDefault="00141917" w:rsidP="006F4C4B">
      <w:pPr>
        <w:ind w:firstLineChars="300" w:firstLine="630"/>
        <w:jc w:val="left"/>
        <w:rPr>
          <w:rFonts w:ascii="ＭＳ ゴシック" w:eastAsia="ＭＳ ゴシック" w:hAnsi="ＭＳ ゴシック"/>
          <w:sz w:val="20"/>
          <w:szCs w:val="20"/>
        </w:rPr>
      </w:pPr>
      <w:r w:rsidRPr="004C1386">
        <w:rPr>
          <w:noProof/>
        </w:rPr>
        <mc:AlternateContent>
          <mc:Choice Requires="wps">
            <w:drawing>
              <wp:anchor distT="0" distB="0" distL="114300" distR="114300" simplePos="0" relativeHeight="251773952" behindDoc="0" locked="0" layoutInCell="1" allowOverlap="1" wp14:anchorId="1D299E6D" wp14:editId="593225E9">
                <wp:simplePos x="0" y="0"/>
                <wp:positionH relativeFrom="column">
                  <wp:posOffset>1430655</wp:posOffset>
                </wp:positionH>
                <wp:positionV relativeFrom="paragraph">
                  <wp:posOffset>247650</wp:posOffset>
                </wp:positionV>
                <wp:extent cx="1969770" cy="200025"/>
                <wp:effectExtent l="0" t="0" r="11430" b="28575"/>
                <wp:wrapNone/>
                <wp:docPr id="7" name="テキスト ボックス 6"/>
                <wp:cNvGraphicFramePr/>
                <a:graphic xmlns:a="http://schemas.openxmlformats.org/drawingml/2006/main">
                  <a:graphicData uri="http://schemas.microsoft.com/office/word/2010/wordprocessingShape">
                    <wps:wsp>
                      <wps:cNvSpPr txBox="1"/>
                      <wps:spPr>
                        <a:xfrm>
                          <a:off x="0" y="0"/>
                          <a:ext cx="1969770" cy="200025"/>
                        </a:xfrm>
                        <a:prstGeom prst="rect">
                          <a:avLst/>
                        </a:prstGeom>
                        <a:solidFill>
                          <a:schemeClr val="tx2">
                            <a:lumMod val="60000"/>
                            <a:lumOff val="40000"/>
                          </a:schemeClr>
                        </a:solidFill>
                        <a:ln>
                          <a:solidFill>
                            <a:schemeClr val="bg1"/>
                          </a:solidFill>
                        </a:ln>
                      </wps:spPr>
                      <wps:txbx>
                        <w:txbxContent>
                          <w:p w14:paraId="1C6F29EC" w14:textId="7BE19870" w:rsidR="00104FF5" w:rsidRPr="00141917" w:rsidRDefault="00104FF5" w:rsidP="006F4C4B">
                            <w:pPr>
                              <w:pStyle w:val="Web"/>
                              <w:spacing w:line="160" w:lineRule="exact"/>
                              <w:jc w:val="center"/>
                              <w:rPr>
                                <w:b/>
                                <w:sz w:val="14"/>
                                <w:szCs w:val="14"/>
                              </w:rPr>
                            </w:pPr>
                            <w:r w:rsidRPr="00141917">
                              <w:rPr>
                                <w:rFonts w:ascii="Meiryo UI" w:eastAsia="Meiryo UI" w:hAnsi="Meiryo UI" w:cs="Meiryo UI" w:hint="eastAsia"/>
                                <w:b/>
                                <w:color w:val="000000"/>
                                <w:sz w:val="14"/>
                                <w:szCs w:val="14"/>
                              </w:rPr>
                              <w:t>平均</w:t>
                            </w:r>
                            <w:r>
                              <w:rPr>
                                <w:rFonts w:ascii="Meiryo UI" w:eastAsia="Meiryo UI" w:hAnsi="Meiryo UI" w:cs="Meiryo UI" w:hint="eastAsia"/>
                                <w:b/>
                                <w:color w:val="000000"/>
                                <w:sz w:val="14"/>
                                <w:szCs w:val="14"/>
                              </w:rPr>
                              <w:t>供用</w:t>
                            </w:r>
                            <w:r w:rsidRPr="00141917">
                              <w:rPr>
                                <w:rFonts w:ascii="Meiryo UI" w:eastAsia="Meiryo UI" w:hAnsi="Meiryo UI" w:cs="Meiryo UI" w:hint="eastAsia"/>
                                <w:b/>
                                <w:color w:val="000000"/>
                                <w:sz w:val="14"/>
                                <w:szCs w:val="14"/>
                              </w:rPr>
                              <w:t>年数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D299E6D" id="_x0000_t202" coordsize="21600,21600" o:spt="202" path="m,l,21600r21600,l21600,xe">
                <v:stroke joinstyle="miter"/>
                <v:path gradientshapeok="t" o:connecttype="rect"/>
              </v:shapetype>
              <v:shape id="テキスト ボックス 6" o:spid="_x0000_s1026" type="#_x0000_t202" style="position:absolute;left:0;text-align:left;margin-left:112.65pt;margin-top:19.5pt;width:155.1pt;height:1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" fillcolor="#548dd4 [1951]" strokecolor="white [3212]">
                <v:textbox>
                  <w:txbxContent>
                    <w:p w14:paraId="1C6F29EC" w14:textId="7BE19870" w:rsidR="00104FF5" w:rsidRPr="00141917" w:rsidRDefault="00104FF5" w:rsidP="006F4C4B">
                      <w:pPr>
                        <w:pStyle w:val="Web"/>
                        <w:spacing w:line="160" w:lineRule="exact"/>
                        <w:jc w:val="center"/>
                        <w:rPr>
                          <w:b/>
                          <w:sz w:val="14"/>
                          <w:szCs w:val="14"/>
                        </w:rPr>
                      </w:pPr>
                      <w:r w:rsidRPr="00141917">
                        <w:rPr>
                          <w:rFonts w:ascii="Meiryo UI" w:eastAsia="Meiryo UI" w:hAnsi="Meiryo UI" w:cs="Meiryo UI" w:hint="eastAsia"/>
                          <w:b/>
                          <w:color w:val="000000"/>
                          <w:sz w:val="14"/>
                          <w:szCs w:val="14"/>
                        </w:rPr>
                        <w:t>平均</w:t>
                      </w:r>
                      <w:r>
                        <w:rPr>
                          <w:rFonts w:ascii="Meiryo UI" w:eastAsia="Meiryo UI" w:hAnsi="Meiryo UI" w:cs="Meiryo UI" w:hint="eastAsia"/>
                          <w:b/>
                          <w:color w:val="000000"/>
                          <w:sz w:val="14"/>
                          <w:szCs w:val="14"/>
                        </w:rPr>
                        <w:t>供用</w:t>
                      </w:r>
                      <w:r w:rsidRPr="00141917">
                        <w:rPr>
                          <w:rFonts w:ascii="Meiryo UI" w:eastAsia="Meiryo UI" w:hAnsi="Meiryo UI" w:cs="Meiryo UI" w:hint="eastAsia"/>
                          <w:b/>
                          <w:color w:val="000000"/>
                          <w:sz w:val="14"/>
                          <w:szCs w:val="14"/>
                        </w:rPr>
                        <w:t>年数</w:t>
                      </w:r>
                    </w:p>
                  </w:txbxContent>
                </v:textbox>
              </v:shape>
            </w:pict>
          </mc:Fallback>
        </mc:AlternateContent>
      </w:r>
      <w:r w:rsidR="006F4C4B" w:rsidRPr="004C1386">
        <w:rPr>
          <w:noProof/>
        </w:rPr>
        <mc:AlternateContent>
          <mc:Choice Requires="wps">
            <w:drawing>
              <wp:anchor distT="0" distB="0" distL="114300" distR="114300" simplePos="0" relativeHeight="251776000" behindDoc="0" locked="0" layoutInCell="1" allowOverlap="1" wp14:anchorId="60883AB8" wp14:editId="73E544EA">
                <wp:simplePos x="0" y="0"/>
                <wp:positionH relativeFrom="column">
                  <wp:posOffset>3411855</wp:posOffset>
                </wp:positionH>
                <wp:positionV relativeFrom="paragraph">
                  <wp:posOffset>257175</wp:posOffset>
                </wp:positionV>
                <wp:extent cx="2066925" cy="190500"/>
                <wp:effectExtent l="0" t="0" r="28575" b="19050"/>
                <wp:wrapNone/>
                <wp:docPr id="29" name="テキスト ボックス 6"/>
                <wp:cNvGraphicFramePr/>
                <a:graphic xmlns:a="http://schemas.openxmlformats.org/drawingml/2006/main">
                  <a:graphicData uri="http://schemas.microsoft.com/office/word/2010/wordprocessingShape">
                    <wps:wsp>
                      <wps:cNvSpPr txBox="1"/>
                      <wps:spPr>
                        <a:xfrm>
                          <a:off x="0" y="0"/>
                          <a:ext cx="2066925" cy="190500"/>
                        </a:xfrm>
                        <a:prstGeom prst="rect">
                          <a:avLst/>
                        </a:prstGeom>
                        <a:solidFill>
                          <a:schemeClr val="tx2">
                            <a:lumMod val="60000"/>
                            <a:lumOff val="40000"/>
                          </a:schemeClr>
                        </a:solidFill>
                        <a:ln>
                          <a:solidFill>
                            <a:schemeClr val="bg1"/>
                          </a:solidFill>
                        </a:ln>
                      </wps:spPr>
                      <wps:txbx>
                        <w:txbxContent>
                          <w:p w14:paraId="3903121A" w14:textId="65561706" w:rsidR="00104FF5" w:rsidRPr="00141917" w:rsidRDefault="00104FF5" w:rsidP="006F4C4B">
                            <w:pPr>
                              <w:pStyle w:val="Web"/>
                              <w:spacing w:line="160" w:lineRule="exact"/>
                              <w:jc w:val="center"/>
                              <w:rPr>
                                <w:b/>
                                <w:sz w:val="14"/>
                                <w:szCs w:val="14"/>
                              </w:rPr>
                            </w:pPr>
                            <w:r w:rsidRPr="00141917">
                              <w:rPr>
                                <w:rFonts w:ascii="Meiryo UI" w:eastAsia="Meiryo UI" w:hAnsi="Meiryo UI" w:cs="Meiryo UI" w:hint="eastAsia"/>
                                <w:b/>
                                <w:color w:val="000000"/>
                                <w:sz w:val="14"/>
                                <w:szCs w:val="14"/>
                              </w:rPr>
                              <w:t>耐用年数を超える施設数・割合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883AB8" id="_x0000_s1027" type="#_x0000_t202" style="position:absolute;left:0;text-align:left;margin-left:268.65pt;margin-top:20.25pt;width:162.75pt;height: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" fillcolor="#548dd4 [1951]" strokecolor="white [3212]">
                <v:textbox>
                  <w:txbxContent>
                    <w:p w14:paraId="3903121A" w14:textId="65561706" w:rsidR="00104FF5" w:rsidRPr="00141917" w:rsidRDefault="00104FF5" w:rsidP="006F4C4B">
                      <w:pPr>
                        <w:pStyle w:val="Web"/>
                        <w:spacing w:line="160" w:lineRule="exact"/>
                        <w:jc w:val="center"/>
                        <w:rPr>
                          <w:b/>
                          <w:sz w:val="14"/>
                          <w:szCs w:val="14"/>
                        </w:rPr>
                      </w:pPr>
                      <w:r w:rsidRPr="00141917">
                        <w:rPr>
                          <w:rFonts w:ascii="Meiryo UI" w:eastAsia="Meiryo UI" w:hAnsi="Meiryo UI" w:cs="Meiryo UI" w:hint="eastAsia"/>
                          <w:b/>
                          <w:color w:val="000000"/>
                          <w:sz w:val="14"/>
                          <w:szCs w:val="14"/>
                        </w:rPr>
                        <w:t>耐用年数を超える施設数・割合</w:t>
                      </w:r>
                    </w:p>
                  </w:txbxContent>
                </v:textbox>
              </v:shape>
            </w:pict>
          </mc:Fallback>
        </mc:AlternateContent>
      </w:r>
      <w:r w:rsidR="006F4C4B" w:rsidRPr="004C1386">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65760" behindDoc="0" locked="0" layoutInCell="1" allowOverlap="1" wp14:anchorId="11E302D8" wp14:editId="3D91CD14">
                <wp:simplePos x="0" y="0"/>
                <wp:positionH relativeFrom="column">
                  <wp:posOffset>1905</wp:posOffset>
                </wp:positionH>
                <wp:positionV relativeFrom="paragraph">
                  <wp:posOffset>3638550</wp:posOffset>
                </wp:positionV>
                <wp:extent cx="6191250" cy="643890"/>
                <wp:effectExtent l="0" t="0" r="19050" b="22860"/>
                <wp:wrapNone/>
                <wp:docPr id="3075" name="テキスト ボックス 140" title="上記2つの表についての出典と注釈を示す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91250" cy="643890"/>
                        </a:xfrm>
                        <a:prstGeom prst="rect">
                          <a:avLst/>
                        </a:prstGeom>
                        <a:solidFill>
                          <a:srgbClr val="FFFFCC"/>
                        </a:solidFill>
                        <a:ln>
                          <a:solidFill>
                            <a:sysClr val="windowText" lastClr="000000"/>
                          </a:solidFill>
                        </a:ln>
                      </wps:spPr>
                      <wps:txbx>
                        <w:txbxContent>
                          <w:p w14:paraId="579E5473" w14:textId="77777777" w:rsidR="00104FF5" w:rsidRPr="004C1386" w:rsidRDefault="00104FF5" w:rsidP="0005079C">
                            <w:pPr>
                              <w:pStyle w:val="Web"/>
                              <w:spacing w:line="280" w:lineRule="exact"/>
                              <w:rPr>
                                <w:sz w:val="16"/>
                                <w:szCs w:val="16"/>
                              </w:rPr>
                            </w:pPr>
                            <w:r w:rsidRPr="004C1386">
                              <w:rPr>
                                <w:rFonts w:ascii="Meiryo UI" w:eastAsia="Meiryo UI" w:hAnsi="Meiryo UI" w:cs="Meiryo UI" w:hint="eastAsia"/>
                                <w:kern w:val="24"/>
                                <w:sz w:val="16"/>
                                <w:szCs w:val="16"/>
                              </w:rPr>
                              <w:t>※1　出典：第1回社会インフラのモニタリング技術活用推進検討委員会　資料2 社会インフラの維持管理の現状と課題</w:t>
                            </w:r>
                          </w:p>
                          <w:p w14:paraId="701AADC5" w14:textId="77777777" w:rsidR="00104FF5" w:rsidRPr="004C1386" w:rsidRDefault="00104FF5" w:rsidP="0005079C">
                            <w:pPr>
                              <w:pStyle w:val="Web"/>
                              <w:spacing w:line="280" w:lineRule="exact"/>
                              <w:rPr>
                                <w:sz w:val="16"/>
                                <w:szCs w:val="16"/>
                              </w:rPr>
                            </w:pPr>
                            <w:r w:rsidRPr="004C1386">
                              <w:rPr>
                                <w:rFonts w:ascii="Meiryo UI" w:eastAsia="Meiryo UI" w:hAnsi="Meiryo UI" w:cs="Meiryo UI" w:hint="eastAsia"/>
                                <w:kern w:val="24"/>
                                <w:sz w:val="16"/>
                                <w:szCs w:val="16"/>
                              </w:rPr>
                              <w:t>※2　概ね護岸の築造年度が分かるもののみを記載。ブロック積護岸、鋼矢板護岸等の合計。左右岸平均延長。</w:t>
                            </w:r>
                          </w:p>
                          <w:p w14:paraId="4A895148" w14:textId="77777777" w:rsidR="00104FF5" w:rsidRPr="004C1386" w:rsidRDefault="00104FF5" w:rsidP="0005079C">
                            <w:pPr>
                              <w:pStyle w:val="Web"/>
                              <w:spacing w:line="280" w:lineRule="exact"/>
                              <w:rPr>
                                <w:sz w:val="16"/>
                                <w:szCs w:val="16"/>
                              </w:rPr>
                            </w:pPr>
                            <w:r w:rsidRPr="004C1386">
                              <w:rPr>
                                <w:rFonts w:ascii="Meiryo UI" w:eastAsia="Meiryo UI" w:hAnsi="Meiryo UI" w:cs="Meiryo UI" w:hint="eastAsia"/>
                                <w:kern w:val="24"/>
                                <w:sz w:val="16"/>
                                <w:szCs w:val="16"/>
                              </w:rPr>
                              <w:t>※3　減価償却資産の耐用年数等に関する省令（S43大蔵省令第15号）等より。これを超えると使用に耐えられないものではない。</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1E302D8" id="テキスト ボックス 140" o:spid="_x0000_s1028" type="#_x0000_t202" alt="タイトル: 上記2つの表についての出典と注釈を示す　" style="position:absolute;left:0;text-align:left;margin-left:.15pt;margin-top:286.5pt;width:487.5pt;height:50.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" fillcolor="#ffc" strokecolor="windowText">
                <v:path arrowok="t"/>
                <v:textbox style="mso-fit-shape-to-text:t">
                  <w:txbxContent>
                    <w:p w14:paraId="579E5473" w14:textId="77777777" w:rsidR="00104FF5" w:rsidRPr="004C1386" w:rsidRDefault="00104FF5" w:rsidP="0005079C">
                      <w:pPr>
                        <w:pStyle w:val="Web"/>
                        <w:spacing w:line="280" w:lineRule="exact"/>
                        <w:rPr>
                          <w:sz w:val="16"/>
                          <w:szCs w:val="16"/>
                        </w:rPr>
                      </w:pPr>
                      <w:r w:rsidRPr="004C1386">
                        <w:rPr>
                          <w:rFonts w:ascii="Meiryo UI" w:eastAsia="Meiryo UI" w:hAnsi="Meiryo UI" w:cs="Meiryo UI" w:hint="eastAsia"/>
                          <w:kern w:val="24"/>
                          <w:sz w:val="16"/>
                          <w:szCs w:val="16"/>
                        </w:rPr>
                        <w:t>※1　出典：第1回社会インフラのモニタリング技術活用推進検討委員会　資料2 社会インフラの維持管理の現状と課題</w:t>
                      </w:r>
                    </w:p>
                    <w:p w14:paraId="701AADC5" w14:textId="77777777" w:rsidR="00104FF5" w:rsidRPr="004C1386" w:rsidRDefault="00104FF5" w:rsidP="0005079C">
                      <w:pPr>
                        <w:pStyle w:val="Web"/>
                        <w:spacing w:line="280" w:lineRule="exact"/>
                        <w:rPr>
                          <w:sz w:val="16"/>
                          <w:szCs w:val="16"/>
                        </w:rPr>
                      </w:pPr>
                      <w:r w:rsidRPr="004C1386">
                        <w:rPr>
                          <w:rFonts w:ascii="Meiryo UI" w:eastAsia="Meiryo UI" w:hAnsi="Meiryo UI" w:cs="Meiryo UI" w:hint="eastAsia"/>
                          <w:kern w:val="24"/>
                          <w:sz w:val="16"/>
                          <w:szCs w:val="16"/>
                        </w:rPr>
                        <w:t>※2　概ね護岸の築造年度が分かるもののみを記載。ブロック積護岸、鋼矢板護岸等の合計。左右岸平均延長。</w:t>
                      </w:r>
                    </w:p>
                    <w:p w14:paraId="4A895148" w14:textId="77777777" w:rsidR="00104FF5" w:rsidRPr="004C1386" w:rsidRDefault="00104FF5" w:rsidP="0005079C">
                      <w:pPr>
                        <w:pStyle w:val="Web"/>
                        <w:spacing w:line="280" w:lineRule="exact"/>
                        <w:rPr>
                          <w:sz w:val="16"/>
                          <w:szCs w:val="16"/>
                        </w:rPr>
                      </w:pPr>
                      <w:r w:rsidRPr="004C1386">
                        <w:rPr>
                          <w:rFonts w:ascii="Meiryo UI" w:eastAsia="Meiryo UI" w:hAnsi="Meiryo UI" w:cs="Meiryo UI" w:hint="eastAsia"/>
                          <w:kern w:val="24"/>
                          <w:sz w:val="16"/>
                          <w:szCs w:val="16"/>
                        </w:rPr>
                        <w:t>※3　減価償却資産の耐用年数等に関する省令（S43大蔵省令第15号）等より。これを超えると使用に耐えられないものではない。</w:t>
                      </w:r>
                    </w:p>
                  </w:txbxContent>
                </v:textbox>
              </v:shape>
            </w:pict>
          </mc:Fallback>
        </mc:AlternateContent>
      </w:r>
      <w:r w:rsidR="009A58FC" w:rsidRPr="004C1386">
        <w:rPr>
          <w:rFonts w:ascii="ＭＳ ゴシック" w:eastAsia="ＭＳ ゴシック" w:hAnsi="ＭＳ ゴシック" w:hint="eastAsia"/>
          <w:sz w:val="24"/>
          <w:szCs w:val="24"/>
        </w:rPr>
        <w:t>イ</w:t>
      </w:r>
      <w:r w:rsidR="00240AEB">
        <w:rPr>
          <w:rFonts w:ascii="ＭＳ ゴシック" w:eastAsia="ＭＳ ゴシック" w:hAnsi="ＭＳ ゴシック" w:hint="eastAsia"/>
          <w:sz w:val="24"/>
          <w:szCs w:val="24"/>
        </w:rPr>
        <w:t xml:space="preserve">　</w:t>
      </w:r>
      <w:r w:rsidR="006E418B" w:rsidRPr="004C1386">
        <w:rPr>
          <w:rFonts w:ascii="ＭＳ ゴシック" w:eastAsia="ＭＳ ゴシック" w:hAnsi="ＭＳ ゴシック" w:hint="eastAsia"/>
          <w:sz w:val="24"/>
          <w:szCs w:val="24"/>
        </w:rPr>
        <w:t>都市基盤施設の老朽化（平成２</w:t>
      </w:r>
      <w:r w:rsidR="004244C6" w:rsidRPr="004C1386">
        <w:rPr>
          <w:rFonts w:ascii="ＭＳ ゴシック" w:eastAsia="ＭＳ ゴシック" w:hAnsi="ＭＳ ゴシック" w:hint="eastAsia"/>
          <w:sz w:val="24"/>
          <w:szCs w:val="24"/>
        </w:rPr>
        <w:t>６</w:t>
      </w:r>
      <w:r w:rsidR="006E418B" w:rsidRPr="004C1386">
        <w:rPr>
          <w:rFonts w:ascii="ＭＳ ゴシック" w:eastAsia="ＭＳ ゴシック" w:hAnsi="ＭＳ ゴシック" w:hint="eastAsia"/>
          <w:sz w:val="24"/>
          <w:szCs w:val="24"/>
        </w:rPr>
        <w:t>年度</w:t>
      </w:r>
      <w:r w:rsidR="003F7AAA" w:rsidRPr="004C1386">
        <w:rPr>
          <w:rFonts w:ascii="ＭＳ ゴシック" w:eastAsia="ＭＳ ゴシック" w:hAnsi="ＭＳ ゴシック" w:hint="eastAsia"/>
          <w:sz w:val="24"/>
          <w:szCs w:val="24"/>
        </w:rPr>
        <w:t>末</w:t>
      </w:r>
      <w:r w:rsidR="006E418B" w:rsidRPr="004C1386">
        <w:rPr>
          <w:rFonts w:ascii="ＭＳ ゴシック" w:eastAsia="ＭＳ ゴシック" w:hAnsi="ＭＳ ゴシック" w:hint="eastAsia"/>
          <w:sz w:val="24"/>
          <w:szCs w:val="24"/>
        </w:rPr>
        <w:t>時点）</w:t>
      </w:r>
      <w:r w:rsidR="006F4C4B" w:rsidRPr="004C1386">
        <w:rPr>
          <w:noProof/>
        </w:rPr>
        <w:t xml:space="preserve"> </w:t>
      </w:r>
      <w:r w:rsidR="006F4C4B" w:rsidRPr="004C1386">
        <w:rPr>
          <w:rFonts w:ascii="ＭＳ ゴシック" w:eastAsia="ＭＳ ゴシック" w:hAnsi="ＭＳ ゴシック"/>
          <w:noProof/>
          <w:sz w:val="20"/>
          <w:szCs w:val="20"/>
        </w:rPr>
        <w:t xml:space="preserve"> </w:t>
      </w:r>
      <w:r w:rsidR="00017535" w:rsidRPr="004C1386">
        <w:rPr>
          <w:rFonts w:ascii="ＭＳ ゴシック" w:eastAsia="ＭＳ ゴシック" w:hAnsi="ＭＳ ゴシック"/>
          <w:noProof/>
          <w:sz w:val="20"/>
          <w:szCs w:val="20"/>
        </w:rPr>
        <w:drawing>
          <wp:inline distT="0" distB="0" distL="0" distR="0" wp14:anchorId="64D846C8" wp14:editId="1D754CB6">
            <wp:extent cx="6191250" cy="3390900"/>
            <wp:effectExtent l="0" t="0" r="0" b="0"/>
            <wp:docPr id="25" name="図 25" title="道路等（インフラ）の都市基盤施設の老朽化について示した表（平成２６年度末時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5521" cy="3398716"/>
                    </a:xfrm>
                    <a:prstGeom prst="rect">
                      <a:avLst/>
                    </a:prstGeom>
                    <a:noFill/>
                    <a:ln>
                      <a:noFill/>
                    </a:ln>
                  </pic:spPr>
                </pic:pic>
              </a:graphicData>
            </a:graphic>
          </wp:inline>
        </w:drawing>
      </w:r>
    </w:p>
    <w:p w14:paraId="52328B4D" w14:textId="681E8307" w:rsidR="00C21C14" w:rsidRPr="004C1386" w:rsidRDefault="00C21C14" w:rsidP="00017535">
      <w:pPr>
        <w:rPr>
          <w:rFonts w:ascii="ＭＳ ゴシック" w:eastAsia="ＭＳ ゴシック" w:hAnsi="ＭＳ ゴシック"/>
          <w:sz w:val="20"/>
          <w:szCs w:val="20"/>
        </w:rPr>
      </w:pPr>
    </w:p>
    <w:p w14:paraId="7816E821" w14:textId="77777777" w:rsidR="00C21C14" w:rsidRPr="004C1386" w:rsidRDefault="00C21C14" w:rsidP="00017535">
      <w:pPr>
        <w:rPr>
          <w:rFonts w:ascii="ＭＳ ゴシック" w:eastAsia="ＭＳ ゴシック" w:hAnsi="ＭＳ ゴシック"/>
          <w:sz w:val="20"/>
          <w:szCs w:val="20"/>
        </w:rPr>
      </w:pPr>
    </w:p>
    <w:p w14:paraId="4DC12998" w14:textId="77777777" w:rsidR="0005079C" w:rsidRPr="004C1386" w:rsidRDefault="0005079C" w:rsidP="00017535">
      <w:pPr>
        <w:rPr>
          <w:rFonts w:ascii="ＭＳ ゴシック" w:eastAsia="ＭＳ ゴシック" w:hAnsi="ＭＳ ゴシック"/>
          <w:sz w:val="20"/>
          <w:szCs w:val="20"/>
        </w:rPr>
      </w:pPr>
    </w:p>
    <w:p w14:paraId="134DA6C3" w14:textId="77777777" w:rsidR="00C270ED" w:rsidRDefault="00C270ED" w:rsidP="00FB04FA">
      <w:pPr>
        <w:ind w:leftChars="200" w:left="420" w:rightChars="-242" w:right="-508" w:firstLineChars="100" w:firstLine="240"/>
        <w:rPr>
          <w:rFonts w:ascii="ＭＳ ゴシック" w:eastAsia="ＭＳ ゴシック" w:hAnsi="ＭＳ ゴシック"/>
          <w:sz w:val="24"/>
          <w:szCs w:val="24"/>
        </w:rPr>
      </w:pPr>
    </w:p>
    <w:p w14:paraId="6D52C2E2" w14:textId="4415CC5B" w:rsidR="00971B82" w:rsidRPr="004C1386" w:rsidRDefault="009A58FC" w:rsidP="00C270ED">
      <w:pPr>
        <w:ind w:rightChars="-242" w:right="-508" w:firstLineChars="200" w:firstLine="48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lastRenderedPageBreak/>
        <w:t>②</w:t>
      </w:r>
      <w:r w:rsidR="00066179">
        <w:rPr>
          <w:rFonts w:ascii="ＭＳ ゴシック" w:eastAsia="ＭＳ ゴシック" w:hAnsi="ＭＳ ゴシック" w:hint="eastAsia"/>
          <w:sz w:val="24"/>
          <w:szCs w:val="24"/>
        </w:rPr>
        <w:t xml:space="preserve"> </w:t>
      </w:r>
      <w:r w:rsidR="0058746C" w:rsidRPr="004C1386">
        <w:rPr>
          <w:rFonts w:ascii="ＭＳ ゴシック" w:eastAsia="ＭＳ ゴシック" w:hAnsi="ＭＳ ゴシック" w:hint="eastAsia"/>
          <w:sz w:val="24"/>
          <w:szCs w:val="24"/>
        </w:rPr>
        <w:t>環境</w:t>
      </w:r>
      <w:r w:rsidR="00971B82" w:rsidRPr="004C1386">
        <w:rPr>
          <w:rFonts w:ascii="ＭＳ ゴシック" w:eastAsia="ＭＳ ゴシック" w:hAnsi="ＭＳ ゴシック" w:hint="eastAsia"/>
          <w:sz w:val="24"/>
          <w:szCs w:val="24"/>
        </w:rPr>
        <w:t>農林水産施設（インフラ）</w:t>
      </w:r>
    </w:p>
    <w:p w14:paraId="7307E4CC" w14:textId="594B8F1F" w:rsidR="00971B82" w:rsidRPr="004C1386" w:rsidRDefault="009A58FC" w:rsidP="00C270ED">
      <w:pPr>
        <w:ind w:firstLineChars="300" w:firstLine="72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ア</w:t>
      </w:r>
      <w:r w:rsidR="00240AEB">
        <w:rPr>
          <w:rFonts w:ascii="ＭＳ ゴシック" w:eastAsia="ＭＳ ゴシック" w:hAnsi="ＭＳ ゴシック" w:hint="eastAsia"/>
          <w:sz w:val="24"/>
          <w:szCs w:val="24"/>
        </w:rPr>
        <w:t xml:space="preserve">　</w:t>
      </w:r>
      <w:r w:rsidR="00971B82" w:rsidRPr="004C1386">
        <w:rPr>
          <w:rFonts w:ascii="ＭＳ ゴシック" w:eastAsia="ＭＳ ゴシック" w:hAnsi="ＭＳ ゴシック" w:hint="eastAsia"/>
          <w:sz w:val="24"/>
          <w:szCs w:val="24"/>
        </w:rPr>
        <w:t>施設区分別箇所数等（平成</w:t>
      </w:r>
      <w:r w:rsidR="00B97691" w:rsidRPr="004C1386">
        <w:rPr>
          <w:rFonts w:ascii="ＭＳ ゴシック" w:eastAsia="ＭＳ ゴシック" w:hAnsi="ＭＳ ゴシック" w:hint="eastAsia"/>
          <w:sz w:val="24"/>
          <w:szCs w:val="24"/>
        </w:rPr>
        <w:t>２６</w:t>
      </w:r>
      <w:r w:rsidR="00971B82" w:rsidRPr="004C1386">
        <w:rPr>
          <w:rFonts w:ascii="ＭＳ ゴシック" w:eastAsia="ＭＳ ゴシック" w:hAnsi="ＭＳ ゴシック" w:hint="eastAsia"/>
          <w:sz w:val="24"/>
          <w:szCs w:val="24"/>
        </w:rPr>
        <w:t>年度</w:t>
      </w:r>
      <w:r w:rsidR="004D0462" w:rsidRPr="004C1386">
        <w:rPr>
          <w:rFonts w:ascii="ＭＳ ゴシック" w:eastAsia="ＭＳ ゴシック" w:hAnsi="ＭＳ ゴシック" w:hint="eastAsia"/>
          <w:sz w:val="24"/>
          <w:szCs w:val="24"/>
        </w:rPr>
        <w:t>末</w:t>
      </w:r>
      <w:r w:rsidR="00971B82" w:rsidRPr="004C1386">
        <w:rPr>
          <w:rFonts w:ascii="ＭＳ ゴシック" w:eastAsia="ＭＳ ゴシック" w:hAnsi="ＭＳ ゴシック" w:hint="eastAsia"/>
          <w:sz w:val="24"/>
          <w:szCs w:val="24"/>
        </w:rPr>
        <w:t>時点）</w:t>
      </w:r>
    </w:p>
    <w:p w14:paraId="011CC338" w14:textId="23536D91" w:rsidR="00971B82" w:rsidRPr="000361A4" w:rsidRDefault="000361A4" w:rsidP="00DB78CE">
      <w:pPr>
        <w:ind w:firstLineChars="295" w:firstLine="619"/>
        <w:rPr>
          <w:rFonts w:ascii="ＭＳ ゴシック" w:eastAsia="ＭＳ ゴシック" w:hAnsi="ＭＳ ゴシック"/>
          <w:sz w:val="24"/>
          <w:szCs w:val="24"/>
        </w:rPr>
      </w:pPr>
      <w:r w:rsidRPr="000361A4">
        <w:rPr>
          <w:noProof/>
        </w:rPr>
        <w:drawing>
          <wp:inline distT="0" distB="0" distL="0" distR="0" wp14:anchorId="2CF5DF3C" wp14:editId="380CB0CB">
            <wp:extent cx="6079680" cy="2757871"/>
            <wp:effectExtent l="0" t="0" r="0" b="444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9680" cy="2757871"/>
                    </a:xfrm>
                    <a:prstGeom prst="rect">
                      <a:avLst/>
                    </a:prstGeom>
                    <a:noFill/>
                    <a:ln>
                      <a:noFill/>
                    </a:ln>
                  </pic:spPr>
                </pic:pic>
              </a:graphicData>
            </a:graphic>
          </wp:inline>
        </w:drawing>
      </w:r>
    </w:p>
    <w:p w14:paraId="65DCBF55" w14:textId="77777777" w:rsidR="00C270ED" w:rsidRDefault="00C270ED" w:rsidP="00C270ED">
      <w:pPr>
        <w:rPr>
          <w:rFonts w:ascii="ＭＳ ゴシック" w:eastAsia="ＭＳ ゴシック" w:hAnsi="ＭＳ ゴシック"/>
          <w:sz w:val="24"/>
          <w:szCs w:val="24"/>
        </w:rPr>
      </w:pPr>
    </w:p>
    <w:p w14:paraId="5DE572A6" w14:textId="32FB1837" w:rsidR="00C064D1" w:rsidRPr="004C1386" w:rsidRDefault="00066179" w:rsidP="00C270ED">
      <w:pPr>
        <w:ind w:firstLineChars="300" w:firstLine="720"/>
        <w:rPr>
          <w:rFonts w:ascii="ＭＳ ゴシック" w:eastAsia="ＭＳ ゴシック" w:hAnsi="ＭＳ ゴシック"/>
          <w:sz w:val="24"/>
          <w:szCs w:val="24"/>
        </w:rPr>
      </w:pPr>
      <w:r>
        <w:rPr>
          <w:rFonts w:ascii="ＭＳ ゴシック" w:eastAsia="ＭＳ ゴシック" w:hAnsi="ＭＳ ゴシック" w:hint="eastAsia"/>
          <w:sz w:val="24"/>
          <w:szCs w:val="24"/>
        </w:rPr>
        <w:t>イ</w:t>
      </w:r>
      <w:r w:rsidR="00240AEB">
        <w:rPr>
          <w:rFonts w:ascii="ＭＳ ゴシック" w:eastAsia="ＭＳ ゴシック" w:hAnsi="ＭＳ ゴシック" w:hint="eastAsia"/>
          <w:sz w:val="24"/>
          <w:szCs w:val="24"/>
        </w:rPr>
        <w:t xml:space="preserve">　</w:t>
      </w:r>
      <w:r w:rsidR="0058746C" w:rsidRPr="004C1386">
        <w:rPr>
          <w:rFonts w:ascii="ＭＳ ゴシック" w:eastAsia="ＭＳ ゴシック" w:hAnsi="ＭＳ ゴシック" w:hint="eastAsia"/>
          <w:sz w:val="24"/>
          <w:szCs w:val="24"/>
        </w:rPr>
        <w:t>環境</w:t>
      </w:r>
      <w:r w:rsidR="00B97691" w:rsidRPr="004C1386">
        <w:rPr>
          <w:rFonts w:ascii="ＭＳ ゴシック" w:eastAsia="ＭＳ ゴシック" w:hAnsi="ＭＳ ゴシック" w:hint="eastAsia"/>
          <w:sz w:val="24"/>
          <w:szCs w:val="24"/>
        </w:rPr>
        <w:t>農林水産施設の老朽化（平成２６年度</w:t>
      </w:r>
      <w:r w:rsidR="004D0462" w:rsidRPr="004C1386">
        <w:rPr>
          <w:rFonts w:ascii="ＭＳ ゴシック" w:eastAsia="ＭＳ ゴシック" w:hAnsi="ＭＳ ゴシック" w:hint="eastAsia"/>
          <w:sz w:val="24"/>
          <w:szCs w:val="24"/>
        </w:rPr>
        <w:t>末</w:t>
      </w:r>
      <w:r w:rsidR="00B97691" w:rsidRPr="004C1386">
        <w:rPr>
          <w:rFonts w:ascii="ＭＳ ゴシック" w:eastAsia="ＭＳ ゴシック" w:hAnsi="ＭＳ ゴシック" w:hint="eastAsia"/>
          <w:sz w:val="24"/>
          <w:szCs w:val="24"/>
        </w:rPr>
        <w:t>時点）</w:t>
      </w:r>
    </w:p>
    <w:p w14:paraId="54BA8D6A" w14:textId="392365C5" w:rsidR="00971B82" w:rsidRPr="004C1386" w:rsidRDefault="00B82ADB" w:rsidP="00B87521">
      <w:pPr>
        <w:ind w:firstLineChars="295" w:firstLine="619"/>
        <w:rPr>
          <w:rFonts w:ascii="ＭＳ ゴシック" w:eastAsia="ＭＳ ゴシック" w:hAnsi="ＭＳ ゴシック"/>
          <w:sz w:val="20"/>
          <w:szCs w:val="20"/>
        </w:rPr>
      </w:pPr>
      <w:r w:rsidRPr="00B82ADB">
        <w:rPr>
          <w:noProof/>
        </w:rPr>
        <w:drawing>
          <wp:inline distT="0" distB="0" distL="0" distR="0" wp14:anchorId="139ABE0F" wp14:editId="59E72AF2">
            <wp:extent cx="6079680" cy="2943327"/>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9680" cy="2943327"/>
                    </a:xfrm>
                    <a:prstGeom prst="rect">
                      <a:avLst/>
                    </a:prstGeom>
                    <a:noFill/>
                    <a:ln>
                      <a:noFill/>
                    </a:ln>
                  </pic:spPr>
                </pic:pic>
              </a:graphicData>
            </a:graphic>
          </wp:inline>
        </w:drawing>
      </w:r>
    </w:p>
    <w:p w14:paraId="45A6C8C7" w14:textId="77777777" w:rsidR="007338AD" w:rsidRDefault="00DB78CE" w:rsidP="007338AD">
      <w:pPr>
        <w:adjustRightInd w:val="0"/>
        <w:spacing w:line="280" w:lineRule="exact"/>
        <w:ind w:leftChars="300" w:left="810" w:hangingChars="100" w:hanging="180"/>
        <w:rPr>
          <w:rFonts w:ascii="ＭＳ ゴシック" w:eastAsia="ＭＳ ゴシック" w:hAnsi="ＭＳ ゴシック"/>
          <w:sz w:val="18"/>
          <w:szCs w:val="18"/>
        </w:rPr>
      </w:pPr>
      <w:r w:rsidRPr="004C1386">
        <w:rPr>
          <w:rFonts w:ascii="ＭＳ ゴシック" w:eastAsia="ＭＳ ゴシック" w:hAnsi="ＭＳ ゴシック" w:hint="eastAsia"/>
          <w:sz w:val="18"/>
          <w:szCs w:val="18"/>
        </w:rPr>
        <w:t>※「箇所数等」欄には、府が現在所有する施設数を記載している。また、（　）には、</w:t>
      </w:r>
      <w:r w:rsidR="0005007B">
        <w:rPr>
          <w:rFonts w:ascii="ＭＳ ゴシック" w:eastAsia="ＭＳ ゴシック" w:hAnsi="ＭＳ ゴシック" w:hint="eastAsia"/>
          <w:sz w:val="18"/>
          <w:szCs w:val="18"/>
        </w:rPr>
        <w:t>府が現在所有していないが、</w:t>
      </w:r>
      <w:r w:rsidRPr="004C1386">
        <w:rPr>
          <w:rFonts w:ascii="ＭＳ ゴシック" w:eastAsia="ＭＳ ゴシック" w:hAnsi="ＭＳ ゴシック" w:hint="eastAsia"/>
          <w:sz w:val="18"/>
          <w:szCs w:val="18"/>
        </w:rPr>
        <w:t>府が管理している施設数を、[　]には、府が現在所有・管理していないものの、府が設置した施設数を記載している。</w:t>
      </w:r>
    </w:p>
    <w:p w14:paraId="3D5FDF51" w14:textId="77777777" w:rsidR="007338AD" w:rsidRDefault="00DB78CE" w:rsidP="007338AD">
      <w:pPr>
        <w:adjustRightInd w:val="0"/>
        <w:spacing w:line="280" w:lineRule="exact"/>
        <w:ind w:leftChars="400" w:left="840"/>
        <w:rPr>
          <w:rFonts w:ascii="ＭＳ ゴシック" w:eastAsia="ＭＳ ゴシック" w:hAnsi="ＭＳ ゴシック"/>
          <w:sz w:val="18"/>
          <w:szCs w:val="18"/>
        </w:rPr>
      </w:pPr>
      <w:r w:rsidRPr="004C1386">
        <w:rPr>
          <w:rFonts w:ascii="ＭＳ ゴシック" w:eastAsia="ＭＳ ゴシック" w:hAnsi="ＭＳ ゴシック" w:hint="eastAsia"/>
          <w:sz w:val="18"/>
          <w:szCs w:val="18"/>
        </w:rPr>
        <w:t>「延長等」欄には、原則、本府が所有及び管理を行っている施設についてのみ記載。</w:t>
      </w:r>
    </w:p>
    <w:p w14:paraId="50660ACF" w14:textId="1BA2533C" w:rsidR="00DB78CE" w:rsidRPr="004C1386" w:rsidRDefault="00DB78CE" w:rsidP="007338AD">
      <w:pPr>
        <w:adjustRightInd w:val="0"/>
        <w:spacing w:line="280" w:lineRule="exact"/>
        <w:ind w:leftChars="400" w:left="840"/>
        <w:rPr>
          <w:rFonts w:ascii="ＭＳ ゴシック" w:eastAsia="ＭＳ ゴシック" w:hAnsi="ＭＳ ゴシック"/>
          <w:sz w:val="18"/>
          <w:szCs w:val="18"/>
        </w:rPr>
      </w:pPr>
      <w:r w:rsidRPr="004C1386">
        <w:rPr>
          <w:rFonts w:ascii="ＭＳ ゴシック" w:eastAsia="ＭＳ ゴシック" w:hAnsi="ＭＳ ゴシック" w:hint="eastAsia"/>
          <w:sz w:val="18"/>
          <w:szCs w:val="18"/>
        </w:rPr>
        <w:t>「平均経過年数」及び「耐用年数超過施設割合」は、経過年数等が不明な治山施設の一部と埋立処分地について省略している。</w:t>
      </w:r>
    </w:p>
    <w:p w14:paraId="4AB48BA8" w14:textId="77777777" w:rsidR="00441BFB" w:rsidRDefault="00441BFB" w:rsidP="007338AD">
      <w:pPr>
        <w:adjustRightInd w:val="0"/>
        <w:rPr>
          <w:rFonts w:ascii="ＭＳ ゴシック" w:eastAsia="ＭＳ ゴシック" w:hAnsi="ＭＳ ゴシック"/>
          <w:sz w:val="24"/>
          <w:szCs w:val="24"/>
        </w:rPr>
      </w:pPr>
    </w:p>
    <w:p w14:paraId="31E8D8F3" w14:textId="77777777" w:rsidR="000361A4" w:rsidRDefault="000361A4">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5249A5B5" w14:textId="4A0160BC" w:rsidR="00D910CD" w:rsidRPr="007338AD" w:rsidRDefault="00E9122C" w:rsidP="007338AD">
      <w:pPr>
        <w:adjustRightInd w:val="0"/>
        <w:rPr>
          <w:rFonts w:asciiTheme="majorEastAsia" w:eastAsiaTheme="majorEastAsia" w:hAnsiTheme="majorEastAsia"/>
          <w:sz w:val="24"/>
          <w:szCs w:val="24"/>
        </w:rPr>
      </w:pPr>
      <w:r w:rsidRPr="007338AD">
        <w:rPr>
          <w:rFonts w:asciiTheme="majorEastAsia" w:eastAsiaTheme="majorEastAsia" w:hAnsiTheme="majorEastAsia" w:hint="eastAsia"/>
          <w:sz w:val="24"/>
          <w:szCs w:val="24"/>
        </w:rPr>
        <w:lastRenderedPageBreak/>
        <w:t>（３）</w:t>
      </w:r>
      <w:r w:rsidR="00934AE9" w:rsidRPr="007338AD">
        <w:rPr>
          <w:rFonts w:asciiTheme="majorEastAsia" w:eastAsiaTheme="majorEastAsia" w:hAnsiTheme="majorEastAsia" w:hint="eastAsia"/>
          <w:sz w:val="24"/>
          <w:szCs w:val="24"/>
        </w:rPr>
        <w:t xml:space="preserve">財政の現状　</w:t>
      </w:r>
    </w:p>
    <w:p w14:paraId="084C7E6D" w14:textId="77777777" w:rsidR="007338AD" w:rsidRDefault="00016A5B" w:rsidP="007338AD">
      <w:pPr>
        <w:adjustRightInd w:val="0"/>
        <w:ind w:firstLineChars="100" w:firstLine="240"/>
        <w:rPr>
          <w:rFonts w:asciiTheme="majorEastAsia" w:eastAsiaTheme="majorEastAsia" w:hAnsiTheme="majorEastAsia"/>
          <w:sz w:val="24"/>
          <w:szCs w:val="24"/>
        </w:rPr>
      </w:pPr>
      <w:r w:rsidRPr="007338AD">
        <w:rPr>
          <w:rFonts w:asciiTheme="majorEastAsia" w:eastAsiaTheme="majorEastAsia" w:hAnsiTheme="majorEastAsia" w:hint="eastAsia"/>
          <w:sz w:val="24"/>
          <w:szCs w:val="24"/>
        </w:rPr>
        <w:t>本府の財政は、歳入面では</w:t>
      </w:r>
      <w:r w:rsidR="00F91391" w:rsidRPr="007338AD">
        <w:rPr>
          <w:rFonts w:asciiTheme="majorEastAsia" w:eastAsiaTheme="majorEastAsia" w:hAnsiTheme="majorEastAsia" w:hint="eastAsia"/>
          <w:sz w:val="24"/>
          <w:szCs w:val="24"/>
        </w:rPr>
        <w:t>平成２６</w:t>
      </w:r>
      <w:r w:rsidRPr="007338AD">
        <w:rPr>
          <w:rFonts w:asciiTheme="majorEastAsia" w:eastAsiaTheme="majorEastAsia" w:hAnsiTheme="majorEastAsia" w:hint="eastAsia"/>
          <w:sz w:val="24"/>
          <w:szCs w:val="24"/>
        </w:rPr>
        <w:t>年</w:t>
      </w:r>
      <w:r w:rsidR="00F91391" w:rsidRPr="007338AD">
        <w:rPr>
          <w:rFonts w:asciiTheme="majorEastAsia" w:eastAsiaTheme="majorEastAsia" w:hAnsiTheme="majorEastAsia" w:hint="eastAsia"/>
          <w:sz w:val="24"/>
          <w:szCs w:val="24"/>
        </w:rPr>
        <w:t>４</w:t>
      </w:r>
      <w:r w:rsidRPr="007338AD">
        <w:rPr>
          <w:rFonts w:asciiTheme="majorEastAsia" w:eastAsiaTheme="majorEastAsia" w:hAnsiTheme="majorEastAsia" w:hint="eastAsia"/>
          <w:sz w:val="24"/>
          <w:szCs w:val="24"/>
        </w:rPr>
        <w:t>月に地方消費税の税率が引き上げられた影響や景気動向により、府税収入全体ではリーマンショック前の水準にまで回復するものの、歳出面では社会保障経費や公債費などの義務的な経費が増えており、今後も増大する見込みであるなど、依然予断を許さない状況である。</w:t>
      </w:r>
    </w:p>
    <w:p w14:paraId="462EFD3C" w14:textId="2392C127" w:rsidR="007338AD" w:rsidRDefault="00016A5B" w:rsidP="007338AD">
      <w:pPr>
        <w:adjustRightInd w:val="0"/>
        <w:ind w:firstLineChars="100" w:firstLine="240"/>
        <w:rPr>
          <w:rFonts w:asciiTheme="majorEastAsia" w:eastAsiaTheme="majorEastAsia" w:hAnsiTheme="majorEastAsia"/>
          <w:sz w:val="24"/>
          <w:szCs w:val="24"/>
        </w:rPr>
      </w:pPr>
      <w:r w:rsidRPr="007338AD">
        <w:rPr>
          <w:rFonts w:asciiTheme="majorEastAsia" w:eastAsiaTheme="majorEastAsia" w:hAnsiTheme="majorEastAsia" w:hint="eastAsia"/>
          <w:sz w:val="24"/>
          <w:szCs w:val="24"/>
        </w:rPr>
        <w:t>また、本府の「財政状況に関する中長期試算（粗い試算）」では、本方針による対応が未反映であっても、平成２</w:t>
      </w:r>
      <w:r w:rsidR="00FE581B" w:rsidRPr="007338AD">
        <w:rPr>
          <w:rFonts w:asciiTheme="majorEastAsia" w:eastAsiaTheme="majorEastAsia" w:hAnsiTheme="majorEastAsia" w:hint="eastAsia"/>
          <w:sz w:val="24"/>
          <w:szCs w:val="24"/>
        </w:rPr>
        <w:t>８</w:t>
      </w:r>
      <w:r w:rsidRPr="007338AD">
        <w:rPr>
          <w:rFonts w:asciiTheme="majorEastAsia" w:eastAsiaTheme="majorEastAsia" w:hAnsiTheme="majorEastAsia" w:hint="eastAsia"/>
          <w:sz w:val="24"/>
          <w:szCs w:val="24"/>
        </w:rPr>
        <w:t>年度の８１０億円をはじめ</w:t>
      </w:r>
      <w:r w:rsidR="008B28F9">
        <w:rPr>
          <w:rFonts w:asciiTheme="majorEastAsia" w:eastAsiaTheme="majorEastAsia" w:hAnsiTheme="majorEastAsia" w:hint="eastAsia"/>
          <w:sz w:val="24"/>
          <w:szCs w:val="24"/>
        </w:rPr>
        <w:t>平成４３年度（令和１３年度）</w:t>
      </w:r>
      <w:r w:rsidRPr="007338AD">
        <w:rPr>
          <w:rFonts w:asciiTheme="majorEastAsia" w:eastAsiaTheme="majorEastAsia" w:hAnsiTheme="majorEastAsia" w:hint="eastAsia"/>
          <w:sz w:val="24"/>
          <w:szCs w:val="24"/>
        </w:rPr>
        <w:t>までの間、毎年度要対応額（ⅰ）が発生するという厳しい財政運営の見通しとなっている。</w:t>
      </w:r>
    </w:p>
    <w:p w14:paraId="76CD44E6" w14:textId="2B891D1F" w:rsidR="00016A5B" w:rsidRPr="007338AD" w:rsidRDefault="00016A5B" w:rsidP="007338AD">
      <w:pPr>
        <w:adjustRightInd w:val="0"/>
        <w:ind w:firstLineChars="100" w:firstLine="240"/>
        <w:rPr>
          <w:rFonts w:asciiTheme="majorEastAsia" w:eastAsiaTheme="majorEastAsia" w:hAnsiTheme="majorEastAsia"/>
          <w:sz w:val="24"/>
          <w:szCs w:val="24"/>
        </w:rPr>
      </w:pPr>
      <w:r w:rsidRPr="007338AD">
        <w:rPr>
          <w:rFonts w:asciiTheme="majorEastAsia" w:eastAsiaTheme="majorEastAsia" w:hAnsiTheme="majorEastAsia" w:hint="eastAsia"/>
          <w:sz w:val="24"/>
          <w:szCs w:val="24"/>
        </w:rPr>
        <w:t>さらに、今後生産年齢人口の減少により、府税収入等の大幅な増加を期待できる状況にはなく、財源の確保が一層厳しくなることが懸念される。</w:t>
      </w:r>
    </w:p>
    <w:p w14:paraId="18A53C48" w14:textId="77777777" w:rsidR="00016A5B" w:rsidRPr="007338AD" w:rsidRDefault="00016A5B" w:rsidP="007338AD">
      <w:pPr>
        <w:adjustRightInd w:val="0"/>
        <w:rPr>
          <w:rFonts w:asciiTheme="majorEastAsia" w:eastAsiaTheme="majorEastAsia" w:hAnsiTheme="majorEastAsia"/>
          <w:sz w:val="24"/>
          <w:szCs w:val="24"/>
        </w:rPr>
      </w:pPr>
    </w:p>
    <w:p w14:paraId="3C9D65F6" w14:textId="020F7D3B" w:rsidR="00016A5B" w:rsidRPr="004C1386" w:rsidRDefault="00016A5B" w:rsidP="00016A5B">
      <w:pPr>
        <w:widowControl/>
        <w:jc w:val="left"/>
        <w:rPr>
          <w:rFonts w:ascii="ＭＳ ゴシック" w:eastAsia="ＭＳ ゴシック" w:hAnsi="ＭＳ ゴシック" w:cs="ＭＳ Ｐゴシック"/>
          <w:kern w:val="0"/>
          <w:sz w:val="24"/>
          <w:szCs w:val="24"/>
        </w:rPr>
      </w:pPr>
      <w:r w:rsidRPr="004C1386">
        <w:rPr>
          <w:rFonts w:ascii="ＭＳ ゴシック" w:eastAsia="ＭＳ ゴシック" w:hAnsi="ＭＳ ゴシック" w:cs="ＭＳ Ｐゴシック" w:hint="eastAsia"/>
          <w:noProof/>
          <w:kern w:val="0"/>
          <w:sz w:val="24"/>
          <w:szCs w:val="24"/>
        </w:rPr>
        <w:drawing>
          <wp:inline distT="0" distB="0" distL="0" distR="0" wp14:anchorId="2743F735" wp14:editId="14675F88">
            <wp:extent cx="6143625" cy="3607435"/>
            <wp:effectExtent l="0" t="0" r="9525" b="0"/>
            <wp:docPr id="5" name="図 5" title="大阪府の財政収支の見通しについて示した棒グラフ（平成27年2月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1808" cy="3612240"/>
                    </a:xfrm>
                    <a:prstGeom prst="rect">
                      <a:avLst/>
                    </a:prstGeom>
                    <a:noFill/>
                    <a:ln>
                      <a:noFill/>
                    </a:ln>
                  </pic:spPr>
                </pic:pic>
              </a:graphicData>
            </a:graphic>
          </wp:inline>
        </w:drawing>
      </w:r>
    </w:p>
    <w:p w14:paraId="7D5D58C4" w14:textId="77777777" w:rsidR="00016A5B" w:rsidRPr="004C1386" w:rsidRDefault="00016A5B" w:rsidP="00016A5B">
      <w:pPr>
        <w:widowControl/>
        <w:jc w:val="left"/>
        <w:rPr>
          <w:rFonts w:ascii="ＭＳ ゴシック" w:eastAsia="ＭＳ ゴシック" w:hAnsi="ＭＳ ゴシック" w:cs="ＭＳ Ｐゴシック"/>
          <w:kern w:val="0"/>
          <w:sz w:val="24"/>
          <w:szCs w:val="24"/>
        </w:rPr>
      </w:pPr>
    </w:p>
    <w:p w14:paraId="312841EE" w14:textId="43F4587E" w:rsidR="007404EC" w:rsidRPr="004C1386" w:rsidRDefault="007404EC" w:rsidP="007404EC">
      <w:pPr>
        <w:pStyle w:val="a8"/>
        <w:widowControl/>
        <w:jc w:val="right"/>
        <w:rPr>
          <w:rFonts w:ascii="ＭＳ ゴシック" w:eastAsia="ＭＳ ゴシック" w:hAnsi="ＭＳ ゴシック" w:cs="ＭＳ Ｐゴシック"/>
          <w:kern w:val="0"/>
          <w:szCs w:val="21"/>
        </w:rPr>
      </w:pPr>
      <w:r w:rsidRPr="004C1386">
        <w:rPr>
          <w:rFonts w:ascii="ＭＳ ゴシック" w:eastAsia="ＭＳ ゴシック" w:hAnsi="ＭＳ ゴシック" w:cs="ＭＳ Ｐゴシック" w:hint="eastAsia"/>
          <w:kern w:val="0"/>
          <w:szCs w:val="21"/>
        </w:rPr>
        <w:t>出典「財政状況に関する中長期試算（粗い試算）【平成２７年２月版】」</w:t>
      </w:r>
    </w:p>
    <w:p w14:paraId="0FF3C479" w14:textId="77777777" w:rsidR="007404EC" w:rsidRPr="004C1386" w:rsidRDefault="007404EC" w:rsidP="00016A5B">
      <w:pPr>
        <w:ind w:left="480" w:hangingChars="200" w:hanging="480"/>
        <w:rPr>
          <w:rFonts w:ascii="ＭＳ ゴシック" w:eastAsia="ＭＳ ゴシック" w:hAnsi="ＭＳ ゴシック"/>
          <w:sz w:val="24"/>
          <w:szCs w:val="24"/>
        </w:rPr>
      </w:pPr>
    </w:p>
    <w:p w14:paraId="43076B64" w14:textId="77777777" w:rsidR="00016A5B" w:rsidRPr="004C1386" w:rsidRDefault="00016A5B" w:rsidP="00016A5B">
      <w:pPr>
        <w:ind w:left="480" w:hangingChars="200" w:hanging="480"/>
        <w:rPr>
          <w:rFonts w:ascii="ＭＳ ゴシック" w:eastAsia="ＭＳ ゴシック" w:hAnsi="ＭＳ ゴシック"/>
          <w:sz w:val="24"/>
          <w:szCs w:val="24"/>
        </w:rPr>
      </w:pPr>
      <w:r w:rsidRPr="004C1386">
        <w:rPr>
          <w:rFonts w:ascii="ＭＳ ゴシック" w:eastAsia="ＭＳ ゴシック" w:hAnsi="ＭＳ ゴシック" w:hint="eastAsia"/>
          <w:noProof/>
          <w:sz w:val="24"/>
          <w:szCs w:val="24"/>
        </w:rPr>
        <mc:AlternateContent>
          <mc:Choice Requires="wps">
            <w:drawing>
              <wp:anchor distT="0" distB="0" distL="114300" distR="114300" simplePos="0" relativeHeight="251771904" behindDoc="0" locked="0" layoutInCell="1" allowOverlap="1" wp14:anchorId="53BF335E" wp14:editId="5CC8A12C">
                <wp:simplePos x="0" y="0"/>
                <wp:positionH relativeFrom="column">
                  <wp:posOffset>19654</wp:posOffset>
                </wp:positionH>
                <wp:positionV relativeFrom="paragraph">
                  <wp:posOffset>95250</wp:posOffset>
                </wp:positionV>
                <wp:extent cx="1743075" cy="0"/>
                <wp:effectExtent l="0" t="0" r="28575" b="19050"/>
                <wp:wrapNone/>
                <wp:docPr id="9" name="直線コネクタ 9"/>
                <wp:cNvGraphicFramePr/>
                <a:graphic xmlns:a="http://schemas.openxmlformats.org/drawingml/2006/main">
                  <a:graphicData uri="http://schemas.microsoft.com/office/word/2010/wordprocessingShape">
                    <wps:wsp>
                      <wps:cNvCnPr/>
                      <wps:spPr>
                        <a:xfrm>
                          <a:off x="0" y="0"/>
                          <a:ext cx="17430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69EF56" id="直線コネクタ 9" o:spid="_x0000_s1026" style="position:absolute;left:0;text-align:lef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7.5pt" to="138.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"/>
            </w:pict>
          </mc:Fallback>
        </mc:AlternateContent>
      </w:r>
    </w:p>
    <w:p w14:paraId="4E39399B" w14:textId="0353A68A" w:rsidR="00016A5B" w:rsidRPr="004C1386" w:rsidRDefault="00016A5B" w:rsidP="007338AD">
      <w:pPr>
        <w:spacing w:line="280" w:lineRule="exact"/>
        <w:ind w:leftChars="100" w:left="1890" w:hangingChars="800" w:hanging="1680"/>
        <w:rPr>
          <w:rFonts w:asciiTheme="minorEastAsia" w:hAnsiTheme="minorEastAsia"/>
          <w:szCs w:val="21"/>
        </w:rPr>
      </w:pPr>
      <w:r w:rsidRPr="004C1386">
        <w:rPr>
          <w:rFonts w:asciiTheme="minorEastAsia" w:hAnsiTheme="minorEastAsia" w:hint="eastAsia"/>
          <w:szCs w:val="21"/>
          <w:vertAlign w:val="superscript"/>
        </w:rPr>
        <w:t>ⅰ</w:t>
      </w:r>
      <w:r w:rsidRPr="004C1386">
        <w:rPr>
          <w:rFonts w:asciiTheme="minorEastAsia" w:hAnsiTheme="minorEastAsia" w:hint="eastAsia"/>
          <w:szCs w:val="21"/>
        </w:rPr>
        <w:t xml:space="preserve"> 要対応額・・・各年度における、単年度収支不足額及び過去に借り入れを行った減債基金の積立不足を解消するための復元額の合計。</w:t>
      </w:r>
    </w:p>
    <w:p w14:paraId="057E2788" w14:textId="2441AA1F" w:rsidR="00016A5B" w:rsidRPr="004C1386" w:rsidRDefault="00016A5B" w:rsidP="00016A5B">
      <w:pPr>
        <w:ind w:left="1575" w:hangingChars="750" w:hanging="1575"/>
        <w:rPr>
          <w:rFonts w:asciiTheme="minorEastAsia" w:hAnsiTheme="minorEastAsia"/>
          <w:szCs w:val="21"/>
        </w:rPr>
      </w:pPr>
    </w:p>
    <w:p w14:paraId="4126A1F6" w14:textId="11CE7AFE" w:rsidR="00EB3870" w:rsidRPr="004C1386" w:rsidRDefault="00EB3870" w:rsidP="00016A5B">
      <w:pPr>
        <w:pStyle w:val="a8"/>
        <w:widowControl/>
        <w:ind w:leftChars="0" w:left="562"/>
        <w:jc w:val="left"/>
        <w:rPr>
          <w:rFonts w:ascii="ＭＳ ゴシック" w:eastAsia="ＭＳ ゴシック" w:hAnsi="ＭＳ ゴシック" w:cs="ＭＳ Ｐゴシック"/>
          <w:kern w:val="0"/>
          <w:sz w:val="24"/>
          <w:szCs w:val="24"/>
        </w:rPr>
        <w:sectPr w:rsidR="00EB3870" w:rsidRPr="004C1386" w:rsidSect="00B84A35">
          <w:footerReference w:type="default" r:id="rId21"/>
          <w:pgSz w:w="11906" w:h="16838" w:code="9"/>
          <w:pgMar w:top="1418" w:right="1134" w:bottom="851" w:left="1134" w:header="851" w:footer="454" w:gutter="0"/>
          <w:pgNumType w:fmt="numberInDash" w:start="4"/>
          <w:cols w:space="425"/>
          <w:docGrid w:type="linesAndChars" w:linePitch="360"/>
        </w:sectPr>
      </w:pPr>
    </w:p>
    <w:p w14:paraId="199401B1" w14:textId="653EE542" w:rsidR="00D910CD" w:rsidRPr="000054CF" w:rsidRDefault="000054CF" w:rsidP="000054CF">
      <w:pPr>
        <w:widowControl/>
        <w:adjustRightInd w:val="0"/>
        <w:jc w:val="left"/>
        <w:rPr>
          <w:rFonts w:ascii="ＭＳ ゴシック" w:eastAsia="ＭＳ ゴシック" w:hAnsi="ＭＳ ゴシック"/>
          <w:sz w:val="24"/>
          <w:szCs w:val="24"/>
        </w:rPr>
      </w:pPr>
      <w:r w:rsidRPr="000054CF">
        <w:rPr>
          <w:rFonts w:ascii="ＭＳ ゴシック" w:eastAsia="ＭＳ ゴシック" w:hAnsi="ＭＳ ゴシック" w:hint="eastAsia"/>
          <w:sz w:val="24"/>
          <w:szCs w:val="24"/>
        </w:rPr>
        <w:lastRenderedPageBreak/>
        <w:t>（４）</w:t>
      </w:r>
      <w:r w:rsidR="00D424CA" w:rsidRPr="000054CF">
        <w:rPr>
          <w:rFonts w:ascii="ＭＳ ゴシック" w:eastAsia="ＭＳ ゴシック" w:hAnsi="ＭＳ ゴシック" w:hint="eastAsia"/>
          <w:sz w:val="24"/>
          <w:szCs w:val="24"/>
        </w:rPr>
        <w:t>本格的な</w:t>
      </w:r>
      <w:r w:rsidR="007121AD" w:rsidRPr="000054CF">
        <w:rPr>
          <w:rFonts w:ascii="ＭＳ ゴシック" w:eastAsia="ＭＳ ゴシック" w:hAnsi="ＭＳ ゴシック" w:hint="eastAsia"/>
          <w:sz w:val="24"/>
          <w:szCs w:val="24"/>
        </w:rPr>
        <w:t>人口減少社会</w:t>
      </w:r>
      <w:r w:rsidR="00D424CA" w:rsidRPr="000054CF">
        <w:rPr>
          <w:rFonts w:ascii="ＭＳ ゴシック" w:eastAsia="ＭＳ ゴシック" w:hAnsi="ＭＳ ゴシック" w:hint="eastAsia"/>
          <w:sz w:val="24"/>
          <w:szCs w:val="24"/>
        </w:rPr>
        <w:t>の到来</w:t>
      </w:r>
      <w:r w:rsidR="007121AD" w:rsidRPr="000054CF">
        <w:rPr>
          <w:rFonts w:ascii="ＭＳ ゴシック" w:eastAsia="ＭＳ ゴシック" w:hAnsi="ＭＳ ゴシック" w:hint="eastAsia"/>
          <w:sz w:val="24"/>
          <w:szCs w:val="24"/>
        </w:rPr>
        <w:t>と少子高齢化の進展</w:t>
      </w:r>
    </w:p>
    <w:p w14:paraId="7A2F4690" w14:textId="2E5EB36D" w:rsidR="00104FF5" w:rsidRPr="00104FF5" w:rsidRDefault="00104FF5" w:rsidP="00104FF5">
      <w:pPr>
        <w:widowControl/>
        <w:adjustRightInd w:val="0"/>
        <w:ind w:firstLineChars="100" w:firstLine="240"/>
        <w:jc w:val="left"/>
        <w:rPr>
          <w:rFonts w:ascii="ＭＳ ゴシック" w:eastAsia="ＭＳ ゴシック" w:hAnsi="ＭＳ ゴシック" w:hint="eastAsia"/>
          <w:sz w:val="24"/>
          <w:szCs w:val="24"/>
        </w:rPr>
      </w:pPr>
      <w:r w:rsidRPr="00104FF5">
        <w:rPr>
          <w:rFonts w:ascii="ＭＳ ゴシック" w:eastAsia="ＭＳ ゴシック" w:hAnsi="ＭＳ ゴシック" w:hint="eastAsia"/>
          <w:sz w:val="24"/>
          <w:szCs w:val="24"/>
        </w:rPr>
        <w:t>本府の人口は、</w:t>
      </w:r>
      <w:r>
        <w:rPr>
          <w:rFonts w:ascii="ＭＳ ゴシック" w:eastAsia="ＭＳ ゴシック" w:hAnsi="ＭＳ ゴシック" w:hint="eastAsia"/>
          <w:sz w:val="24"/>
          <w:szCs w:val="24"/>
        </w:rPr>
        <w:t>平成２７年（</w:t>
      </w:r>
      <w:r w:rsidRPr="00104FF5">
        <w:rPr>
          <w:rFonts w:ascii="ＭＳ ゴシック" w:eastAsia="ＭＳ ゴシック" w:hAnsi="ＭＳ ゴシック" w:hint="eastAsia"/>
          <w:sz w:val="24"/>
          <w:szCs w:val="24"/>
        </w:rPr>
        <w:t>２０１５年</w:t>
      </w:r>
      <w:r>
        <w:rPr>
          <w:rFonts w:ascii="ＭＳ ゴシック" w:eastAsia="ＭＳ ゴシック" w:hAnsi="ＭＳ ゴシック" w:hint="eastAsia"/>
          <w:sz w:val="24"/>
          <w:szCs w:val="24"/>
        </w:rPr>
        <w:t>）</w:t>
      </w:r>
      <w:r w:rsidRPr="00104FF5">
        <w:rPr>
          <w:rFonts w:ascii="ＭＳ ゴシック" w:eastAsia="ＭＳ ゴシック" w:hAnsi="ＭＳ ゴシック" w:hint="eastAsia"/>
          <w:sz w:val="24"/>
          <w:szCs w:val="24"/>
        </w:rPr>
        <w:t>からの３０年間で、１３６万人（１５．４パーセント）減少することとなり、本格的な人口減少社会を迎える。</w:t>
      </w:r>
    </w:p>
    <w:p w14:paraId="02B2FB1A" w14:textId="0CB017C5" w:rsidR="00104FF5" w:rsidRPr="00104FF5" w:rsidRDefault="00104FF5" w:rsidP="00104FF5">
      <w:pPr>
        <w:widowControl/>
        <w:adjustRightInd w:val="0"/>
        <w:ind w:firstLineChars="100" w:firstLine="240"/>
        <w:jc w:val="left"/>
        <w:rPr>
          <w:rFonts w:ascii="ＭＳ ゴシック" w:eastAsia="ＭＳ ゴシック" w:hAnsi="ＭＳ ゴシック" w:hint="eastAsia"/>
          <w:sz w:val="24"/>
          <w:szCs w:val="24"/>
        </w:rPr>
      </w:pPr>
      <w:r w:rsidRPr="00104FF5">
        <w:rPr>
          <w:rFonts w:ascii="ＭＳ ゴシック" w:eastAsia="ＭＳ ゴシック" w:hAnsi="ＭＳ ゴシック" w:hint="eastAsia"/>
          <w:sz w:val="24"/>
          <w:szCs w:val="24"/>
        </w:rPr>
        <w:t>人口構成でみると、６５歳以上の高齢者人口の急速な増加が予測されており、</w:t>
      </w:r>
      <w:r>
        <w:rPr>
          <w:rFonts w:ascii="ＭＳ ゴシック" w:eastAsia="ＭＳ ゴシック" w:hAnsi="ＭＳ ゴシック" w:hint="eastAsia"/>
          <w:sz w:val="24"/>
          <w:szCs w:val="24"/>
        </w:rPr>
        <w:t>平成２７年（</w:t>
      </w:r>
      <w:r w:rsidRPr="00104FF5">
        <w:rPr>
          <w:rFonts w:ascii="ＭＳ ゴシック" w:eastAsia="ＭＳ ゴシック" w:hAnsi="ＭＳ ゴシック" w:hint="eastAsia"/>
          <w:sz w:val="24"/>
          <w:szCs w:val="24"/>
        </w:rPr>
        <w:t>２０１５年</w:t>
      </w:r>
      <w:r>
        <w:rPr>
          <w:rFonts w:ascii="ＭＳ ゴシック" w:eastAsia="ＭＳ ゴシック" w:hAnsi="ＭＳ ゴシック" w:hint="eastAsia"/>
          <w:sz w:val="24"/>
          <w:szCs w:val="24"/>
        </w:rPr>
        <w:t>）</w:t>
      </w:r>
      <w:r w:rsidRPr="00104FF5">
        <w:rPr>
          <w:rFonts w:ascii="ＭＳ ゴシック" w:eastAsia="ＭＳ ゴシック" w:hAnsi="ＭＳ ゴシック" w:hint="eastAsia"/>
          <w:sz w:val="24"/>
          <w:szCs w:val="24"/>
        </w:rPr>
        <w:t>では２３２万人であるのに対し、</w:t>
      </w:r>
      <w:r w:rsidR="00F51BF8">
        <w:rPr>
          <w:rFonts w:ascii="ＭＳ ゴシック" w:eastAsia="ＭＳ ゴシック" w:hAnsi="ＭＳ ゴシック" w:hint="eastAsia"/>
          <w:sz w:val="24"/>
          <w:szCs w:val="24"/>
        </w:rPr>
        <w:t>令和２７年（</w:t>
      </w:r>
      <w:r w:rsidRPr="00104FF5">
        <w:rPr>
          <w:rFonts w:ascii="ＭＳ ゴシック" w:eastAsia="ＭＳ ゴシック" w:hAnsi="ＭＳ ゴシック" w:hint="eastAsia"/>
          <w:sz w:val="24"/>
          <w:szCs w:val="24"/>
        </w:rPr>
        <w:t>２０４５年</w:t>
      </w:r>
      <w:r w:rsidR="00F51BF8">
        <w:rPr>
          <w:rFonts w:ascii="ＭＳ ゴシック" w:eastAsia="ＭＳ ゴシック" w:hAnsi="ＭＳ ゴシック" w:hint="eastAsia"/>
          <w:sz w:val="24"/>
          <w:szCs w:val="24"/>
        </w:rPr>
        <w:t>）</w:t>
      </w:r>
      <w:bookmarkStart w:id="0" w:name="_GoBack"/>
      <w:bookmarkEnd w:id="0"/>
      <w:r w:rsidRPr="00104FF5">
        <w:rPr>
          <w:rFonts w:ascii="ＭＳ ゴシック" w:eastAsia="ＭＳ ゴシック" w:hAnsi="ＭＳ ゴシック" w:hint="eastAsia"/>
          <w:sz w:val="24"/>
          <w:szCs w:val="24"/>
        </w:rPr>
        <w:t>には２７１万人と、３０年間で３９万人増加し、高齢化率は２６．２パーセントから３６．２パーセントまで上昇すると見込まれている。</w:t>
      </w:r>
    </w:p>
    <w:p w14:paraId="2757CBF8" w14:textId="68B52425" w:rsidR="00104FF5" w:rsidRPr="00104FF5" w:rsidRDefault="00104FF5" w:rsidP="00104FF5">
      <w:pPr>
        <w:widowControl/>
        <w:adjustRightInd w:val="0"/>
        <w:ind w:firstLineChars="100" w:firstLine="240"/>
        <w:jc w:val="left"/>
        <w:rPr>
          <w:rFonts w:ascii="ＭＳ ゴシック" w:eastAsia="ＭＳ ゴシック" w:hAnsi="ＭＳ ゴシック" w:hint="eastAsia"/>
          <w:sz w:val="24"/>
          <w:szCs w:val="24"/>
        </w:rPr>
      </w:pPr>
      <w:r w:rsidRPr="00104FF5">
        <w:rPr>
          <w:rFonts w:ascii="ＭＳ ゴシック" w:eastAsia="ＭＳ ゴシック" w:hAnsi="ＭＳ ゴシック" w:hint="eastAsia"/>
          <w:sz w:val="24"/>
          <w:szCs w:val="24"/>
        </w:rPr>
        <w:t>一方、１５～６４歳の生産年齢人口の割合は減少を続け、</w:t>
      </w:r>
      <w:r>
        <w:rPr>
          <w:rFonts w:ascii="ＭＳ ゴシック" w:eastAsia="ＭＳ ゴシック" w:hAnsi="ＭＳ ゴシック" w:hint="eastAsia"/>
          <w:sz w:val="24"/>
          <w:szCs w:val="24"/>
        </w:rPr>
        <w:t>平成２７年（</w:t>
      </w:r>
      <w:r w:rsidRPr="00104FF5">
        <w:rPr>
          <w:rFonts w:ascii="ＭＳ ゴシック" w:eastAsia="ＭＳ ゴシック" w:hAnsi="ＭＳ ゴシック" w:hint="eastAsia"/>
          <w:sz w:val="24"/>
          <w:szCs w:val="24"/>
        </w:rPr>
        <w:t>２０１５年</w:t>
      </w:r>
      <w:r>
        <w:rPr>
          <w:rFonts w:ascii="ＭＳ ゴシック" w:eastAsia="ＭＳ ゴシック" w:hAnsi="ＭＳ ゴシック" w:hint="eastAsia"/>
          <w:sz w:val="24"/>
          <w:szCs w:val="24"/>
        </w:rPr>
        <w:t>）</w:t>
      </w:r>
      <w:r w:rsidRPr="00104FF5">
        <w:rPr>
          <w:rFonts w:ascii="ＭＳ ゴシック" w:eastAsia="ＭＳ ゴシック" w:hAnsi="ＭＳ ゴシック" w:hint="eastAsia"/>
          <w:sz w:val="24"/>
          <w:szCs w:val="24"/>
        </w:rPr>
        <w:t>の５４２万人が</w:t>
      </w:r>
      <w:r>
        <w:rPr>
          <w:rFonts w:ascii="ＭＳ ゴシック" w:eastAsia="ＭＳ ゴシック" w:hAnsi="ＭＳ ゴシック" w:hint="eastAsia"/>
          <w:sz w:val="24"/>
          <w:szCs w:val="24"/>
        </w:rPr>
        <w:t>令和２７年（</w:t>
      </w:r>
      <w:r w:rsidRPr="00104FF5">
        <w:rPr>
          <w:rFonts w:ascii="ＭＳ ゴシック" w:eastAsia="ＭＳ ゴシック" w:hAnsi="ＭＳ ゴシック" w:hint="eastAsia"/>
          <w:sz w:val="24"/>
          <w:szCs w:val="24"/>
        </w:rPr>
        <w:t>２０４５年</w:t>
      </w:r>
      <w:r>
        <w:rPr>
          <w:rFonts w:ascii="ＭＳ ゴシック" w:eastAsia="ＭＳ ゴシック" w:hAnsi="ＭＳ ゴシック" w:hint="eastAsia"/>
          <w:sz w:val="24"/>
          <w:szCs w:val="24"/>
        </w:rPr>
        <w:t>）</w:t>
      </w:r>
      <w:r w:rsidRPr="00104FF5">
        <w:rPr>
          <w:rFonts w:ascii="ＭＳ ゴシック" w:eastAsia="ＭＳ ゴシック" w:hAnsi="ＭＳ ゴシック" w:hint="eastAsia"/>
          <w:sz w:val="24"/>
          <w:szCs w:val="24"/>
        </w:rPr>
        <w:t>には４００万人と、３０年間で１４２万人（約２６パーセント）減少することとなり、全人口に占める割合は６１．３パーセントから５３．５パーセントまで低下すると見込まれている。</w:t>
      </w:r>
    </w:p>
    <w:p w14:paraId="04A97720" w14:textId="1E9AC0DB" w:rsidR="006E6794" w:rsidRDefault="00104FF5" w:rsidP="00104FF5">
      <w:pPr>
        <w:widowControl/>
        <w:adjustRightInd w:val="0"/>
        <w:ind w:firstLineChars="100" w:firstLine="240"/>
        <w:jc w:val="left"/>
        <w:rPr>
          <w:rFonts w:ascii="ＭＳ ゴシック" w:eastAsia="ＭＳ ゴシック" w:hAnsi="ＭＳ ゴシック"/>
          <w:sz w:val="24"/>
          <w:szCs w:val="24"/>
        </w:rPr>
      </w:pPr>
      <w:r w:rsidRPr="00104FF5">
        <w:rPr>
          <w:rFonts w:ascii="ＭＳ ゴシック" w:eastAsia="ＭＳ ゴシック" w:hAnsi="ＭＳ ゴシック" w:hint="eastAsia"/>
          <w:sz w:val="24"/>
          <w:szCs w:val="24"/>
        </w:rPr>
        <w:t>また、１５歳未満の年少人口は、</w:t>
      </w:r>
      <w:r>
        <w:rPr>
          <w:rFonts w:ascii="ＭＳ ゴシック" w:eastAsia="ＭＳ ゴシック" w:hAnsi="ＭＳ ゴシック" w:hint="eastAsia"/>
          <w:sz w:val="24"/>
          <w:szCs w:val="24"/>
        </w:rPr>
        <w:t>平成２７年（</w:t>
      </w:r>
      <w:r w:rsidRPr="00104FF5">
        <w:rPr>
          <w:rFonts w:ascii="ＭＳ ゴシック" w:eastAsia="ＭＳ ゴシック" w:hAnsi="ＭＳ ゴシック" w:hint="eastAsia"/>
          <w:sz w:val="24"/>
          <w:szCs w:val="24"/>
        </w:rPr>
        <w:t>２０１５年</w:t>
      </w:r>
      <w:r>
        <w:rPr>
          <w:rFonts w:ascii="ＭＳ ゴシック" w:eastAsia="ＭＳ ゴシック" w:hAnsi="ＭＳ ゴシック" w:hint="eastAsia"/>
          <w:sz w:val="24"/>
          <w:szCs w:val="24"/>
        </w:rPr>
        <w:t>）</w:t>
      </w:r>
      <w:r w:rsidRPr="00104FF5">
        <w:rPr>
          <w:rFonts w:ascii="ＭＳ ゴシック" w:eastAsia="ＭＳ ゴシック" w:hAnsi="ＭＳ ゴシック" w:hint="eastAsia"/>
          <w:sz w:val="24"/>
          <w:szCs w:val="24"/>
        </w:rPr>
        <w:t>の１１０万人が</w:t>
      </w:r>
      <w:r>
        <w:rPr>
          <w:rFonts w:ascii="ＭＳ ゴシック" w:eastAsia="ＭＳ ゴシック" w:hAnsi="ＭＳ ゴシック" w:hint="eastAsia"/>
          <w:sz w:val="24"/>
          <w:szCs w:val="24"/>
        </w:rPr>
        <w:t>令和２７年（</w:t>
      </w:r>
      <w:r w:rsidRPr="00104FF5">
        <w:rPr>
          <w:rFonts w:ascii="ＭＳ ゴシック" w:eastAsia="ＭＳ ゴシック" w:hAnsi="ＭＳ ゴシック" w:hint="eastAsia"/>
          <w:sz w:val="24"/>
          <w:szCs w:val="24"/>
        </w:rPr>
        <w:t>２０４５年</w:t>
      </w:r>
      <w:r>
        <w:rPr>
          <w:rFonts w:ascii="ＭＳ ゴシック" w:eastAsia="ＭＳ ゴシック" w:hAnsi="ＭＳ ゴシック" w:hint="eastAsia"/>
          <w:sz w:val="24"/>
          <w:szCs w:val="24"/>
        </w:rPr>
        <w:t>）</w:t>
      </w:r>
      <w:r w:rsidRPr="00104FF5">
        <w:rPr>
          <w:rFonts w:ascii="ＭＳ ゴシック" w:eastAsia="ＭＳ ゴシック" w:hAnsi="ＭＳ ゴシック" w:hint="eastAsia"/>
          <w:sz w:val="24"/>
          <w:szCs w:val="24"/>
        </w:rPr>
        <w:t>には７７万人と、３０年間で３３万人減少し、割合は</w:t>
      </w:r>
      <w:r>
        <w:rPr>
          <w:rFonts w:ascii="ＭＳ ゴシック" w:eastAsia="ＭＳ ゴシック" w:hAnsi="ＭＳ ゴシック" w:hint="eastAsia"/>
          <w:sz w:val="24"/>
          <w:szCs w:val="24"/>
        </w:rPr>
        <w:t>平成２７年（</w:t>
      </w:r>
      <w:r w:rsidRPr="00104FF5">
        <w:rPr>
          <w:rFonts w:ascii="ＭＳ ゴシック" w:eastAsia="ＭＳ ゴシック" w:hAnsi="ＭＳ ゴシック" w:hint="eastAsia"/>
          <w:sz w:val="24"/>
          <w:szCs w:val="24"/>
        </w:rPr>
        <w:t>２０１５年</w:t>
      </w:r>
      <w:r>
        <w:rPr>
          <w:rFonts w:ascii="ＭＳ ゴシック" w:eastAsia="ＭＳ ゴシック" w:hAnsi="ＭＳ ゴシック" w:hint="eastAsia"/>
          <w:sz w:val="24"/>
          <w:szCs w:val="24"/>
        </w:rPr>
        <w:t>）</w:t>
      </w:r>
      <w:r w:rsidRPr="00104FF5">
        <w:rPr>
          <w:rFonts w:ascii="ＭＳ ゴシック" w:eastAsia="ＭＳ ゴシック" w:hAnsi="ＭＳ ゴシック" w:hint="eastAsia"/>
          <w:sz w:val="24"/>
          <w:szCs w:val="24"/>
        </w:rPr>
        <w:t>の１２．４パーセントから１０．３パーセントまで低下すると予測され、人口構成が大きく変化していくと見込まれている。</w:t>
      </w:r>
    </w:p>
    <w:p w14:paraId="53CF1A4A" w14:textId="0B8F11D1" w:rsidR="000054CF" w:rsidRPr="004C1386" w:rsidRDefault="00C11121" w:rsidP="00B415FD">
      <w:pPr>
        <w:widowControl/>
        <w:adjustRightInd w:val="0"/>
        <w:jc w:val="left"/>
        <w:rPr>
          <w:rFonts w:ascii="ＭＳ ゴシック" w:eastAsia="ＭＳ ゴシック" w:hAnsi="ＭＳ ゴシック" w:hint="eastAsia"/>
          <w:sz w:val="24"/>
          <w:szCs w:val="24"/>
        </w:rPr>
      </w:pPr>
      <w:r>
        <w:rPr>
          <w:rFonts w:ascii="ＭＳ ゴシック" w:eastAsia="ＭＳ ゴシック" w:hAnsi="ＭＳ ゴシック" w:hint="eastAsia"/>
          <w:noProof/>
          <w:sz w:val="24"/>
          <w:szCs w:val="24"/>
        </w:rPr>
        <mc:AlternateContent>
          <mc:Choice Requires="wpg">
            <w:drawing>
              <wp:anchor distT="0" distB="0" distL="114300" distR="114300" simplePos="0" relativeHeight="251785216" behindDoc="0" locked="0" layoutInCell="1" allowOverlap="1" wp14:anchorId="0AAB303C" wp14:editId="62E24522">
                <wp:simplePos x="0" y="0"/>
                <wp:positionH relativeFrom="column">
                  <wp:posOffset>146543</wp:posOffset>
                </wp:positionH>
                <wp:positionV relativeFrom="paragraph">
                  <wp:posOffset>65149</wp:posOffset>
                </wp:positionV>
                <wp:extent cx="5861713" cy="2687320"/>
                <wp:effectExtent l="0" t="0" r="5715" b="0"/>
                <wp:wrapNone/>
                <wp:docPr id="21" name="グループ化 21"/>
                <wp:cNvGraphicFramePr/>
                <a:graphic xmlns:a="http://schemas.openxmlformats.org/drawingml/2006/main">
                  <a:graphicData uri="http://schemas.microsoft.com/office/word/2010/wordprocessingGroup">
                    <wpg:wgp>
                      <wpg:cNvGrpSpPr/>
                      <wpg:grpSpPr>
                        <a:xfrm>
                          <a:off x="0" y="0"/>
                          <a:ext cx="5861713" cy="2687320"/>
                          <a:chOff x="0" y="0"/>
                          <a:chExt cx="5507355" cy="2687320"/>
                        </a:xfrm>
                      </wpg:grpSpPr>
                      <wpg:graphicFrame>
                        <wpg:cNvPr id="37" name="グラフ 37"/>
                        <wpg:cNvFrPr/>
                        <wpg:xfrm>
                          <a:off x="0" y="0"/>
                          <a:ext cx="5507355" cy="2687320"/>
                        </wpg:xfrm>
                        <a:graphic>
                          <a:graphicData uri="http://schemas.openxmlformats.org/drawingml/2006/chart">
                            <c:chart xmlns:c="http://schemas.openxmlformats.org/drawingml/2006/chart" xmlns:r="http://schemas.openxmlformats.org/officeDocument/2006/relationships" r:id="rId22"/>
                          </a:graphicData>
                        </a:graphic>
                      </wpg:graphicFrame>
                      <wps:wsp>
                        <wps:cNvPr id="38" name="円形吹き出し 38"/>
                        <wps:cNvSpPr>
                          <a:spLocks noChangeArrowheads="1"/>
                        </wps:cNvSpPr>
                        <wps:spPr bwMode="auto">
                          <a:xfrm>
                            <a:off x="3104866" y="1549021"/>
                            <a:ext cx="1327547" cy="439033"/>
                          </a:xfrm>
                          <a:prstGeom prst="wedgeEllipseCallout">
                            <a:avLst>
                              <a:gd name="adj1" fmla="val 19709"/>
                              <a:gd name="adj2" fmla="val -84969"/>
                            </a:avLst>
                          </a:prstGeom>
                          <a:solidFill>
                            <a:srgbClr val="FFFFFF"/>
                          </a:solidFill>
                          <a:ln w="15875">
                            <a:solidFill>
                              <a:srgbClr val="FF6600"/>
                            </a:solidFill>
                            <a:prstDash val="sysDot"/>
                            <a:miter lim="800000"/>
                            <a:headEnd/>
                            <a:tailEnd/>
                          </a:ln>
                        </wps:spPr>
                        <wps:txbx>
                          <w:txbxContent>
                            <w:p w14:paraId="37EA38D3" w14:textId="77777777" w:rsidR="00B47001" w:rsidRPr="003807D0" w:rsidRDefault="00B47001" w:rsidP="00B47001">
                              <w:pPr>
                                <w:pStyle w:val="Web"/>
                                <w:spacing w:line="200" w:lineRule="exact"/>
                                <w:jc w:val="center"/>
                                <w:rPr>
                                  <w:rFonts w:asciiTheme="majorEastAsia" w:eastAsiaTheme="majorEastAsia" w:hAnsiTheme="majorEastAsia"/>
                                  <w:kern w:val="0"/>
                                </w:rPr>
                              </w:pPr>
                              <w:r w:rsidRPr="003807D0">
                                <w:rPr>
                                  <w:rFonts w:asciiTheme="majorEastAsia" w:eastAsiaTheme="majorEastAsia" w:hAnsiTheme="majorEastAsia" w:hint="eastAsia"/>
                                  <w:sz w:val="16"/>
                                  <w:szCs w:val="16"/>
                                </w:rPr>
                                <w:t>2015(H27)より</w:t>
                              </w:r>
                            </w:p>
                            <w:p w14:paraId="2F92C7A7" w14:textId="77777777" w:rsidR="00B47001" w:rsidRPr="003807D0" w:rsidRDefault="00B47001" w:rsidP="00B47001">
                              <w:pPr>
                                <w:pStyle w:val="Web"/>
                                <w:spacing w:line="220" w:lineRule="exact"/>
                                <w:jc w:val="center"/>
                                <w:rPr>
                                  <w:rFonts w:asciiTheme="majorEastAsia" w:eastAsiaTheme="majorEastAsia" w:hAnsiTheme="majorEastAsia"/>
                                </w:rPr>
                              </w:pPr>
                              <w:r w:rsidRPr="003807D0">
                                <w:rPr>
                                  <w:rFonts w:asciiTheme="majorEastAsia" w:eastAsiaTheme="majorEastAsia" w:hAnsiTheme="majorEastAsia" w:hint="eastAsia"/>
                                  <w:b/>
                                  <w:bCs/>
                                  <w:sz w:val="21"/>
                                  <w:szCs w:val="21"/>
                                </w:rPr>
                                <w:t>136万人</w:t>
                              </w:r>
                              <w:r w:rsidRPr="003807D0">
                                <w:rPr>
                                  <w:rFonts w:asciiTheme="majorEastAsia" w:eastAsiaTheme="majorEastAsia" w:hAnsiTheme="majorEastAsia" w:hint="eastAsia"/>
                                  <w:b/>
                                  <w:bCs/>
                                  <w:color w:val="0000FF"/>
                                  <w:sz w:val="21"/>
                                  <w:szCs w:val="21"/>
                                </w:rPr>
                                <w:t>減少</w:t>
                              </w:r>
                            </w:p>
                          </w:txbxContent>
                        </wps:txbx>
                        <wps:bodyPr rot="0" vert="horz" wrap="square" lIns="18000" tIns="5400" rIns="18000" bIns="5400" anchor="t" anchorCtr="0" upright="1">
                          <a:noAutofit/>
                        </wps:bodyPr>
                      </wps:wsp>
                    </wpg:wgp>
                  </a:graphicData>
                </a:graphic>
                <wp14:sizeRelH relativeFrom="margin">
                  <wp14:pctWidth>0</wp14:pctWidth>
                </wp14:sizeRelH>
              </wp:anchor>
            </w:drawing>
          </mc:Choice>
          <mc:Fallback>
            <w:pict>
              <v:group w14:anchorId="0AAB303C" id="グループ化 21" o:spid="_x0000_s1029" style="position:absolute;margin-left:11.55pt;margin-top:5.15pt;width:461.55pt;height:211.6pt;z-index:251785216;mso-width-relative:margin" coordsize="55073,26873" o:gfxdata="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37" o:spid="_x0000_s1030" type="#_x0000_t75" style="position:absolute;width:55098;height:26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">
                  <v:imagedata r:id="rId23" o:title=""/>
                  <o:lock v:ext="edit" aspectratio="f"/>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8" o:spid="_x0000_s1031" type="#_x0000_t63" style="position:absolute;left:31048;top:15490;width:13276;height:4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" adj="15057,-7553" strokecolor="#f60" strokeweight="1.25pt">
                  <v:stroke dashstyle="1 1"/>
                  <v:textbox inset=".5mm,.15mm,.5mm,.15mm">
                    <w:txbxContent>
                      <w:p w14:paraId="37EA38D3" w14:textId="77777777" w:rsidR="00B47001" w:rsidRPr="003807D0" w:rsidRDefault="00B47001" w:rsidP="00B47001">
                        <w:pPr>
                          <w:pStyle w:val="Web"/>
                          <w:spacing w:line="200" w:lineRule="exact"/>
                          <w:jc w:val="center"/>
                          <w:rPr>
                            <w:rFonts w:asciiTheme="majorEastAsia" w:eastAsiaTheme="majorEastAsia" w:hAnsiTheme="majorEastAsia"/>
                            <w:kern w:val="0"/>
                          </w:rPr>
                        </w:pPr>
                        <w:r w:rsidRPr="003807D0">
                          <w:rPr>
                            <w:rFonts w:asciiTheme="majorEastAsia" w:eastAsiaTheme="majorEastAsia" w:hAnsiTheme="majorEastAsia" w:hint="eastAsia"/>
                            <w:sz w:val="16"/>
                            <w:szCs w:val="16"/>
                          </w:rPr>
                          <w:t>2015(H27)より</w:t>
                        </w:r>
                      </w:p>
                      <w:p w14:paraId="2F92C7A7" w14:textId="77777777" w:rsidR="00B47001" w:rsidRPr="003807D0" w:rsidRDefault="00B47001" w:rsidP="00B47001">
                        <w:pPr>
                          <w:pStyle w:val="Web"/>
                          <w:spacing w:line="220" w:lineRule="exact"/>
                          <w:jc w:val="center"/>
                          <w:rPr>
                            <w:rFonts w:asciiTheme="majorEastAsia" w:eastAsiaTheme="majorEastAsia" w:hAnsiTheme="majorEastAsia"/>
                          </w:rPr>
                        </w:pPr>
                        <w:r w:rsidRPr="003807D0">
                          <w:rPr>
                            <w:rFonts w:asciiTheme="majorEastAsia" w:eastAsiaTheme="majorEastAsia" w:hAnsiTheme="majorEastAsia" w:hint="eastAsia"/>
                            <w:b/>
                            <w:bCs/>
                            <w:sz w:val="21"/>
                            <w:szCs w:val="21"/>
                          </w:rPr>
                          <w:t>136万人</w:t>
                        </w:r>
                        <w:r w:rsidRPr="003807D0">
                          <w:rPr>
                            <w:rFonts w:asciiTheme="majorEastAsia" w:eastAsiaTheme="majorEastAsia" w:hAnsiTheme="majorEastAsia" w:hint="eastAsia"/>
                            <w:b/>
                            <w:bCs/>
                            <w:color w:val="0000FF"/>
                            <w:sz w:val="21"/>
                            <w:szCs w:val="21"/>
                          </w:rPr>
                          <w:t>減少</w:t>
                        </w:r>
                      </w:p>
                    </w:txbxContent>
                  </v:textbox>
                </v:shape>
              </v:group>
            </w:pict>
          </mc:Fallback>
        </mc:AlternateContent>
      </w:r>
    </w:p>
    <w:p w14:paraId="77970C7F" w14:textId="0C9B09F7" w:rsidR="007121AD" w:rsidRPr="004C1386" w:rsidRDefault="007121AD" w:rsidP="007121AD">
      <w:pPr>
        <w:widowControl/>
        <w:jc w:val="left"/>
        <w:rPr>
          <w:rFonts w:ascii="ＭＳ ゴシック" w:eastAsia="ＭＳ ゴシック" w:hAnsi="ＭＳ ゴシック"/>
          <w:sz w:val="24"/>
          <w:szCs w:val="24"/>
        </w:rPr>
      </w:pPr>
    </w:p>
    <w:p w14:paraId="78C75CB1" w14:textId="77777777" w:rsidR="007121AD" w:rsidRPr="004C1386" w:rsidRDefault="007121AD" w:rsidP="007121AD">
      <w:pPr>
        <w:widowControl/>
        <w:jc w:val="left"/>
        <w:rPr>
          <w:rFonts w:ascii="ＭＳ ゴシック" w:eastAsia="ＭＳ ゴシック" w:hAnsi="ＭＳ ゴシック"/>
          <w:sz w:val="24"/>
          <w:szCs w:val="24"/>
        </w:rPr>
      </w:pPr>
    </w:p>
    <w:p w14:paraId="133BFC8C" w14:textId="77777777" w:rsidR="007121AD" w:rsidRPr="004C1386" w:rsidRDefault="007121AD" w:rsidP="007121AD">
      <w:pPr>
        <w:widowControl/>
        <w:jc w:val="left"/>
        <w:rPr>
          <w:rFonts w:ascii="ＭＳ ゴシック" w:eastAsia="ＭＳ ゴシック" w:hAnsi="ＭＳ ゴシック"/>
          <w:sz w:val="24"/>
          <w:szCs w:val="24"/>
        </w:rPr>
      </w:pPr>
    </w:p>
    <w:p w14:paraId="7F543F47" w14:textId="11924D1C" w:rsidR="007121AD" w:rsidRPr="004C1386" w:rsidRDefault="007121AD" w:rsidP="007121AD">
      <w:pPr>
        <w:widowControl/>
        <w:jc w:val="left"/>
        <w:rPr>
          <w:rFonts w:ascii="ＭＳ ゴシック" w:eastAsia="ＭＳ ゴシック" w:hAnsi="ＭＳ ゴシック"/>
          <w:sz w:val="24"/>
          <w:szCs w:val="24"/>
        </w:rPr>
      </w:pPr>
    </w:p>
    <w:p w14:paraId="5E0C7E61" w14:textId="15360F83" w:rsidR="007121AD" w:rsidRPr="004C1386" w:rsidRDefault="007121AD" w:rsidP="007121AD">
      <w:pPr>
        <w:widowControl/>
        <w:jc w:val="left"/>
        <w:rPr>
          <w:rFonts w:ascii="ＭＳ ゴシック" w:eastAsia="ＭＳ ゴシック" w:hAnsi="ＭＳ ゴシック"/>
          <w:sz w:val="24"/>
          <w:szCs w:val="24"/>
        </w:rPr>
      </w:pPr>
    </w:p>
    <w:p w14:paraId="2059252F" w14:textId="042371A7" w:rsidR="007121AD" w:rsidRPr="004C1386" w:rsidRDefault="007121AD" w:rsidP="007121AD">
      <w:pPr>
        <w:widowControl/>
        <w:jc w:val="left"/>
        <w:rPr>
          <w:rFonts w:ascii="ＭＳ ゴシック" w:eastAsia="ＭＳ ゴシック" w:hAnsi="ＭＳ ゴシック"/>
          <w:sz w:val="24"/>
          <w:szCs w:val="24"/>
        </w:rPr>
      </w:pPr>
    </w:p>
    <w:p w14:paraId="16F43CAA" w14:textId="77CBA98D" w:rsidR="007121AD" w:rsidRPr="004C1386" w:rsidRDefault="007121AD" w:rsidP="007121AD">
      <w:pPr>
        <w:widowControl/>
        <w:jc w:val="left"/>
        <w:rPr>
          <w:rFonts w:ascii="ＭＳ ゴシック" w:eastAsia="ＭＳ ゴシック" w:hAnsi="ＭＳ ゴシック"/>
          <w:sz w:val="24"/>
          <w:szCs w:val="24"/>
        </w:rPr>
      </w:pPr>
    </w:p>
    <w:p w14:paraId="32C80F43" w14:textId="77777777" w:rsidR="007121AD" w:rsidRPr="004C1386" w:rsidRDefault="007121AD" w:rsidP="00B415FD">
      <w:pPr>
        <w:widowControl/>
        <w:rPr>
          <w:rFonts w:ascii="ＭＳ ゴシック" w:eastAsia="ＭＳ ゴシック" w:hAnsi="ＭＳ ゴシック" w:hint="eastAsia"/>
          <w:sz w:val="24"/>
          <w:szCs w:val="24"/>
        </w:rPr>
      </w:pPr>
    </w:p>
    <w:p w14:paraId="3FFE5E72" w14:textId="77777777" w:rsidR="007121AD" w:rsidRPr="004C1386" w:rsidRDefault="007121AD" w:rsidP="007121AD">
      <w:pPr>
        <w:widowControl/>
        <w:jc w:val="left"/>
        <w:rPr>
          <w:rFonts w:ascii="ＭＳ ゴシック" w:eastAsia="ＭＳ ゴシック" w:hAnsi="ＭＳ ゴシック"/>
          <w:sz w:val="24"/>
          <w:szCs w:val="24"/>
        </w:rPr>
      </w:pPr>
    </w:p>
    <w:p w14:paraId="1C7A24D7" w14:textId="77777777" w:rsidR="007121AD" w:rsidRPr="004C1386" w:rsidRDefault="007121AD" w:rsidP="007121AD">
      <w:pPr>
        <w:widowControl/>
        <w:jc w:val="left"/>
        <w:rPr>
          <w:rFonts w:ascii="ＭＳ ゴシック" w:eastAsia="ＭＳ ゴシック" w:hAnsi="ＭＳ ゴシック"/>
          <w:sz w:val="24"/>
          <w:szCs w:val="24"/>
        </w:rPr>
      </w:pPr>
    </w:p>
    <w:p w14:paraId="14E41563" w14:textId="49933416" w:rsidR="007121AD" w:rsidRPr="004C1386" w:rsidRDefault="007121AD" w:rsidP="007121AD">
      <w:pPr>
        <w:widowControl/>
        <w:jc w:val="left"/>
        <w:rPr>
          <w:rFonts w:ascii="ＭＳ ゴシック" w:eastAsia="ＭＳ ゴシック" w:hAnsi="ＭＳ ゴシック"/>
          <w:sz w:val="24"/>
          <w:szCs w:val="24"/>
        </w:rPr>
      </w:pPr>
    </w:p>
    <w:p w14:paraId="0D15432C" w14:textId="2E02AD94" w:rsidR="007121AD" w:rsidRPr="004C1386" w:rsidRDefault="003807D0" w:rsidP="0080491E">
      <w:pPr>
        <w:widowControl/>
        <w:tabs>
          <w:tab w:val="left" w:pos="6657"/>
        </w:tabs>
        <w:jc w:val="left"/>
        <w:rPr>
          <w:rFonts w:ascii="ＭＳ ゴシック" w:eastAsia="ＭＳ ゴシック" w:hAnsi="ＭＳ ゴシック"/>
          <w:sz w:val="24"/>
          <w:szCs w:val="24"/>
        </w:rPr>
      </w:pPr>
      <w:r>
        <w:rPr>
          <w:noProof/>
        </w:rPr>
        <mc:AlternateContent>
          <mc:Choice Requires="wps">
            <w:drawing>
              <wp:anchor distT="0" distB="0" distL="114300" distR="114300" simplePos="0" relativeHeight="251780096" behindDoc="0" locked="0" layoutInCell="1" allowOverlap="1" wp14:anchorId="0FC148CE" wp14:editId="51F7C790">
                <wp:simplePos x="0" y="0"/>
                <wp:positionH relativeFrom="column">
                  <wp:posOffset>392203</wp:posOffset>
                </wp:positionH>
                <wp:positionV relativeFrom="paragraph">
                  <wp:posOffset>17382</wp:posOffset>
                </wp:positionV>
                <wp:extent cx="4640238" cy="190500"/>
                <wp:effectExtent l="0" t="0" r="8255" b="0"/>
                <wp:wrapNone/>
                <wp:docPr id="34" name="テキスト ボックス 34"/>
                <wp:cNvGraphicFramePr/>
                <a:graphic xmlns:a="http://schemas.openxmlformats.org/drawingml/2006/main">
                  <a:graphicData uri="http://schemas.microsoft.com/office/word/2010/wordprocessingShape">
                    <wps:wsp>
                      <wps:cNvSpPr txBox="1"/>
                      <wps:spPr>
                        <a:xfrm>
                          <a:off x="0" y="0"/>
                          <a:ext cx="4640238" cy="190500"/>
                        </a:xfrm>
                        <a:prstGeom prst="rect">
                          <a:avLst/>
                        </a:prstGeom>
                        <a:solidFill>
                          <a:prstClr val="white"/>
                        </a:solidFill>
                        <a:ln>
                          <a:noFill/>
                        </a:ln>
                      </wps:spPr>
                      <wps:txbx>
                        <w:txbxContent>
                          <w:p w14:paraId="6888EDF3" w14:textId="77777777" w:rsidR="003807D0" w:rsidRPr="003807D0" w:rsidRDefault="00B47001" w:rsidP="00B72EE8">
                            <w:pPr>
                              <w:widowControl/>
                              <w:spacing w:line="140" w:lineRule="exact"/>
                              <w:jc w:val="left"/>
                              <w:rPr>
                                <w:rFonts w:asciiTheme="majorEastAsia" w:eastAsiaTheme="majorEastAsia" w:hAnsiTheme="majorEastAsia"/>
                                <w:color w:val="000000" w:themeColor="text1"/>
                                <w:kern w:val="24"/>
                                <w:sz w:val="10"/>
                                <w:szCs w:val="18"/>
                                <w:eastAsianLayout w:id="-1559025653"/>
                              </w:rPr>
                            </w:pPr>
                            <w:r w:rsidRPr="003807D0">
                              <w:rPr>
                                <w:rFonts w:asciiTheme="majorEastAsia" w:eastAsiaTheme="majorEastAsia" w:hAnsiTheme="majorEastAsia" w:hint="eastAsia"/>
                                <w:color w:val="000000" w:themeColor="text1"/>
                                <w:kern w:val="24"/>
                                <w:sz w:val="10"/>
                                <w:szCs w:val="18"/>
                                <w:eastAsianLayout w:id="-1559025664"/>
                              </w:rPr>
                              <w:t>出典</w:t>
                            </w:r>
                            <w:r w:rsidRPr="003807D0">
                              <w:rPr>
                                <w:rFonts w:asciiTheme="majorEastAsia" w:eastAsiaTheme="majorEastAsia" w:hAnsiTheme="majorEastAsia" w:hint="eastAsia"/>
                                <w:color w:val="000000" w:themeColor="text1"/>
                                <w:kern w:val="24"/>
                                <w:sz w:val="10"/>
                                <w:szCs w:val="18"/>
                                <w:eastAsianLayout w:id="-1559025663"/>
                              </w:rPr>
                              <w:t>：</w:t>
                            </w:r>
                            <w:r w:rsidRPr="003807D0">
                              <w:rPr>
                                <w:rFonts w:asciiTheme="majorEastAsia" w:eastAsiaTheme="majorEastAsia" w:hAnsiTheme="majorEastAsia" w:hint="eastAsia"/>
                                <w:color w:val="000000" w:themeColor="text1"/>
                                <w:kern w:val="24"/>
                                <w:sz w:val="10"/>
                                <w:szCs w:val="18"/>
                                <w:eastAsianLayout w:id="-1559025662"/>
                              </w:rPr>
                              <w:t>2015</w:t>
                            </w:r>
                            <w:r w:rsidRPr="003807D0">
                              <w:rPr>
                                <w:rFonts w:asciiTheme="majorEastAsia" w:eastAsiaTheme="majorEastAsia" w:hAnsiTheme="majorEastAsia" w:hint="eastAsia"/>
                                <w:color w:val="000000" w:themeColor="text1"/>
                                <w:kern w:val="24"/>
                                <w:sz w:val="10"/>
                                <w:szCs w:val="18"/>
                                <w:eastAsianLayout w:id="-1559025661"/>
                              </w:rPr>
                              <w:t>年までは総務省「国勢調査</w:t>
                            </w:r>
                            <w:r w:rsidRPr="003807D0">
                              <w:rPr>
                                <w:rFonts w:asciiTheme="majorEastAsia" w:eastAsiaTheme="majorEastAsia" w:hAnsiTheme="majorEastAsia" w:hint="eastAsia"/>
                                <w:color w:val="000000" w:themeColor="text1"/>
                                <w:kern w:val="24"/>
                                <w:sz w:val="10"/>
                                <w:szCs w:val="18"/>
                                <w:eastAsianLayout w:id="-1559025660"/>
                              </w:rPr>
                              <w:t>」。</w:t>
                            </w:r>
                            <w:r w:rsidRPr="003807D0">
                              <w:rPr>
                                <w:rFonts w:asciiTheme="majorEastAsia" w:eastAsiaTheme="majorEastAsia" w:hAnsiTheme="majorEastAsia" w:hint="eastAsia"/>
                                <w:color w:val="000000" w:themeColor="text1"/>
                                <w:kern w:val="24"/>
                                <w:sz w:val="10"/>
                                <w:szCs w:val="18"/>
                                <w:eastAsianLayout w:id="-1559025659"/>
                              </w:rPr>
                              <w:t>2020</w:t>
                            </w:r>
                            <w:r w:rsidRPr="003807D0">
                              <w:rPr>
                                <w:rFonts w:asciiTheme="majorEastAsia" w:eastAsiaTheme="majorEastAsia" w:hAnsiTheme="majorEastAsia" w:hint="eastAsia"/>
                                <w:color w:val="000000" w:themeColor="text1"/>
                                <w:kern w:val="24"/>
                                <w:sz w:val="10"/>
                                <w:szCs w:val="18"/>
                                <w:eastAsianLayout w:id="-1559025658"/>
                              </w:rPr>
                              <w:t>年以降</w:t>
                            </w:r>
                            <w:r w:rsidRPr="003807D0">
                              <w:rPr>
                                <w:rFonts w:asciiTheme="majorEastAsia" w:eastAsiaTheme="majorEastAsia" w:hAnsiTheme="majorEastAsia" w:hint="eastAsia"/>
                                <w:color w:val="000000" w:themeColor="text1"/>
                                <w:kern w:val="24"/>
                                <w:sz w:val="10"/>
                                <w:szCs w:val="18"/>
                                <w:eastAsianLayout w:id="-1559025657"/>
                              </w:rPr>
                              <w:t>は「大阪府人口ビジョン（</w:t>
                            </w:r>
                            <w:r w:rsidRPr="003807D0">
                              <w:rPr>
                                <w:rFonts w:asciiTheme="majorEastAsia" w:eastAsiaTheme="majorEastAsia" w:hAnsiTheme="majorEastAsia" w:hint="eastAsia"/>
                                <w:color w:val="000000" w:themeColor="text1"/>
                                <w:kern w:val="24"/>
                                <w:sz w:val="10"/>
                                <w:szCs w:val="18"/>
                                <w:eastAsianLayout w:id="-1559025656"/>
                              </w:rPr>
                              <w:t>2016</w:t>
                            </w:r>
                            <w:r w:rsidRPr="003807D0">
                              <w:rPr>
                                <w:rFonts w:asciiTheme="majorEastAsia" w:eastAsiaTheme="majorEastAsia" w:hAnsiTheme="majorEastAsia" w:hint="eastAsia"/>
                                <w:color w:val="000000" w:themeColor="text1"/>
                                <w:kern w:val="24"/>
                                <w:sz w:val="10"/>
                                <w:szCs w:val="18"/>
                                <w:eastAsianLayout w:id="-1559025655"/>
                              </w:rPr>
                              <w:t>年</w:t>
                            </w:r>
                            <w:r w:rsidRPr="003807D0">
                              <w:rPr>
                                <w:rFonts w:asciiTheme="majorEastAsia" w:eastAsiaTheme="majorEastAsia" w:hAnsiTheme="majorEastAsia" w:hint="eastAsia"/>
                                <w:color w:val="000000" w:themeColor="text1"/>
                                <w:kern w:val="24"/>
                                <w:sz w:val="10"/>
                                <w:szCs w:val="18"/>
                                <w:eastAsianLayout w:id="-1559025654"/>
                              </w:rPr>
                              <w:t>3</w:t>
                            </w:r>
                            <w:r w:rsidRPr="003807D0">
                              <w:rPr>
                                <w:rFonts w:asciiTheme="majorEastAsia" w:eastAsiaTheme="majorEastAsia" w:hAnsiTheme="majorEastAsia" w:hint="eastAsia"/>
                                <w:color w:val="000000" w:themeColor="text1"/>
                                <w:kern w:val="24"/>
                                <w:sz w:val="10"/>
                                <w:szCs w:val="18"/>
                                <w:eastAsianLayout w:id="-1559025653"/>
                              </w:rPr>
                              <w:t>月）」及び</w:t>
                            </w:r>
                          </w:p>
                          <w:p w14:paraId="45D14661" w14:textId="2B7FFFE6" w:rsidR="00B47001" w:rsidRPr="003807D0" w:rsidRDefault="00B47001" w:rsidP="003807D0">
                            <w:pPr>
                              <w:widowControl/>
                              <w:spacing w:line="140" w:lineRule="exact"/>
                              <w:ind w:firstLineChars="250" w:firstLine="250"/>
                              <w:jc w:val="left"/>
                              <w:rPr>
                                <w:rFonts w:asciiTheme="majorEastAsia" w:eastAsiaTheme="majorEastAsia" w:hAnsiTheme="majorEastAsia"/>
                                <w:color w:val="000000" w:themeColor="text1"/>
                                <w:kern w:val="24"/>
                                <w:sz w:val="10"/>
                                <w:szCs w:val="18"/>
                              </w:rPr>
                            </w:pPr>
                            <w:r w:rsidRPr="003807D0">
                              <w:rPr>
                                <w:rFonts w:asciiTheme="majorEastAsia" w:eastAsiaTheme="majorEastAsia" w:hAnsiTheme="majorEastAsia" w:hint="eastAsia"/>
                                <w:color w:val="000000" w:themeColor="text1"/>
                                <w:kern w:val="24"/>
                                <w:sz w:val="10"/>
                                <w:szCs w:val="18"/>
                                <w:eastAsianLayout w:id="-1559025653"/>
                              </w:rPr>
                              <w:t>「</w:t>
                            </w:r>
                            <w:r w:rsidRPr="003807D0">
                              <w:rPr>
                                <w:rFonts w:asciiTheme="majorEastAsia" w:eastAsiaTheme="majorEastAsia" w:hAnsiTheme="majorEastAsia" w:hint="eastAsia"/>
                                <w:color w:val="000000" w:themeColor="text1"/>
                                <w:kern w:val="24"/>
                                <w:sz w:val="10"/>
                                <w:szCs w:val="18"/>
                                <w:eastAsianLayout w:id="-1559025652"/>
                              </w:rPr>
                              <w:t>大阪府の将来推計</w:t>
                            </w:r>
                            <w:r w:rsidRPr="003807D0">
                              <w:rPr>
                                <w:rFonts w:asciiTheme="majorEastAsia" w:eastAsiaTheme="majorEastAsia" w:hAnsiTheme="majorEastAsia" w:hint="eastAsia"/>
                                <w:color w:val="000000" w:themeColor="text1"/>
                                <w:kern w:val="24"/>
                                <w:sz w:val="10"/>
                                <w:szCs w:val="18"/>
                                <w:eastAsianLayout w:id="-1559025651"/>
                              </w:rPr>
                              <w:t>人口について（</w:t>
                            </w:r>
                            <w:r w:rsidRPr="003807D0">
                              <w:rPr>
                                <w:rFonts w:asciiTheme="majorEastAsia" w:eastAsiaTheme="majorEastAsia" w:hAnsiTheme="majorEastAsia" w:hint="eastAsia"/>
                                <w:color w:val="000000" w:themeColor="text1"/>
                                <w:kern w:val="24"/>
                                <w:sz w:val="10"/>
                                <w:szCs w:val="18"/>
                                <w:eastAsianLayout w:id="-1559025650"/>
                              </w:rPr>
                              <w:t>2018</w:t>
                            </w:r>
                            <w:r w:rsidRPr="003807D0">
                              <w:rPr>
                                <w:rFonts w:asciiTheme="majorEastAsia" w:eastAsiaTheme="majorEastAsia" w:hAnsiTheme="majorEastAsia" w:hint="eastAsia"/>
                                <w:color w:val="000000" w:themeColor="text1"/>
                                <w:kern w:val="24"/>
                                <w:sz w:val="10"/>
                                <w:szCs w:val="18"/>
                                <w:eastAsianLayout w:id="-1559025649"/>
                              </w:rPr>
                              <w:t>年</w:t>
                            </w:r>
                            <w:r w:rsidRPr="003807D0">
                              <w:rPr>
                                <w:rFonts w:asciiTheme="majorEastAsia" w:eastAsiaTheme="majorEastAsia" w:hAnsiTheme="majorEastAsia" w:hint="eastAsia"/>
                                <w:color w:val="000000" w:themeColor="text1"/>
                                <w:kern w:val="24"/>
                                <w:sz w:val="10"/>
                                <w:szCs w:val="18"/>
                                <w:eastAsianLayout w:id="-1559025648"/>
                              </w:rPr>
                              <w:t>8</w:t>
                            </w:r>
                            <w:r w:rsidRPr="003807D0">
                              <w:rPr>
                                <w:rFonts w:asciiTheme="majorEastAsia" w:eastAsiaTheme="majorEastAsia" w:hAnsiTheme="majorEastAsia" w:hint="eastAsia"/>
                                <w:color w:val="000000" w:themeColor="text1"/>
                                <w:kern w:val="24"/>
                                <w:sz w:val="10"/>
                                <w:szCs w:val="18"/>
                                <w:eastAsianLayout w:id="-1559025664"/>
                              </w:rPr>
                              <w:t>月）」に</w:t>
                            </w:r>
                            <w:r w:rsidRPr="003807D0">
                              <w:rPr>
                                <w:rFonts w:asciiTheme="majorEastAsia" w:eastAsiaTheme="majorEastAsia" w:hAnsiTheme="majorEastAsia" w:hint="eastAsia"/>
                                <w:color w:val="000000" w:themeColor="text1"/>
                                <w:kern w:val="24"/>
                                <w:sz w:val="10"/>
                                <w:szCs w:val="18"/>
                                <w:eastAsianLayout w:id="-1559025662"/>
                              </w:rPr>
                              <w:t>おける</w:t>
                            </w:r>
                            <w:r w:rsidRPr="003807D0">
                              <w:rPr>
                                <w:rFonts w:asciiTheme="majorEastAsia" w:eastAsiaTheme="majorEastAsia" w:hAnsiTheme="majorEastAsia" w:hint="eastAsia"/>
                                <w:color w:val="000000" w:themeColor="text1"/>
                                <w:kern w:val="24"/>
                                <w:sz w:val="10"/>
                                <w:szCs w:val="18"/>
                                <w:eastAsianLayout w:id="-1559025661"/>
                              </w:rPr>
                              <w:t>大阪府の人口推計（ケース２</w:t>
                            </w:r>
                            <w:r w:rsidRPr="003807D0">
                              <w:rPr>
                                <w:rFonts w:asciiTheme="majorEastAsia" w:eastAsiaTheme="majorEastAsia" w:hAnsiTheme="majorEastAsia" w:hint="eastAsia"/>
                                <w:color w:val="000000" w:themeColor="text1"/>
                                <w:kern w:val="24"/>
                                <w:sz w:val="10"/>
                                <w:szCs w:val="18"/>
                                <w:eastAsianLayout w:id="-1559025660"/>
                              </w:rPr>
                              <w:t>）に基づく大阪府政策企画部推計。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148CE" id="テキスト ボックス 34" o:spid="_x0000_s1032" type="#_x0000_t202" style="position:absolute;margin-left:30.9pt;margin-top:1.35pt;width:365.35pt;height: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" stroked="f">
                <v:textbox inset="0,0,0,0">
                  <w:txbxContent>
                    <w:p w14:paraId="6888EDF3" w14:textId="77777777" w:rsidR="003807D0" w:rsidRPr="003807D0" w:rsidRDefault="00B47001" w:rsidP="00B72EE8">
                      <w:pPr>
                        <w:widowControl/>
                        <w:spacing w:line="140" w:lineRule="exact"/>
                        <w:jc w:val="left"/>
                        <w:rPr>
                          <w:rFonts w:asciiTheme="majorEastAsia" w:eastAsiaTheme="majorEastAsia" w:hAnsiTheme="majorEastAsia"/>
                          <w:color w:val="000000" w:themeColor="text1"/>
                          <w:kern w:val="24"/>
                          <w:sz w:val="10"/>
                          <w:szCs w:val="18"/>
                          <w:eastAsianLayout w:id="-1559025653"/>
                        </w:rPr>
                      </w:pPr>
                      <w:r w:rsidRPr="003807D0">
                        <w:rPr>
                          <w:rFonts w:asciiTheme="majorEastAsia" w:eastAsiaTheme="majorEastAsia" w:hAnsiTheme="majorEastAsia" w:hint="eastAsia"/>
                          <w:color w:val="000000" w:themeColor="text1"/>
                          <w:kern w:val="24"/>
                          <w:sz w:val="10"/>
                          <w:szCs w:val="18"/>
                          <w:eastAsianLayout w:id="-1559025664"/>
                        </w:rPr>
                        <w:t>出典</w:t>
                      </w:r>
                      <w:r w:rsidRPr="003807D0">
                        <w:rPr>
                          <w:rFonts w:asciiTheme="majorEastAsia" w:eastAsiaTheme="majorEastAsia" w:hAnsiTheme="majorEastAsia" w:hint="eastAsia"/>
                          <w:color w:val="000000" w:themeColor="text1"/>
                          <w:kern w:val="24"/>
                          <w:sz w:val="10"/>
                          <w:szCs w:val="18"/>
                          <w:eastAsianLayout w:id="-1559025663"/>
                        </w:rPr>
                        <w:t>：</w:t>
                      </w:r>
                      <w:r w:rsidRPr="003807D0">
                        <w:rPr>
                          <w:rFonts w:asciiTheme="majorEastAsia" w:eastAsiaTheme="majorEastAsia" w:hAnsiTheme="majorEastAsia" w:hint="eastAsia"/>
                          <w:color w:val="000000" w:themeColor="text1"/>
                          <w:kern w:val="24"/>
                          <w:sz w:val="10"/>
                          <w:szCs w:val="18"/>
                          <w:eastAsianLayout w:id="-1559025662"/>
                        </w:rPr>
                        <w:t>2015</w:t>
                      </w:r>
                      <w:r w:rsidRPr="003807D0">
                        <w:rPr>
                          <w:rFonts w:asciiTheme="majorEastAsia" w:eastAsiaTheme="majorEastAsia" w:hAnsiTheme="majorEastAsia" w:hint="eastAsia"/>
                          <w:color w:val="000000" w:themeColor="text1"/>
                          <w:kern w:val="24"/>
                          <w:sz w:val="10"/>
                          <w:szCs w:val="18"/>
                          <w:eastAsianLayout w:id="-1559025661"/>
                        </w:rPr>
                        <w:t>年までは総務省「国勢調査</w:t>
                      </w:r>
                      <w:r w:rsidRPr="003807D0">
                        <w:rPr>
                          <w:rFonts w:asciiTheme="majorEastAsia" w:eastAsiaTheme="majorEastAsia" w:hAnsiTheme="majorEastAsia" w:hint="eastAsia"/>
                          <w:color w:val="000000" w:themeColor="text1"/>
                          <w:kern w:val="24"/>
                          <w:sz w:val="10"/>
                          <w:szCs w:val="18"/>
                          <w:eastAsianLayout w:id="-1559025660"/>
                        </w:rPr>
                        <w:t>」。</w:t>
                      </w:r>
                      <w:r w:rsidRPr="003807D0">
                        <w:rPr>
                          <w:rFonts w:asciiTheme="majorEastAsia" w:eastAsiaTheme="majorEastAsia" w:hAnsiTheme="majorEastAsia" w:hint="eastAsia"/>
                          <w:color w:val="000000" w:themeColor="text1"/>
                          <w:kern w:val="24"/>
                          <w:sz w:val="10"/>
                          <w:szCs w:val="18"/>
                          <w:eastAsianLayout w:id="-1559025659"/>
                        </w:rPr>
                        <w:t>2020</w:t>
                      </w:r>
                      <w:r w:rsidRPr="003807D0">
                        <w:rPr>
                          <w:rFonts w:asciiTheme="majorEastAsia" w:eastAsiaTheme="majorEastAsia" w:hAnsiTheme="majorEastAsia" w:hint="eastAsia"/>
                          <w:color w:val="000000" w:themeColor="text1"/>
                          <w:kern w:val="24"/>
                          <w:sz w:val="10"/>
                          <w:szCs w:val="18"/>
                          <w:eastAsianLayout w:id="-1559025658"/>
                        </w:rPr>
                        <w:t>年以降</w:t>
                      </w:r>
                      <w:r w:rsidRPr="003807D0">
                        <w:rPr>
                          <w:rFonts w:asciiTheme="majorEastAsia" w:eastAsiaTheme="majorEastAsia" w:hAnsiTheme="majorEastAsia" w:hint="eastAsia"/>
                          <w:color w:val="000000" w:themeColor="text1"/>
                          <w:kern w:val="24"/>
                          <w:sz w:val="10"/>
                          <w:szCs w:val="18"/>
                          <w:eastAsianLayout w:id="-1559025657"/>
                        </w:rPr>
                        <w:t>は「大阪府人口ビジョン（</w:t>
                      </w:r>
                      <w:r w:rsidRPr="003807D0">
                        <w:rPr>
                          <w:rFonts w:asciiTheme="majorEastAsia" w:eastAsiaTheme="majorEastAsia" w:hAnsiTheme="majorEastAsia" w:hint="eastAsia"/>
                          <w:color w:val="000000" w:themeColor="text1"/>
                          <w:kern w:val="24"/>
                          <w:sz w:val="10"/>
                          <w:szCs w:val="18"/>
                          <w:eastAsianLayout w:id="-1559025656"/>
                        </w:rPr>
                        <w:t>2016</w:t>
                      </w:r>
                      <w:r w:rsidRPr="003807D0">
                        <w:rPr>
                          <w:rFonts w:asciiTheme="majorEastAsia" w:eastAsiaTheme="majorEastAsia" w:hAnsiTheme="majorEastAsia" w:hint="eastAsia"/>
                          <w:color w:val="000000" w:themeColor="text1"/>
                          <w:kern w:val="24"/>
                          <w:sz w:val="10"/>
                          <w:szCs w:val="18"/>
                          <w:eastAsianLayout w:id="-1559025655"/>
                        </w:rPr>
                        <w:t>年</w:t>
                      </w:r>
                      <w:r w:rsidRPr="003807D0">
                        <w:rPr>
                          <w:rFonts w:asciiTheme="majorEastAsia" w:eastAsiaTheme="majorEastAsia" w:hAnsiTheme="majorEastAsia" w:hint="eastAsia"/>
                          <w:color w:val="000000" w:themeColor="text1"/>
                          <w:kern w:val="24"/>
                          <w:sz w:val="10"/>
                          <w:szCs w:val="18"/>
                          <w:eastAsianLayout w:id="-1559025654"/>
                        </w:rPr>
                        <w:t>3</w:t>
                      </w:r>
                      <w:r w:rsidRPr="003807D0">
                        <w:rPr>
                          <w:rFonts w:asciiTheme="majorEastAsia" w:eastAsiaTheme="majorEastAsia" w:hAnsiTheme="majorEastAsia" w:hint="eastAsia"/>
                          <w:color w:val="000000" w:themeColor="text1"/>
                          <w:kern w:val="24"/>
                          <w:sz w:val="10"/>
                          <w:szCs w:val="18"/>
                          <w:eastAsianLayout w:id="-1559025653"/>
                        </w:rPr>
                        <w:t>月）」及び</w:t>
                      </w:r>
                    </w:p>
                    <w:p w14:paraId="45D14661" w14:textId="2B7FFFE6" w:rsidR="00B47001" w:rsidRPr="003807D0" w:rsidRDefault="00B47001" w:rsidP="003807D0">
                      <w:pPr>
                        <w:widowControl/>
                        <w:spacing w:line="140" w:lineRule="exact"/>
                        <w:ind w:firstLineChars="250" w:firstLine="250"/>
                        <w:jc w:val="left"/>
                        <w:rPr>
                          <w:rFonts w:asciiTheme="majorEastAsia" w:eastAsiaTheme="majorEastAsia" w:hAnsiTheme="majorEastAsia"/>
                          <w:color w:val="000000" w:themeColor="text1"/>
                          <w:kern w:val="24"/>
                          <w:sz w:val="10"/>
                          <w:szCs w:val="18"/>
                        </w:rPr>
                      </w:pPr>
                      <w:r w:rsidRPr="003807D0">
                        <w:rPr>
                          <w:rFonts w:asciiTheme="majorEastAsia" w:eastAsiaTheme="majorEastAsia" w:hAnsiTheme="majorEastAsia" w:hint="eastAsia"/>
                          <w:color w:val="000000" w:themeColor="text1"/>
                          <w:kern w:val="24"/>
                          <w:sz w:val="10"/>
                          <w:szCs w:val="18"/>
                          <w:eastAsianLayout w:id="-1559025653"/>
                        </w:rPr>
                        <w:t>「</w:t>
                      </w:r>
                      <w:r w:rsidRPr="003807D0">
                        <w:rPr>
                          <w:rFonts w:asciiTheme="majorEastAsia" w:eastAsiaTheme="majorEastAsia" w:hAnsiTheme="majorEastAsia" w:hint="eastAsia"/>
                          <w:color w:val="000000" w:themeColor="text1"/>
                          <w:kern w:val="24"/>
                          <w:sz w:val="10"/>
                          <w:szCs w:val="18"/>
                          <w:eastAsianLayout w:id="-1559025652"/>
                        </w:rPr>
                        <w:t>大阪府の将来推計</w:t>
                      </w:r>
                      <w:r w:rsidRPr="003807D0">
                        <w:rPr>
                          <w:rFonts w:asciiTheme="majorEastAsia" w:eastAsiaTheme="majorEastAsia" w:hAnsiTheme="majorEastAsia" w:hint="eastAsia"/>
                          <w:color w:val="000000" w:themeColor="text1"/>
                          <w:kern w:val="24"/>
                          <w:sz w:val="10"/>
                          <w:szCs w:val="18"/>
                          <w:eastAsianLayout w:id="-1559025651"/>
                        </w:rPr>
                        <w:t>人口について（</w:t>
                      </w:r>
                      <w:r w:rsidRPr="003807D0">
                        <w:rPr>
                          <w:rFonts w:asciiTheme="majorEastAsia" w:eastAsiaTheme="majorEastAsia" w:hAnsiTheme="majorEastAsia" w:hint="eastAsia"/>
                          <w:color w:val="000000" w:themeColor="text1"/>
                          <w:kern w:val="24"/>
                          <w:sz w:val="10"/>
                          <w:szCs w:val="18"/>
                          <w:eastAsianLayout w:id="-1559025650"/>
                        </w:rPr>
                        <w:t>2018</w:t>
                      </w:r>
                      <w:r w:rsidRPr="003807D0">
                        <w:rPr>
                          <w:rFonts w:asciiTheme="majorEastAsia" w:eastAsiaTheme="majorEastAsia" w:hAnsiTheme="majorEastAsia" w:hint="eastAsia"/>
                          <w:color w:val="000000" w:themeColor="text1"/>
                          <w:kern w:val="24"/>
                          <w:sz w:val="10"/>
                          <w:szCs w:val="18"/>
                          <w:eastAsianLayout w:id="-1559025649"/>
                        </w:rPr>
                        <w:t>年</w:t>
                      </w:r>
                      <w:r w:rsidRPr="003807D0">
                        <w:rPr>
                          <w:rFonts w:asciiTheme="majorEastAsia" w:eastAsiaTheme="majorEastAsia" w:hAnsiTheme="majorEastAsia" w:hint="eastAsia"/>
                          <w:color w:val="000000" w:themeColor="text1"/>
                          <w:kern w:val="24"/>
                          <w:sz w:val="10"/>
                          <w:szCs w:val="18"/>
                          <w:eastAsianLayout w:id="-1559025648"/>
                        </w:rPr>
                        <w:t>8</w:t>
                      </w:r>
                      <w:r w:rsidRPr="003807D0">
                        <w:rPr>
                          <w:rFonts w:asciiTheme="majorEastAsia" w:eastAsiaTheme="majorEastAsia" w:hAnsiTheme="majorEastAsia" w:hint="eastAsia"/>
                          <w:color w:val="000000" w:themeColor="text1"/>
                          <w:kern w:val="24"/>
                          <w:sz w:val="10"/>
                          <w:szCs w:val="18"/>
                          <w:eastAsianLayout w:id="-1559025664"/>
                        </w:rPr>
                        <w:t>月）」に</w:t>
                      </w:r>
                      <w:r w:rsidRPr="003807D0">
                        <w:rPr>
                          <w:rFonts w:asciiTheme="majorEastAsia" w:eastAsiaTheme="majorEastAsia" w:hAnsiTheme="majorEastAsia" w:hint="eastAsia"/>
                          <w:color w:val="000000" w:themeColor="text1"/>
                          <w:kern w:val="24"/>
                          <w:sz w:val="10"/>
                          <w:szCs w:val="18"/>
                          <w:eastAsianLayout w:id="-1559025662"/>
                        </w:rPr>
                        <w:t>おける</w:t>
                      </w:r>
                      <w:r w:rsidRPr="003807D0">
                        <w:rPr>
                          <w:rFonts w:asciiTheme="majorEastAsia" w:eastAsiaTheme="majorEastAsia" w:hAnsiTheme="majorEastAsia" w:hint="eastAsia"/>
                          <w:color w:val="000000" w:themeColor="text1"/>
                          <w:kern w:val="24"/>
                          <w:sz w:val="10"/>
                          <w:szCs w:val="18"/>
                          <w:eastAsianLayout w:id="-1559025661"/>
                        </w:rPr>
                        <w:t>大阪府の人口推計（ケース２</w:t>
                      </w:r>
                      <w:r w:rsidRPr="003807D0">
                        <w:rPr>
                          <w:rFonts w:asciiTheme="majorEastAsia" w:eastAsiaTheme="majorEastAsia" w:hAnsiTheme="majorEastAsia" w:hint="eastAsia"/>
                          <w:color w:val="000000" w:themeColor="text1"/>
                          <w:kern w:val="24"/>
                          <w:sz w:val="10"/>
                          <w:szCs w:val="18"/>
                          <w:eastAsianLayout w:id="-1559025660"/>
                        </w:rPr>
                        <w:t>）に基づく大阪府政策企画部推計。</w:t>
                      </w:r>
                    </w:p>
                  </w:txbxContent>
                </v:textbox>
              </v:shape>
            </w:pict>
          </mc:Fallback>
        </mc:AlternateContent>
      </w:r>
      <w:r w:rsidR="00562C55">
        <w:rPr>
          <w:noProof/>
        </w:rPr>
        <w:drawing>
          <wp:anchor distT="0" distB="0" distL="114300" distR="114300" simplePos="0" relativeHeight="251786240" behindDoc="0" locked="0" layoutInCell="1" allowOverlap="1" wp14:anchorId="6E9CF459" wp14:editId="2D01297C">
            <wp:simplePos x="0" y="0"/>
            <wp:positionH relativeFrom="column">
              <wp:posOffset>283020</wp:posOffset>
            </wp:positionH>
            <wp:positionV relativeFrom="paragraph">
              <wp:posOffset>208450</wp:posOffset>
            </wp:positionV>
            <wp:extent cx="5675630" cy="2408829"/>
            <wp:effectExtent l="0" t="0" r="1270" b="0"/>
            <wp:wrapNone/>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r w:rsidR="0080491E" w:rsidRPr="004C1386">
        <w:rPr>
          <w:rFonts w:ascii="ＭＳ ゴシック" w:eastAsia="ＭＳ ゴシック" w:hAnsi="ＭＳ ゴシック"/>
          <w:sz w:val="24"/>
          <w:szCs w:val="24"/>
        </w:rPr>
        <w:tab/>
      </w:r>
    </w:p>
    <w:p w14:paraId="0084F651" w14:textId="24D9ADA3" w:rsidR="00B05F6B" w:rsidRDefault="00B05F6B" w:rsidP="007121AD">
      <w:pPr>
        <w:widowControl/>
        <w:jc w:val="left"/>
        <w:rPr>
          <w:rFonts w:ascii="ＭＳ ゴシック" w:eastAsia="ＭＳ ゴシック" w:hAnsi="ＭＳ ゴシック"/>
          <w:sz w:val="24"/>
          <w:szCs w:val="24"/>
        </w:rPr>
      </w:pPr>
    </w:p>
    <w:p w14:paraId="75E2A5BA" w14:textId="64D0DDD1" w:rsidR="00B05F6B" w:rsidRDefault="00B05F6B" w:rsidP="007121AD">
      <w:pPr>
        <w:widowControl/>
        <w:jc w:val="left"/>
        <w:rPr>
          <w:rFonts w:ascii="ＭＳ ゴシック" w:eastAsia="ＭＳ ゴシック" w:hAnsi="ＭＳ ゴシック"/>
          <w:sz w:val="24"/>
          <w:szCs w:val="24"/>
        </w:rPr>
      </w:pPr>
    </w:p>
    <w:p w14:paraId="056B8B50" w14:textId="7F1397FB" w:rsidR="00B05F6B" w:rsidRDefault="00B05F6B" w:rsidP="007121AD">
      <w:pPr>
        <w:widowControl/>
        <w:jc w:val="left"/>
        <w:rPr>
          <w:rFonts w:ascii="ＭＳ ゴシック" w:eastAsia="ＭＳ ゴシック" w:hAnsi="ＭＳ ゴシック"/>
          <w:sz w:val="24"/>
          <w:szCs w:val="24"/>
        </w:rPr>
      </w:pPr>
    </w:p>
    <w:p w14:paraId="2DBA6BCD" w14:textId="04812F9A" w:rsidR="00B05F6B" w:rsidRDefault="00B05F6B" w:rsidP="007121AD">
      <w:pPr>
        <w:widowControl/>
        <w:jc w:val="left"/>
        <w:rPr>
          <w:rFonts w:ascii="ＭＳ ゴシック" w:eastAsia="ＭＳ ゴシック" w:hAnsi="ＭＳ ゴシック"/>
          <w:sz w:val="24"/>
          <w:szCs w:val="24"/>
        </w:rPr>
      </w:pPr>
    </w:p>
    <w:p w14:paraId="6B0BCF08" w14:textId="03D8436C" w:rsidR="00B05F6B" w:rsidRDefault="00B05F6B" w:rsidP="007121AD">
      <w:pPr>
        <w:widowControl/>
        <w:jc w:val="left"/>
        <w:rPr>
          <w:rFonts w:ascii="ＭＳ ゴシック" w:eastAsia="ＭＳ ゴシック" w:hAnsi="ＭＳ ゴシック"/>
          <w:sz w:val="24"/>
          <w:szCs w:val="24"/>
        </w:rPr>
      </w:pPr>
    </w:p>
    <w:p w14:paraId="1A9F3451" w14:textId="1FEBF101" w:rsidR="00B05F6B" w:rsidRDefault="00B05F6B" w:rsidP="007121AD">
      <w:pPr>
        <w:widowControl/>
        <w:jc w:val="left"/>
        <w:rPr>
          <w:rFonts w:ascii="ＭＳ ゴシック" w:eastAsia="ＭＳ ゴシック" w:hAnsi="ＭＳ ゴシック"/>
          <w:sz w:val="24"/>
          <w:szCs w:val="24"/>
        </w:rPr>
      </w:pPr>
    </w:p>
    <w:p w14:paraId="398978D3" w14:textId="1BDAD657" w:rsidR="00B05F6B" w:rsidRDefault="00B05F6B" w:rsidP="007121AD">
      <w:pPr>
        <w:widowControl/>
        <w:jc w:val="left"/>
        <w:rPr>
          <w:rFonts w:ascii="ＭＳ ゴシック" w:eastAsia="ＭＳ ゴシック" w:hAnsi="ＭＳ ゴシック"/>
          <w:sz w:val="24"/>
          <w:szCs w:val="24"/>
        </w:rPr>
      </w:pPr>
    </w:p>
    <w:p w14:paraId="355D8A98" w14:textId="71CF525E" w:rsidR="00B05F6B" w:rsidRDefault="00B05F6B" w:rsidP="007121AD">
      <w:pPr>
        <w:widowControl/>
        <w:jc w:val="left"/>
        <w:rPr>
          <w:rFonts w:ascii="ＭＳ ゴシック" w:eastAsia="ＭＳ ゴシック" w:hAnsi="ＭＳ ゴシック"/>
          <w:sz w:val="24"/>
          <w:szCs w:val="24"/>
        </w:rPr>
      </w:pPr>
    </w:p>
    <w:p w14:paraId="3997E6CC" w14:textId="3D418A17" w:rsidR="00B05F6B" w:rsidRDefault="00B05F6B" w:rsidP="007121AD">
      <w:pPr>
        <w:widowControl/>
        <w:jc w:val="left"/>
        <w:rPr>
          <w:rFonts w:ascii="ＭＳ ゴシック" w:eastAsia="ＭＳ ゴシック" w:hAnsi="ＭＳ ゴシック"/>
          <w:sz w:val="24"/>
          <w:szCs w:val="24"/>
        </w:rPr>
      </w:pPr>
    </w:p>
    <w:p w14:paraId="165B7457" w14:textId="0BD7059B" w:rsidR="00B05F6B" w:rsidRPr="004C1386" w:rsidRDefault="00B05F6B" w:rsidP="007121AD">
      <w:pPr>
        <w:widowControl/>
        <w:jc w:val="left"/>
        <w:rPr>
          <w:rFonts w:ascii="ＭＳ ゴシック" w:eastAsia="ＭＳ ゴシック" w:hAnsi="ＭＳ ゴシック" w:hint="eastAsia"/>
          <w:sz w:val="24"/>
          <w:szCs w:val="24"/>
        </w:rPr>
      </w:pPr>
    </w:p>
    <w:p w14:paraId="2841BAB9" w14:textId="4052B4A9" w:rsidR="007121AD" w:rsidRPr="004C1386" w:rsidRDefault="00562C55" w:rsidP="007121AD">
      <w:pPr>
        <w:widowControl/>
        <w:jc w:val="left"/>
        <w:rPr>
          <w:rFonts w:ascii="ＭＳ ゴシック" w:eastAsia="ＭＳ ゴシック" w:hAnsi="ＭＳ ゴシック"/>
          <w:sz w:val="24"/>
          <w:szCs w:val="24"/>
        </w:rPr>
      </w:pPr>
      <w:r w:rsidRPr="00562C55">
        <w:rPr>
          <w:noProof/>
        </w:rPr>
        <mc:AlternateContent>
          <mc:Choice Requires="wps">
            <w:drawing>
              <wp:anchor distT="0" distB="0" distL="114300" distR="114300" simplePos="0" relativeHeight="251790336" behindDoc="0" locked="0" layoutInCell="1" allowOverlap="1" wp14:anchorId="68A7E174" wp14:editId="563094E1">
                <wp:simplePos x="0" y="0"/>
                <wp:positionH relativeFrom="column">
                  <wp:posOffset>2179955</wp:posOffset>
                </wp:positionH>
                <wp:positionV relativeFrom="paragraph">
                  <wp:posOffset>74769</wp:posOffset>
                </wp:positionV>
                <wp:extent cx="3746310" cy="286603"/>
                <wp:effectExtent l="0" t="0" r="0" b="0"/>
                <wp:wrapNone/>
                <wp:docPr id="28" name="テキスト ボックス 15">
                  <a:extLst xmlns:a="http://schemas.openxmlformats.org/drawingml/2006/main">
                    <a:ext uri="{FF2B5EF4-FFF2-40B4-BE49-F238E27FC236}">
                      <a16:creationId xmlns:a16="http://schemas.microsoft.com/office/drawing/2014/main" id="{4BB657B8-0406-406C-BBE3-9CE7D2CF89F1}"/>
                    </a:ext>
                  </a:extLst>
                </wp:docPr>
                <wp:cNvGraphicFramePr/>
                <a:graphic xmlns:a="http://schemas.openxmlformats.org/drawingml/2006/main">
                  <a:graphicData uri="http://schemas.microsoft.com/office/word/2010/wordprocessingShape">
                    <wps:wsp>
                      <wps:cNvSpPr txBox="1"/>
                      <wps:spPr>
                        <a:xfrm>
                          <a:off x="0" y="0"/>
                          <a:ext cx="3746310" cy="286603"/>
                        </a:xfrm>
                        <a:prstGeom prst="rect">
                          <a:avLst/>
                        </a:prstGeom>
                        <a:noFill/>
                      </wps:spPr>
                      <wps:txbx>
                        <w:txbxContent>
                          <w:p w14:paraId="2FA8E8A5" w14:textId="77777777" w:rsidR="00562C55" w:rsidRPr="00562C55" w:rsidRDefault="00562C55" w:rsidP="00562C55">
                            <w:pPr>
                              <w:pStyle w:val="Web"/>
                              <w:spacing w:line="140" w:lineRule="exact"/>
                              <w:rPr>
                                <w:rFonts w:asciiTheme="majorEastAsia" w:eastAsiaTheme="majorEastAsia" w:hAnsiTheme="majorEastAsia"/>
                                <w:kern w:val="0"/>
                                <w:sz w:val="20"/>
                              </w:rPr>
                            </w:pPr>
                            <w:r w:rsidRPr="00562C55">
                              <w:rPr>
                                <w:rFonts w:asciiTheme="majorEastAsia" w:eastAsiaTheme="majorEastAsia" w:hAnsiTheme="majorEastAsia" w:cs="Meiryo UI" w:hint="eastAsia"/>
                                <w:color w:val="000000"/>
                                <w:kern w:val="24"/>
                                <w:sz w:val="12"/>
                                <w:szCs w:val="18"/>
                                <w:eastAsianLayout w:id="-1559008256"/>
                              </w:rPr>
                              <w:t>※</w:t>
                            </w:r>
                            <w:r w:rsidRPr="00562C55">
                              <w:rPr>
                                <w:rFonts w:asciiTheme="majorEastAsia" w:eastAsiaTheme="majorEastAsia" w:hAnsiTheme="majorEastAsia" w:cs="Meiryo UI" w:hint="eastAsia"/>
                                <w:color w:val="000000"/>
                                <w:kern w:val="24"/>
                                <w:sz w:val="12"/>
                                <w:szCs w:val="18"/>
                                <w:eastAsianLayout w:id="-1559008255"/>
                              </w:rPr>
                              <w:t xml:space="preserve">　年少人口：</w:t>
                            </w:r>
                            <w:r w:rsidRPr="00562C55">
                              <w:rPr>
                                <w:rFonts w:asciiTheme="majorEastAsia" w:eastAsiaTheme="majorEastAsia" w:hAnsiTheme="majorEastAsia" w:cs="Meiryo UI" w:hint="eastAsia"/>
                                <w:color w:val="000000"/>
                                <w:kern w:val="24"/>
                                <w:sz w:val="12"/>
                                <w:szCs w:val="18"/>
                                <w:eastAsianLayout w:id="-1559008254"/>
                              </w:rPr>
                              <w:t>0</w:t>
                            </w:r>
                            <w:r w:rsidRPr="00562C55">
                              <w:rPr>
                                <w:rFonts w:asciiTheme="majorEastAsia" w:eastAsiaTheme="majorEastAsia" w:hAnsiTheme="majorEastAsia" w:cs="Meiryo UI" w:hint="eastAsia"/>
                                <w:color w:val="000000"/>
                                <w:kern w:val="24"/>
                                <w:sz w:val="12"/>
                                <w:szCs w:val="18"/>
                                <w:eastAsianLayout w:id="-1559008253"/>
                              </w:rPr>
                              <w:t>歳～</w:t>
                            </w:r>
                            <w:r w:rsidRPr="00562C55">
                              <w:rPr>
                                <w:rFonts w:asciiTheme="majorEastAsia" w:eastAsiaTheme="majorEastAsia" w:hAnsiTheme="majorEastAsia" w:cs="Meiryo UI" w:hint="eastAsia"/>
                                <w:color w:val="000000"/>
                                <w:kern w:val="24"/>
                                <w:sz w:val="12"/>
                                <w:szCs w:val="18"/>
                                <w:eastAsianLayout w:id="-1559008252"/>
                              </w:rPr>
                              <w:t>14</w:t>
                            </w:r>
                            <w:r w:rsidRPr="00562C55">
                              <w:rPr>
                                <w:rFonts w:asciiTheme="majorEastAsia" w:eastAsiaTheme="majorEastAsia" w:hAnsiTheme="majorEastAsia" w:cs="Meiryo UI" w:hint="eastAsia"/>
                                <w:color w:val="000000"/>
                                <w:kern w:val="24"/>
                                <w:sz w:val="12"/>
                                <w:szCs w:val="18"/>
                                <w:eastAsianLayout w:id="-1559008251"/>
                              </w:rPr>
                              <w:t>歳、生産年齢人口：生産活動の中心となる</w:t>
                            </w:r>
                            <w:r w:rsidRPr="00562C55">
                              <w:rPr>
                                <w:rFonts w:asciiTheme="majorEastAsia" w:eastAsiaTheme="majorEastAsia" w:hAnsiTheme="majorEastAsia" w:cs="Meiryo UI" w:hint="eastAsia"/>
                                <w:color w:val="000000"/>
                                <w:kern w:val="24"/>
                                <w:sz w:val="12"/>
                                <w:szCs w:val="18"/>
                                <w:eastAsianLayout w:id="-1559008250"/>
                              </w:rPr>
                              <w:t>15</w:t>
                            </w:r>
                            <w:r w:rsidRPr="00562C55">
                              <w:rPr>
                                <w:rFonts w:asciiTheme="majorEastAsia" w:eastAsiaTheme="majorEastAsia" w:hAnsiTheme="majorEastAsia" w:cs="Meiryo UI" w:hint="eastAsia"/>
                                <w:color w:val="000000"/>
                                <w:kern w:val="24"/>
                                <w:sz w:val="12"/>
                                <w:szCs w:val="18"/>
                                <w:eastAsianLayout w:id="-1559008249"/>
                              </w:rPr>
                              <w:t>歳～</w:t>
                            </w:r>
                            <w:r w:rsidRPr="00562C55">
                              <w:rPr>
                                <w:rFonts w:asciiTheme="majorEastAsia" w:eastAsiaTheme="majorEastAsia" w:hAnsiTheme="majorEastAsia" w:cs="Meiryo UI" w:hint="eastAsia"/>
                                <w:color w:val="000000"/>
                                <w:kern w:val="24"/>
                                <w:sz w:val="12"/>
                                <w:szCs w:val="18"/>
                                <w:eastAsianLayout w:id="-1559008248"/>
                              </w:rPr>
                              <w:t>64</w:t>
                            </w:r>
                            <w:r w:rsidRPr="00562C55">
                              <w:rPr>
                                <w:rFonts w:asciiTheme="majorEastAsia" w:eastAsiaTheme="majorEastAsia" w:hAnsiTheme="majorEastAsia" w:cs="Meiryo UI" w:hint="eastAsia"/>
                                <w:color w:val="000000"/>
                                <w:kern w:val="24"/>
                                <w:sz w:val="12"/>
                                <w:szCs w:val="18"/>
                                <w:eastAsianLayout w:id="-1559008247"/>
                              </w:rPr>
                              <w:t>歳、高齢者人口：</w:t>
                            </w:r>
                            <w:r w:rsidRPr="00562C55">
                              <w:rPr>
                                <w:rFonts w:asciiTheme="majorEastAsia" w:eastAsiaTheme="majorEastAsia" w:hAnsiTheme="majorEastAsia" w:cs="Meiryo UI" w:hint="eastAsia"/>
                                <w:color w:val="000000"/>
                                <w:kern w:val="24"/>
                                <w:sz w:val="12"/>
                                <w:szCs w:val="18"/>
                                <w:eastAsianLayout w:id="-1559008246"/>
                              </w:rPr>
                              <w:t>65</w:t>
                            </w:r>
                            <w:r w:rsidRPr="00562C55">
                              <w:rPr>
                                <w:rFonts w:asciiTheme="majorEastAsia" w:eastAsiaTheme="majorEastAsia" w:hAnsiTheme="majorEastAsia" w:cs="Meiryo UI" w:hint="eastAsia"/>
                                <w:color w:val="000000"/>
                                <w:kern w:val="24"/>
                                <w:sz w:val="12"/>
                                <w:szCs w:val="18"/>
                                <w:eastAsianLayout w:id="-1559008245"/>
                              </w:rPr>
                              <w:t>歳以上</w:t>
                            </w:r>
                          </w:p>
                          <w:p w14:paraId="7DF1C838" w14:textId="77777777" w:rsidR="00562C55" w:rsidRPr="00562C55" w:rsidRDefault="00562C55" w:rsidP="00562C55">
                            <w:pPr>
                              <w:pStyle w:val="Web"/>
                              <w:spacing w:line="140" w:lineRule="exact"/>
                              <w:rPr>
                                <w:rFonts w:asciiTheme="majorEastAsia" w:eastAsiaTheme="majorEastAsia" w:hAnsiTheme="majorEastAsia"/>
                                <w:sz w:val="20"/>
                              </w:rPr>
                            </w:pPr>
                            <w:r w:rsidRPr="00562C55">
                              <w:rPr>
                                <w:rFonts w:asciiTheme="majorEastAsia" w:eastAsiaTheme="majorEastAsia" w:hAnsiTheme="majorEastAsia" w:cs="Meiryo UI" w:hint="eastAsia"/>
                                <w:color w:val="000000"/>
                                <w:kern w:val="24"/>
                                <w:sz w:val="12"/>
                                <w:szCs w:val="18"/>
                                <w:eastAsianLayout w:id="-1559008244"/>
                              </w:rPr>
                              <w:t>※</w:t>
                            </w:r>
                            <w:r w:rsidRPr="00562C55">
                              <w:rPr>
                                <w:rFonts w:asciiTheme="majorEastAsia" w:eastAsiaTheme="majorEastAsia" w:hAnsiTheme="majorEastAsia" w:cs="Meiryo UI" w:hint="eastAsia"/>
                                <w:color w:val="000000"/>
                                <w:kern w:val="24"/>
                                <w:sz w:val="12"/>
                                <w:szCs w:val="18"/>
                                <w:eastAsianLayout w:id="-1559008243"/>
                              </w:rPr>
                              <w:t xml:space="preserve">　国勢調査の年齢不詳分は各年齢区分に按分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A7E174" id="テキスト ボックス 15" o:spid="_x0000_s1033" type="#_x0000_t202" style="position:absolute;margin-left:171.65pt;margin-top:5.9pt;width:295pt;height:22.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" filled="f" stroked="f">
                <v:textbox>
                  <w:txbxContent>
                    <w:p w14:paraId="2FA8E8A5" w14:textId="77777777" w:rsidR="00562C55" w:rsidRPr="00562C55" w:rsidRDefault="00562C55" w:rsidP="00562C55">
                      <w:pPr>
                        <w:pStyle w:val="Web"/>
                        <w:spacing w:line="140" w:lineRule="exact"/>
                        <w:rPr>
                          <w:rFonts w:asciiTheme="majorEastAsia" w:eastAsiaTheme="majorEastAsia" w:hAnsiTheme="majorEastAsia"/>
                          <w:kern w:val="0"/>
                          <w:sz w:val="20"/>
                        </w:rPr>
                      </w:pPr>
                      <w:r w:rsidRPr="00562C55">
                        <w:rPr>
                          <w:rFonts w:asciiTheme="majorEastAsia" w:eastAsiaTheme="majorEastAsia" w:hAnsiTheme="majorEastAsia" w:cs="Meiryo UI" w:hint="eastAsia"/>
                          <w:color w:val="000000"/>
                          <w:kern w:val="24"/>
                          <w:sz w:val="12"/>
                          <w:szCs w:val="18"/>
                          <w:eastAsianLayout w:id="-1559008256"/>
                        </w:rPr>
                        <w:t>※</w:t>
                      </w:r>
                      <w:r w:rsidRPr="00562C55">
                        <w:rPr>
                          <w:rFonts w:asciiTheme="majorEastAsia" w:eastAsiaTheme="majorEastAsia" w:hAnsiTheme="majorEastAsia" w:cs="Meiryo UI" w:hint="eastAsia"/>
                          <w:color w:val="000000"/>
                          <w:kern w:val="24"/>
                          <w:sz w:val="12"/>
                          <w:szCs w:val="18"/>
                          <w:eastAsianLayout w:id="-1559008255"/>
                        </w:rPr>
                        <w:t xml:space="preserve">　年少人口：</w:t>
                      </w:r>
                      <w:r w:rsidRPr="00562C55">
                        <w:rPr>
                          <w:rFonts w:asciiTheme="majorEastAsia" w:eastAsiaTheme="majorEastAsia" w:hAnsiTheme="majorEastAsia" w:cs="Meiryo UI" w:hint="eastAsia"/>
                          <w:color w:val="000000"/>
                          <w:kern w:val="24"/>
                          <w:sz w:val="12"/>
                          <w:szCs w:val="18"/>
                          <w:eastAsianLayout w:id="-1559008254"/>
                        </w:rPr>
                        <w:t>0</w:t>
                      </w:r>
                      <w:r w:rsidRPr="00562C55">
                        <w:rPr>
                          <w:rFonts w:asciiTheme="majorEastAsia" w:eastAsiaTheme="majorEastAsia" w:hAnsiTheme="majorEastAsia" w:cs="Meiryo UI" w:hint="eastAsia"/>
                          <w:color w:val="000000"/>
                          <w:kern w:val="24"/>
                          <w:sz w:val="12"/>
                          <w:szCs w:val="18"/>
                          <w:eastAsianLayout w:id="-1559008253"/>
                        </w:rPr>
                        <w:t>歳～</w:t>
                      </w:r>
                      <w:r w:rsidRPr="00562C55">
                        <w:rPr>
                          <w:rFonts w:asciiTheme="majorEastAsia" w:eastAsiaTheme="majorEastAsia" w:hAnsiTheme="majorEastAsia" w:cs="Meiryo UI" w:hint="eastAsia"/>
                          <w:color w:val="000000"/>
                          <w:kern w:val="24"/>
                          <w:sz w:val="12"/>
                          <w:szCs w:val="18"/>
                          <w:eastAsianLayout w:id="-1559008252"/>
                        </w:rPr>
                        <w:t>14</w:t>
                      </w:r>
                      <w:r w:rsidRPr="00562C55">
                        <w:rPr>
                          <w:rFonts w:asciiTheme="majorEastAsia" w:eastAsiaTheme="majorEastAsia" w:hAnsiTheme="majorEastAsia" w:cs="Meiryo UI" w:hint="eastAsia"/>
                          <w:color w:val="000000"/>
                          <w:kern w:val="24"/>
                          <w:sz w:val="12"/>
                          <w:szCs w:val="18"/>
                          <w:eastAsianLayout w:id="-1559008251"/>
                        </w:rPr>
                        <w:t>歳、生産年齢人口：生産活動の中心となる</w:t>
                      </w:r>
                      <w:r w:rsidRPr="00562C55">
                        <w:rPr>
                          <w:rFonts w:asciiTheme="majorEastAsia" w:eastAsiaTheme="majorEastAsia" w:hAnsiTheme="majorEastAsia" w:cs="Meiryo UI" w:hint="eastAsia"/>
                          <w:color w:val="000000"/>
                          <w:kern w:val="24"/>
                          <w:sz w:val="12"/>
                          <w:szCs w:val="18"/>
                          <w:eastAsianLayout w:id="-1559008250"/>
                        </w:rPr>
                        <w:t>15</w:t>
                      </w:r>
                      <w:r w:rsidRPr="00562C55">
                        <w:rPr>
                          <w:rFonts w:asciiTheme="majorEastAsia" w:eastAsiaTheme="majorEastAsia" w:hAnsiTheme="majorEastAsia" w:cs="Meiryo UI" w:hint="eastAsia"/>
                          <w:color w:val="000000"/>
                          <w:kern w:val="24"/>
                          <w:sz w:val="12"/>
                          <w:szCs w:val="18"/>
                          <w:eastAsianLayout w:id="-1559008249"/>
                        </w:rPr>
                        <w:t>歳～</w:t>
                      </w:r>
                      <w:r w:rsidRPr="00562C55">
                        <w:rPr>
                          <w:rFonts w:asciiTheme="majorEastAsia" w:eastAsiaTheme="majorEastAsia" w:hAnsiTheme="majorEastAsia" w:cs="Meiryo UI" w:hint="eastAsia"/>
                          <w:color w:val="000000"/>
                          <w:kern w:val="24"/>
                          <w:sz w:val="12"/>
                          <w:szCs w:val="18"/>
                          <w:eastAsianLayout w:id="-1559008248"/>
                        </w:rPr>
                        <w:t>64</w:t>
                      </w:r>
                      <w:r w:rsidRPr="00562C55">
                        <w:rPr>
                          <w:rFonts w:asciiTheme="majorEastAsia" w:eastAsiaTheme="majorEastAsia" w:hAnsiTheme="majorEastAsia" w:cs="Meiryo UI" w:hint="eastAsia"/>
                          <w:color w:val="000000"/>
                          <w:kern w:val="24"/>
                          <w:sz w:val="12"/>
                          <w:szCs w:val="18"/>
                          <w:eastAsianLayout w:id="-1559008247"/>
                        </w:rPr>
                        <w:t>歳、高齢者人口：</w:t>
                      </w:r>
                      <w:r w:rsidRPr="00562C55">
                        <w:rPr>
                          <w:rFonts w:asciiTheme="majorEastAsia" w:eastAsiaTheme="majorEastAsia" w:hAnsiTheme="majorEastAsia" w:cs="Meiryo UI" w:hint="eastAsia"/>
                          <w:color w:val="000000"/>
                          <w:kern w:val="24"/>
                          <w:sz w:val="12"/>
                          <w:szCs w:val="18"/>
                          <w:eastAsianLayout w:id="-1559008246"/>
                        </w:rPr>
                        <w:t>65</w:t>
                      </w:r>
                      <w:r w:rsidRPr="00562C55">
                        <w:rPr>
                          <w:rFonts w:asciiTheme="majorEastAsia" w:eastAsiaTheme="majorEastAsia" w:hAnsiTheme="majorEastAsia" w:cs="Meiryo UI" w:hint="eastAsia"/>
                          <w:color w:val="000000"/>
                          <w:kern w:val="24"/>
                          <w:sz w:val="12"/>
                          <w:szCs w:val="18"/>
                          <w:eastAsianLayout w:id="-1559008245"/>
                        </w:rPr>
                        <w:t>歳以上</w:t>
                      </w:r>
                    </w:p>
                    <w:p w14:paraId="7DF1C838" w14:textId="77777777" w:rsidR="00562C55" w:rsidRPr="00562C55" w:rsidRDefault="00562C55" w:rsidP="00562C55">
                      <w:pPr>
                        <w:pStyle w:val="Web"/>
                        <w:spacing w:line="140" w:lineRule="exact"/>
                        <w:rPr>
                          <w:rFonts w:asciiTheme="majorEastAsia" w:eastAsiaTheme="majorEastAsia" w:hAnsiTheme="majorEastAsia"/>
                          <w:sz w:val="20"/>
                        </w:rPr>
                      </w:pPr>
                      <w:r w:rsidRPr="00562C55">
                        <w:rPr>
                          <w:rFonts w:asciiTheme="majorEastAsia" w:eastAsiaTheme="majorEastAsia" w:hAnsiTheme="majorEastAsia" w:cs="Meiryo UI" w:hint="eastAsia"/>
                          <w:color w:val="000000"/>
                          <w:kern w:val="24"/>
                          <w:sz w:val="12"/>
                          <w:szCs w:val="18"/>
                          <w:eastAsianLayout w:id="-1559008244"/>
                        </w:rPr>
                        <w:t>※</w:t>
                      </w:r>
                      <w:r w:rsidRPr="00562C55">
                        <w:rPr>
                          <w:rFonts w:asciiTheme="majorEastAsia" w:eastAsiaTheme="majorEastAsia" w:hAnsiTheme="majorEastAsia" w:cs="Meiryo UI" w:hint="eastAsia"/>
                          <w:color w:val="000000"/>
                          <w:kern w:val="24"/>
                          <w:sz w:val="12"/>
                          <w:szCs w:val="18"/>
                          <w:eastAsianLayout w:id="-1559008243"/>
                        </w:rPr>
                        <w:t xml:space="preserve">　国勢調査の年齢不詳分は各年齢区分に按分</w:t>
                      </w:r>
                    </w:p>
                  </w:txbxContent>
                </v:textbox>
              </v:shape>
            </w:pict>
          </mc:Fallback>
        </mc:AlternateContent>
      </w:r>
    </w:p>
    <w:p w14:paraId="78484981" w14:textId="3FE9A145" w:rsidR="003C1C35" w:rsidRDefault="00562C55" w:rsidP="000054CF">
      <w:pPr>
        <w:adjustRightInd w:val="0"/>
        <w:rPr>
          <w:rFonts w:asciiTheme="majorEastAsia" w:eastAsiaTheme="majorEastAsia" w:hAnsiTheme="majorEastAsia"/>
          <w:sz w:val="24"/>
          <w:szCs w:val="24"/>
        </w:rPr>
      </w:pPr>
      <w:r w:rsidRPr="00DA62E4">
        <w:rPr>
          <w:noProof/>
        </w:rPr>
        <mc:AlternateContent>
          <mc:Choice Requires="wps">
            <w:drawing>
              <wp:anchor distT="0" distB="0" distL="114300" distR="114300" simplePos="0" relativeHeight="251788288" behindDoc="0" locked="0" layoutInCell="1" allowOverlap="1" wp14:anchorId="64733217" wp14:editId="154C0184">
                <wp:simplePos x="0" y="0"/>
                <wp:positionH relativeFrom="column">
                  <wp:posOffset>399026</wp:posOffset>
                </wp:positionH>
                <wp:positionV relativeFrom="paragraph">
                  <wp:posOffset>119740</wp:posOffset>
                </wp:positionV>
                <wp:extent cx="5240741" cy="21154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240741" cy="211540"/>
                        </a:xfrm>
                        <a:prstGeom prst="rect">
                          <a:avLst/>
                        </a:prstGeom>
                        <a:solidFill>
                          <a:prstClr val="white"/>
                        </a:solidFill>
                        <a:ln>
                          <a:noFill/>
                        </a:ln>
                      </wps:spPr>
                      <wps:txbx>
                        <w:txbxContent>
                          <w:p w14:paraId="2E3CC981" w14:textId="4F8A50C0" w:rsidR="00DA62E4" w:rsidRPr="003807D0" w:rsidRDefault="00C11121" w:rsidP="003807D0">
                            <w:pPr>
                              <w:widowControl/>
                              <w:spacing w:line="120" w:lineRule="exact"/>
                              <w:jc w:val="left"/>
                              <w:rPr>
                                <w:rFonts w:asciiTheme="majorEastAsia" w:eastAsiaTheme="majorEastAsia" w:hAnsiTheme="majorEastAsia"/>
                                <w:color w:val="000000" w:themeColor="text1"/>
                                <w:kern w:val="24"/>
                                <w:sz w:val="10"/>
                                <w:szCs w:val="18"/>
                              </w:rPr>
                            </w:pPr>
                            <w:r w:rsidRPr="003807D0">
                              <w:rPr>
                                <w:rFonts w:asciiTheme="majorEastAsia" w:eastAsiaTheme="majorEastAsia" w:hAnsiTheme="majorEastAsia" w:hint="eastAsia"/>
                                <w:color w:val="000000" w:themeColor="text1"/>
                                <w:kern w:val="24"/>
                                <w:sz w:val="10"/>
                                <w:szCs w:val="18"/>
                                <w:eastAsianLayout w:id="-1559025664"/>
                              </w:rPr>
                              <w:t>出典：2015年までは総務省「国勢調査」。2020年以降は「大阪府の将来推計人口について（2018年8月）」における大阪府の人口推計（ケース２）に基づく大阪府政策企画部推計。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33217" id="テキスト ボックス 4" o:spid="_x0000_s1034" type="#_x0000_t202" style="position:absolute;left:0;text-align:left;margin-left:31.4pt;margin-top:9.45pt;width:412.65pt;height:16.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" stroked="f">
                <v:textbox inset="0,0,0,0">
                  <w:txbxContent>
                    <w:p w14:paraId="2E3CC981" w14:textId="4F8A50C0" w:rsidR="00DA62E4" w:rsidRPr="003807D0" w:rsidRDefault="00C11121" w:rsidP="003807D0">
                      <w:pPr>
                        <w:widowControl/>
                        <w:spacing w:line="120" w:lineRule="exact"/>
                        <w:jc w:val="left"/>
                        <w:rPr>
                          <w:rFonts w:asciiTheme="majorEastAsia" w:eastAsiaTheme="majorEastAsia" w:hAnsiTheme="majorEastAsia"/>
                          <w:color w:val="000000" w:themeColor="text1"/>
                          <w:kern w:val="24"/>
                          <w:sz w:val="10"/>
                          <w:szCs w:val="18"/>
                        </w:rPr>
                      </w:pPr>
                      <w:r w:rsidRPr="003807D0">
                        <w:rPr>
                          <w:rFonts w:asciiTheme="majorEastAsia" w:eastAsiaTheme="majorEastAsia" w:hAnsiTheme="majorEastAsia" w:hint="eastAsia"/>
                          <w:color w:val="000000" w:themeColor="text1"/>
                          <w:kern w:val="24"/>
                          <w:sz w:val="10"/>
                          <w:szCs w:val="18"/>
                          <w:eastAsianLayout w:id="-1559025664"/>
                        </w:rPr>
                        <w:t>出典：2015年までは総務省「国勢調査」。2020年以降は「大阪府の将来推計人口について（2018年8月）」における大阪府の人口推計（ケース２）に基づく大阪府政策企画部推計。</w:t>
                      </w:r>
                    </w:p>
                  </w:txbxContent>
                </v:textbox>
              </v:shape>
            </w:pict>
          </mc:Fallback>
        </mc:AlternateContent>
      </w:r>
    </w:p>
    <w:p w14:paraId="6CCD2BAF" w14:textId="7573D892" w:rsidR="00E24449" w:rsidRPr="000054CF" w:rsidRDefault="00E37351" w:rsidP="000054CF">
      <w:pPr>
        <w:adjustRightInd w:val="0"/>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（５）</w:t>
      </w:r>
      <w:r w:rsidR="00414DD7" w:rsidRPr="000054CF">
        <w:rPr>
          <w:rFonts w:asciiTheme="majorEastAsia" w:eastAsiaTheme="majorEastAsia" w:hAnsiTheme="majorEastAsia" w:hint="eastAsia"/>
          <w:sz w:val="24"/>
          <w:szCs w:val="24"/>
        </w:rPr>
        <w:t>建物の</w:t>
      </w:r>
      <w:r w:rsidR="00E24449" w:rsidRPr="000054CF">
        <w:rPr>
          <w:rFonts w:asciiTheme="majorEastAsia" w:eastAsiaTheme="majorEastAsia" w:hAnsiTheme="majorEastAsia" w:hint="eastAsia"/>
          <w:sz w:val="24"/>
          <w:szCs w:val="24"/>
        </w:rPr>
        <w:t>修繕・更新費の将来見通し</w:t>
      </w:r>
    </w:p>
    <w:p w14:paraId="4512437C" w14:textId="69897E9A" w:rsidR="00E24449" w:rsidRPr="000054CF" w:rsidRDefault="00E24449" w:rsidP="00E37351">
      <w:pPr>
        <w:adjustRightInd w:val="0"/>
        <w:ind w:firstLineChars="100" w:firstLine="240"/>
        <w:rPr>
          <w:rFonts w:asciiTheme="majorEastAsia" w:eastAsiaTheme="majorEastAsia" w:hAnsiTheme="majorEastAsia"/>
          <w:sz w:val="24"/>
          <w:szCs w:val="24"/>
        </w:rPr>
      </w:pPr>
      <w:r w:rsidRPr="000054CF">
        <w:rPr>
          <w:rFonts w:asciiTheme="majorEastAsia" w:eastAsiaTheme="majorEastAsia" w:hAnsiTheme="majorEastAsia" w:hint="eastAsia"/>
          <w:sz w:val="24"/>
          <w:szCs w:val="24"/>
        </w:rPr>
        <w:t>○「５０年更新」の試算</w:t>
      </w:r>
    </w:p>
    <w:p w14:paraId="68B3D817" w14:textId="4BA74CEA" w:rsidR="00E24449" w:rsidRPr="000054CF" w:rsidRDefault="00017535" w:rsidP="00E37351">
      <w:pPr>
        <w:adjustRightInd w:val="0"/>
        <w:ind w:leftChars="100" w:left="210" w:firstLineChars="100" w:firstLine="240"/>
        <w:rPr>
          <w:rFonts w:asciiTheme="majorEastAsia" w:eastAsiaTheme="majorEastAsia" w:hAnsiTheme="majorEastAsia"/>
          <w:sz w:val="24"/>
          <w:szCs w:val="24"/>
        </w:rPr>
      </w:pPr>
      <w:r w:rsidRPr="000054CF">
        <w:rPr>
          <w:rFonts w:asciiTheme="majorEastAsia" w:eastAsiaTheme="majorEastAsia" w:hAnsiTheme="majorEastAsia" w:hint="eastAsia"/>
          <w:sz w:val="24"/>
          <w:szCs w:val="24"/>
        </w:rPr>
        <w:t>「減価償却資産の耐用年数等に関する省令」（</w:t>
      </w:r>
      <w:r w:rsidR="00C47B5F" w:rsidRPr="000054CF">
        <w:rPr>
          <w:rFonts w:asciiTheme="majorEastAsia" w:eastAsiaTheme="majorEastAsia" w:hAnsiTheme="majorEastAsia" w:hint="eastAsia"/>
          <w:sz w:val="24"/>
          <w:szCs w:val="24"/>
        </w:rPr>
        <w:t>鉄筋コンクリート造の事務所</w:t>
      </w:r>
      <w:r w:rsidR="00730625" w:rsidRPr="000054CF">
        <w:rPr>
          <w:rFonts w:asciiTheme="majorEastAsia" w:eastAsiaTheme="majorEastAsia" w:hAnsiTheme="majorEastAsia" w:hint="eastAsia"/>
          <w:sz w:val="24"/>
          <w:szCs w:val="24"/>
        </w:rPr>
        <w:t>の耐用年数</w:t>
      </w:r>
      <w:r w:rsidR="00C47B5F" w:rsidRPr="000054CF">
        <w:rPr>
          <w:rFonts w:asciiTheme="majorEastAsia" w:eastAsiaTheme="majorEastAsia" w:hAnsiTheme="majorEastAsia" w:hint="eastAsia"/>
          <w:sz w:val="24"/>
          <w:szCs w:val="24"/>
        </w:rPr>
        <w:t>５０年</w:t>
      </w:r>
      <w:r w:rsidRPr="000054CF">
        <w:rPr>
          <w:rFonts w:asciiTheme="majorEastAsia" w:eastAsiaTheme="majorEastAsia" w:hAnsiTheme="majorEastAsia" w:hint="eastAsia"/>
          <w:sz w:val="24"/>
          <w:szCs w:val="24"/>
        </w:rPr>
        <w:t>）を踏まえ</w:t>
      </w:r>
      <w:r w:rsidR="00C47B5F" w:rsidRPr="000054CF">
        <w:rPr>
          <w:rFonts w:asciiTheme="majorEastAsia" w:eastAsiaTheme="majorEastAsia" w:hAnsiTheme="majorEastAsia" w:hint="eastAsia"/>
          <w:sz w:val="24"/>
          <w:szCs w:val="24"/>
        </w:rPr>
        <w:t>、</w:t>
      </w:r>
      <w:r w:rsidR="00E24449" w:rsidRPr="000054CF">
        <w:rPr>
          <w:rFonts w:asciiTheme="majorEastAsia" w:eastAsiaTheme="majorEastAsia" w:hAnsiTheme="majorEastAsia" w:hint="eastAsia"/>
          <w:sz w:val="24"/>
          <w:szCs w:val="24"/>
        </w:rPr>
        <w:t>築後５０年で更新すると</w:t>
      </w:r>
      <w:r w:rsidRPr="000054CF">
        <w:rPr>
          <w:rFonts w:asciiTheme="majorEastAsia" w:eastAsiaTheme="majorEastAsia" w:hAnsiTheme="majorEastAsia" w:hint="eastAsia"/>
          <w:sz w:val="24"/>
          <w:szCs w:val="24"/>
        </w:rPr>
        <w:t>仮定</w:t>
      </w:r>
      <w:r w:rsidR="00E24449" w:rsidRPr="000054CF">
        <w:rPr>
          <w:rFonts w:asciiTheme="majorEastAsia" w:eastAsiaTheme="majorEastAsia" w:hAnsiTheme="majorEastAsia" w:hint="eastAsia"/>
          <w:sz w:val="24"/>
          <w:szCs w:val="24"/>
        </w:rPr>
        <w:t>し</w:t>
      </w:r>
      <w:r w:rsidR="00CD4F6A" w:rsidRPr="000054CF">
        <w:rPr>
          <w:rFonts w:asciiTheme="majorEastAsia" w:eastAsiaTheme="majorEastAsia" w:hAnsiTheme="majorEastAsia" w:hint="eastAsia"/>
          <w:sz w:val="24"/>
          <w:szCs w:val="24"/>
        </w:rPr>
        <w:t>、</w:t>
      </w:r>
      <w:r w:rsidR="00E24449" w:rsidRPr="000054CF">
        <w:rPr>
          <w:rFonts w:asciiTheme="majorEastAsia" w:eastAsiaTheme="majorEastAsia" w:hAnsiTheme="majorEastAsia" w:hint="eastAsia"/>
          <w:sz w:val="24"/>
          <w:szCs w:val="24"/>
        </w:rPr>
        <w:t>現在保有している建物（一般会計）の</w:t>
      </w:r>
      <w:r w:rsidR="00661430" w:rsidRPr="000054CF">
        <w:rPr>
          <w:rFonts w:asciiTheme="majorEastAsia" w:eastAsiaTheme="majorEastAsia" w:hAnsiTheme="majorEastAsia" w:hint="eastAsia"/>
          <w:sz w:val="24"/>
          <w:szCs w:val="24"/>
        </w:rPr>
        <w:t>修繕</w:t>
      </w:r>
      <w:r w:rsidR="00E24449" w:rsidRPr="000054CF">
        <w:rPr>
          <w:rFonts w:asciiTheme="majorEastAsia" w:eastAsiaTheme="majorEastAsia" w:hAnsiTheme="majorEastAsia" w:hint="eastAsia"/>
          <w:sz w:val="24"/>
          <w:szCs w:val="24"/>
        </w:rPr>
        <w:t>・更新費用について、２０５５年度までの向こう４０年間の将来見通しを試算すると、平成２８年度から１０年間の</w:t>
      </w:r>
      <w:r w:rsidR="00661430" w:rsidRPr="000054CF">
        <w:rPr>
          <w:rFonts w:asciiTheme="majorEastAsia" w:eastAsiaTheme="majorEastAsia" w:hAnsiTheme="majorEastAsia" w:hint="eastAsia"/>
          <w:sz w:val="24"/>
          <w:szCs w:val="24"/>
        </w:rPr>
        <w:t>修繕</w:t>
      </w:r>
      <w:r w:rsidR="00E24449" w:rsidRPr="000054CF">
        <w:rPr>
          <w:rFonts w:asciiTheme="majorEastAsia" w:eastAsiaTheme="majorEastAsia" w:hAnsiTheme="majorEastAsia" w:hint="eastAsia"/>
          <w:sz w:val="24"/>
          <w:szCs w:val="24"/>
        </w:rPr>
        <w:t>・更新費用は年平均約</w:t>
      </w:r>
      <w:r w:rsidR="00094F08" w:rsidRPr="000054CF">
        <w:rPr>
          <w:rFonts w:asciiTheme="majorEastAsia" w:eastAsiaTheme="majorEastAsia" w:hAnsiTheme="majorEastAsia" w:hint="eastAsia"/>
          <w:sz w:val="24"/>
          <w:szCs w:val="24"/>
        </w:rPr>
        <w:t>１</w:t>
      </w:r>
      <w:r w:rsidR="00C865E2" w:rsidRPr="000054CF">
        <w:rPr>
          <w:rFonts w:asciiTheme="majorEastAsia" w:eastAsiaTheme="majorEastAsia" w:hAnsiTheme="majorEastAsia" w:hint="eastAsia"/>
          <w:sz w:val="24"/>
          <w:szCs w:val="24"/>
        </w:rPr>
        <w:t>,</w:t>
      </w:r>
      <w:r w:rsidR="00094F08" w:rsidRPr="000054CF">
        <w:rPr>
          <w:rFonts w:asciiTheme="majorEastAsia" w:eastAsiaTheme="majorEastAsia" w:hAnsiTheme="majorEastAsia" w:hint="eastAsia"/>
          <w:sz w:val="24"/>
          <w:szCs w:val="24"/>
        </w:rPr>
        <w:t>０１２</w:t>
      </w:r>
      <w:r w:rsidR="00E24449" w:rsidRPr="000054CF">
        <w:rPr>
          <w:rFonts w:asciiTheme="majorEastAsia" w:eastAsiaTheme="majorEastAsia" w:hAnsiTheme="majorEastAsia" w:hint="eastAsia"/>
          <w:sz w:val="24"/>
          <w:szCs w:val="24"/>
        </w:rPr>
        <w:t>億円、４０年間の</w:t>
      </w:r>
      <w:r w:rsidR="00661430" w:rsidRPr="000054CF">
        <w:rPr>
          <w:rFonts w:asciiTheme="majorEastAsia" w:eastAsiaTheme="majorEastAsia" w:hAnsiTheme="majorEastAsia" w:hint="eastAsia"/>
          <w:sz w:val="24"/>
          <w:szCs w:val="24"/>
        </w:rPr>
        <w:t>修繕</w:t>
      </w:r>
      <w:r w:rsidR="00E24449" w:rsidRPr="000054CF">
        <w:rPr>
          <w:rFonts w:asciiTheme="majorEastAsia" w:eastAsiaTheme="majorEastAsia" w:hAnsiTheme="majorEastAsia" w:hint="eastAsia"/>
          <w:sz w:val="24"/>
          <w:szCs w:val="24"/>
        </w:rPr>
        <w:t>・更新費の総額は</w:t>
      </w:r>
      <w:r w:rsidR="00094F08" w:rsidRPr="000054CF">
        <w:rPr>
          <w:rFonts w:asciiTheme="majorEastAsia" w:eastAsiaTheme="majorEastAsia" w:hAnsiTheme="majorEastAsia" w:hint="eastAsia"/>
          <w:sz w:val="24"/>
          <w:szCs w:val="24"/>
        </w:rPr>
        <w:t>２</w:t>
      </w:r>
      <w:r w:rsidR="00E24449" w:rsidRPr="000054CF">
        <w:rPr>
          <w:rFonts w:asciiTheme="majorEastAsia" w:eastAsiaTheme="majorEastAsia" w:hAnsiTheme="majorEastAsia" w:hint="eastAsia"/>
          <w:sz w:val="24"/>
          <w:szCs w:val="24"/>
        </w:rPr>
        <w:t>兆</w:t>
      </w:r>
      <w:r w:rsidR="00094F08" w:rsidRPr="000054CF">
        <w:rPr>
          <w:rFonts w:asciiTheme="majorEastAsia" w:eastAsiaTheme="majorEastAsia" w:hAnsiTheme="majorEastAsia" w:hint="eastAsia"/>
          <w:sz w:val="24"/>
          <w:szCs w:val="24"/>
        </w:rPr>
        <w:t>４</w:t>
      </w:r>
      <w:r w:rsidR="00C865E2" w:rsidRPr="000054CF">
        <w:rPr>
          <w:rFonts w:asciiTheme="majorEastAsia" w:eastAsiaTheme="majorEastAsia" w:hAnsiTheme="majorEastAsia" w:hint="eastAsia"/>
          <w:sz w:val="24"/>
          <w:szCs w:val="24"/>
        </w:rPr>
        <w:t>,</w:t>
      </w:r>
      <w:r w:rsidR="00094F08" w:rsidRPr="000054CF">
        <w:rPr>
          <w:rFonts w:asciiTheme="majorEastAsia" w:eastAsiaTheme="majorEastAsia" w:hAnsiTheme="majorEastAsia" w:hint="eastAsia"/>
          <w:sz w:val="24"/>
          <w:szCs w:val="24"/>
        </w:rPr>
        <w:t>６３８</w:t>
      </w:r>
      <w:r w:rsidR="00E24449" w:rsidRPr="000054CF">
        <w:rPr>
          <w:rFonts w:asciiTheme="majorEastAsia" w:eastAsiaTheme="majorEastAsia" w:hAnsiTheme="majorEastAsia" w:hint="eastAsia"/>
          <w:sz w:val="24"/>
          <w:szCs w:val="24"/>
        </w:rPr>
        <w:t>億円、年平均約</w:t>
      </w:r>
      <w:r w:rsidR="00094F08" w:rsidRPr="000054CF">
        <w:rPr>
          <w:rFonts w:asciiTheme="majorEastAsia" w:eastAsiaTheme="majorEastAsia" w:hAnsiTheme="majorEastAsia" w:hint="eastAsia"/>
          <w:sz w:val="24"/>
          <w:szCs w:val="24"/>
        </w:rPr>
        <w:t>６１６</w:t>
      </w:r>
      <w:r w:rsidR="00E24449" w:rsidRPr="000054CF">
        <w:rPr>
          <w:rFonts w:asciiTheme="majorEastAsia" w:eastAsiaTheme="majorEastAsia" w:hAnsiTheme="majorEastAsia" w:hint="eastAsia"/>
          <w:sz w:val="24"/>
          <w:szCs w:val="24"/>
        </w:rPr>
        <w:t>億円となる。</w:t>
      </w:r>
    </w:p>
    <w:p w14:paraId="5675E7B6" w14:textId="4B2D2EB6" w:rsidR="00E24449" w:rsidRPr="009B02A7" w:rsidRDefault="00984D7E" w:rsidP="009B02A7">
      <w:pPr>
        <w:rPr>
          <w:rFonts w:asciiTheme="majorEastAsia" w:eastAsiaTheme="majorEastAsia" w:hAnsiTheme="majorEastAsia"/>
          <w:sz w:val="24"/>
          <w:szCs w:val="24"/>
        </w:rPr>
      </w:pPr>
      <w:r w:rsidRPr="004C1386">
        <w:rPr>
          <w:rFonts w:asciiTheme="majorEastAsia" w:eastAsiaTheme="majorEastAsia" w:hAnsiTheme="majorEastAsia"/>
          <w:noProof/>
          <w:sz w:val="24"/>
          <w:szCs w:val="24"/>
        </w:rPr>
        <w:drawing>
          <wp:anchor distT="0" distB="0" distL="114300" distR="114300" simplePos="0" relativeHeight="251666432" behindDoc="0" locked="0" layoutInCell="1" allowOverlap="1" wp14:anchorId="7538554F" wp14:editId="41BEF1A1">
            <wp:simplePos x="0" y="0"/>
            <wp:positionH relativeFrom="column">
              <wp:posOffset>114300</wp:posOffset>
            </wp:positionH>
            <wp:positionV relativeFrom="paragraph">
              <wp:posOffset>152400</wp:posOffset>
            </wp:positionV>
            <wp:extent cx="6153150" cy="2724150"/>
            <wp:effectExtent l="0" t="0" r="0" b="0"/>
            <wp:wrapNone/>
            <wp:docPr id="14" name="図 14" title="公共施設等（建物）修繕・更新費の推計（50年更新・一般会計）について示した棒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315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A373F" w14:textId="77777777" w:rsidR="009B02A7" w:rsidRDefault="009B02A7" w:rsidP="009B02A7">
      <w:pPr>
        <w:widowControl/>
        <w:jc w:val="left"/>
        <w:rPr>
          <w:rFonts w:ascii="ＭＳ ゴシック" w:eastAsia="ＭＳ ゴシック" w:hAnsi="ＭＳ ゴシック"/>
          <w:sz w:val="24"/>
          <w:szCs w:val="24"/>
        </w:rPr>
      </w:pPr>
    </w:p>
    <w:p w14:paraId="7231F9A0" w14:textId="77777777" w:rsidR="009B02A7" w:rsidRDefault="009B02A7" w:rsidP="009B02A7">
      <w:pPr>
        <w:widowControl/>
        <w:jc w:val="left"/>
        <w:rPr>
          <w:rFonts w:ascii="ＭＳ ゴシック" w:eastAsia="ＭＳ ゴシック" w:hAnsi="ＭＳ ゴシック"/>
          <w:sz w:val="24"/>
          <w:szCs w:val="24"/>
        </w:rPr>
      </w:pPr>
    </w:p>
    <w:p w14:paraId="3717B6A5" w14:textId="77777777" w:rsidR="009B02A7" w:rsidRDefault="009B02A7" w:rsidP="009B02A7">
      <w:pPr>
        <w:widowControl/>
        <w:jc w:val="left"/>
        <w:rPr>
          <w:rFonts w:ascii="ＭＳ ゴシック" w:eastAsia="ＭＳ ゴシック" w:hAnsi="ＭＳ ゴシック"/>
          <w:sz w:val="24"/>
          <w:szCs w:val="24"/>
        </w:rPr>
      </w:pPr>
    </w:p>
    <w:p w14:paraId="3D775432" w14:textId="77777777" w:rsidR="009B02A7" w:rsidRDefault="009B02A7" w:rsidP="009B02A7">
      <w:pPr>
        <w:widowControl/>
        <w:jc w:val="left"/>
        <w:rPr>
          <w:rFonts w:ascii="ＭＳ ゴシック" w:eastAsia="ＭＳ ゴシック" w:hAnsi="ＭＳ ゴシック"/>
          <w:sz w:val="24"/>
          <w:szCs w:val="24"/>
        </w:rPr>
      </w:pPr>
    </w:p>
    <w:p w14:paraId="745418EF" w14:textId="77777777" w:rsidR="009B02A7" w:rsidRDefault="009B02A7" w:rsidP="009B02A7">
      <w:pPr>
        <w:widowControl/>
        <w:jc w:val="left"/>
        <w:rPr>
          <w:rFonts w:ascii="ＭＳ ゴシック" w:eastAsia="ＭＳ ゴシック" w:hAnsi="ＭＳ ゴシック"/>
          <w:sz w:val="24"/>
          <w:szCs w:val="24"/>
        </w:rPr>
      </w:pPr>
    </w:p>
    <w:p w14:paraId="4B614806" w14:textId="77777777" w:rsidR="009B02A7" w:rsidRDefault="009B02A7" w:rsidP="009B02A7">
      <w:pPr>
        <w:widowControl/>
        <w:jc w:val="left"/>
        <w:rPr>
          <w:rFonts w:ascii="ＭＳ ゴシック" w:eastAsia="ＭＳ ゴシック" w:hAnsi="ＭＳ ゴシック"/>
          <w:sz w:val="24"/>
          <w:szCs w:val="24"/>
        </w:rPr>
      </w:pPr>
    </w:p>
    <w:p w14:paraId="27568E90" w14:textId="77777777" w:rsidR="009B02A7" w:rsidRDefault="009B02A7" w:rsidP="009B02A7">
      <w:pPr>
        <w:widowControl/>
        <w:jc w:val="left"/>
        <w:rPr>
          <w:rFonts w:ascii="ＭＳ ゴシック" w:eastAsia="ＭＳ ゴシック" w:hAnsi="ＭＳ ゴシック"/>
          <w:sz w:val="24"/>
          <w:szCs w:val="24"/>
        </w:rPr>
      </w:pPr>
    </w:p>
    <w:p w14:paraId="046D1FBE" w14:textId="77777777" w:rsidR="009B02A7" w:rsidRDefault="009B02A7" w:rsidP="009B02A7">
      <w:pPr>
        <w:widowControl/>
        <w:jc w:val="left"/>
        <w:rPr>
          <w:rFonts w:ascii="ＭＳ ゴシック" w:eastAsia="ＭＳ ゴシック" w:hAnsi="ＭＳ ゴシック"/>
          <w:sz w:val="24"/>
          <w:szCs w:val="24"/>
        </w:rPr>
      </w:pPr>
    </w:p>
    <w:p w14:paraId="6E99F265" w14:textId="77777777" w:rsidR="009B02A7" w:rsidRDefault="009B02A7" w:rsidP="009B02A7">
      <w:pPr>
        <w:widowControl/>
        <w:jc w:val="left"/>
        <w:rPr>
          <w:rFonts w:ascii="ＭＳ ゴシック" w:eastAsia="ＭＳ ゴシック" w:hAnsi="ＭＳ ゴシック"/>
          <w:sz w:val="24"/>
          <w:szCs w:val="24"/>
        </w:rPr>
      </w:pPr>
    </w:p>
    <w:p w14:paraId="7BC87F5D" w14:textId="77777777" w:rsidR="009B02A7" w:rsidRDefault="009B02A7" w:rsidP="009B02A7">
      <w:pPr>
        <w:widowControl/>
        <w:jc w:val="left"/>
        <w:rPr>
          <w:rFonts w:ascii="ＭＳ ゴシック" w:eastAsia="ＭＳ ゴシック" w:hAnsi="ＭＳ ゴシック"/>
          <w:sz w:val="24"/>
          <w:szCs w:val="24"/>
        </w:rPr>
      </w:pPr>
    </w:p>
    <w:p w14:paraId="25D4F728" w14:textId="77777777" w:rsidR="009B02A7" w:rsidRDefault="009B02A7" w:rsidP="009B02A7">
      <w:pPr>
        <w:widowControl/>
        <w:jc w:val="left"/>
        <w:rPr>
          <w:rFonts w:ascii="ＭＳ ゴシック" w:eastAsia="ＭＳ ゴシック" w:hAnsi="ＭＳ ゴシック"/>
          <w:sz w:val="24"/>
          <w:szCs w:val="24"/>
        </w:rPr>
      </w:pPr>
    </w:p>
    <w:p w14:paraId="0E8A458D" w14:textId="77777777" w:rsidR="009B02A7" w:rsidRDefault="009B02A7" w:rsidP="009B02A7">
      <w:pPr>
        <w:widowControl/>
        <w:jc w:val="left"/>
        <w:rPr>
          <w:rFonts w:ascii="ＭＳ ゴシック" w:eastAsia="ＭＳ ゴシック" w:hAnsi="ＭＳ ゴシック"/>
          <w:sz w:val="24"/>
          <w:szCs w:val="24"/>
        </w:rPr>
      </w:pPr>
    </w:p>
    <w:p w14:paraId="49B3DB61" w14:textId="3B3F82D0" w:rsidR="00E24449" w:rsidRPr="004C1386" w:rsidRDefault="00CE6E69" w:rsidP="009B02A7">
      <w:pPr>
        <w:widowControl/>
        <w:jc w:val="left"/>
        <w:rPr>
          <w:rFonts w:ascii="ＭＳ ゴシック" w:eastAsia="ＭＳ ゴシック" w:hAnsi="ＭＳ ゴシック"/>
          <w:sz w:val="24"/>
          <w:szCs w:val="24"/>
        </w:rPr>
      </w:pPr>
      <w:r w:rsidRPr="004C1386">
        <w:rPr>
          <w:noProof/>
        </w:rPr>
        <w:drawing>
          <wp:anchor distT="0" distB="0" distL="114300" distR="114300" simplePos="0" relativeHeight="251664384" behindDoc="0" locked="0" layoutInCell="1" allowOverlap="1" wp14:anchorId="0C4AB9D9" wp14:editId="55489078">
            <wp:simplePos x="0" y="0"/>
            <wp:positionH relativeFrom="column">
              <wp:posOffset>-2333625</wp:posOffset>
            </wp:positionH>
            <wp:positionV relativeFrom="paragraph">
              <wp:posOffset>133350</wp:posOffset>
            </wp:positionV>
            <wp:extent cx="847725" cy="1038225"/>
            <wp:effectExtent l="0" t="0" r="9525" b="9525"/>
            <wp:wrapNone/>
            <wp:docPr id="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847725" cy="1038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60E682" w14:textId="3D34F08D" w:rsidR="00E24449" w:rsidRPr="004C1386" w:rsidRDefault="00E52497" w:rsidP="009B02A7">
      <w:pPr>
        <w:widowControl/>
        <w:ind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修繕</w:t>
      </w:r>
      <w:r w:rsidR="00E24449" w:rsidRPr="004C1386">
        <w:rPr>
          <w:rFonts w:ascii="ＭＳ ゴシック" w:eastAsia="ＭＳ ゴシック" w:hAnsi="ＭＳ ゴシック" w:hint="eastAsia"/>
          <w:sz w:val="24"/>
          <w:szCs w:val="24"/>
        </w:rPr>
        <w:t>・更新費の推計</w:t>
      </w:r>
      <w:r w:rsidR="005853D2" w:rsidRPr="004C1386">
        <w:rPr>
          <w:rFonts w:ascii="ＭＳ ゴシック" w:eastAsia="ＭＳ ゴシック" w:hAnsi="ＭＳ ゴシック" w:hint="eastAsia"/>
          <w:sz w:val="24"/>
          <w:szCs w:val="24"/>
        </w:rPr>
        <w:t xml:space="preserve">　</w:t>
      </w:r>
      <w:r w:rsidR="00D42348" w:rsidRPr="004C1386">
        <w:rPr>
          <w:rFonts w:ascii="ＭＳ ゴシック" w:eastAsia="ＭＳ ゴシック" w:hAnsi="ＭＳ ゴシック" w:hint="eastAsia"/>
          <w:sz w:val="18"/>
          <w:szCs w:val="18"/>
        </w:rPr>
        <w:t>＜</w:t>
      </w:r>
      <w:r w:rsidR="005853D2" w:rsidRPr="004C1386">
        <w:rPr>
          <w:rFonts w:ascii="ＭＳ ゴシック" w:eastAsia="ＭＳ ゴシック" w:hAnsi="ＭＳ ゴシック" w:hint="eastAsia"/>
          <w:sz w:val="18"/>
          <w:szCs w:val="18"/>
        </w:rPr>
        <w:t>各項目で</w:t>
      </w:r>
      <w:r w:rsidR="00BE1505" w:rsidRPr="004C1386">
        <w:rPr>
          <w:rFonts w:ascii="ＭＳ ゴシック" w:eastAsia="ＭＳ ゴシック" w:hAnsi="ＭＳ ゴシック" w:hint="eastAsia"/>
          <w:sz w:val="18"/>
          <w:szCs w:val="18"/>
        </w:rPr>
        <w:t>億</w:t>
      </w:r>
      <w:r w:rsidR="005853D2" w:rsidRPr="004C1386">
        <w:rPr>
          <w:rFonts w:ascii="ＭＳ ゴシック" w:eastAsia="ＭＳ ゴシック" w:hAnsi="ＭＳ ゴシック" w:hint="eastAsia"/>
          <w:sz w:val="18"/>
          <w:szCs w:val="18"/>
        </w:rPr>
        <w:t>円未満を四捨五入している。（合計が合わない場合が生じうる）</w:t>
      </w:r>
      <w:r w:rsidR="00D42348" w:rsidRPr="004C1386">
        <w:rPr>
          <w:rFonts w:ascii="ＭＳ ゴシック" w:eastAsia="ＭＳ ゴシック" w:hAnsi="ＭＳ ゴシック" w:hint="eastAsia"/>
          <w:sz w:val="18"/>
          <w:szCs w:val="18"/>
        </w:rPr>
        <w:t>＞</w:t>
      </w:r>
    </w:p>
    <w:tbl>
      <w:tblPr>
        <w:tblW w:w="98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Caption w:val="公共施設等（建物）修繕・更新費の推計（50年更新・一般会計）について10年・20年・40年平均の費用を示した表"/>
      </w:tblPr>
      <w:tblGrid>
        <w:gridCol w:w="1134"/>
        <w:gridCol w:w="1843"/>
        <w:gridCol w:w="1701"/>
        <w:gridCol w:w="1701"/>
        <w:gridCol w:w="1701"/>
        <w:gridCol w:w="1805"/>
      </w:tblGrid>
      <w:tr w:rsidR="004C1386" w:rsidRPr="004C1386" w14:paraId="239B5231" w14:textId="36B9A5CD" w:rsidTr="00655B44">
        <w:trPr>
          <w:trHeight w:val="77"/>
        </w:trPr>
        <w:tc>
          <w:tcPr>
            <w:tcW w:w="1134" w:type="dxa"/>
            <w:vAlign w:val="center"/>
          </w:tcPr>
          <w:p w14:paraId="54A7E954" w14:textId="71110DB9" w:rsidR="00C47B5F" w:rsidRPr="004C1386" w:rsidRDefault="00C47B5F" w:rsidP="0078375A">
            <w:pPr>
              <w:spacing w:line="260" w:lineRule="exact"/>
              <w:jc w:val="center"/>
              <w:rPr>
                <w:rFonts w:ascii="ＭＳ ゴシック" w:eastAsia="ＭＳ ゴシック" w:hAnsi="ＭＳ ゴシック"/>
                <w:sz w:val="24"/>
                <w:szCs w:val="24"/>
              </w:rPr>
            </w:pPr>
          </w:p>
        </w:tc>
        <w:tc>
          <w:tcPr>
            <w:tcW w:w="1843" w:type="dxa"/>
            <w:vAlign w:val="center"/>
          </w:tcPr>
          <w:p w14:paraId="1CECD7E7" w14:textId="4F1C6D2B" w:rsidR="00C47B5F" w:rsidRPr="004C1386" w:rsidRDefault="00C47B5F" w:rsidP="00655B44">
            <w:pPr>
              <w:spacing w:line="260" w:lineRule="exact"/>
              <w:jc w:val="distribute"/>
              <w:rPr>
                <w:rFonts w:ascii="ＭＳ ゴシック" w:eastAsia="ＭＳ ゴシック" w:hAnsi="ＭＳ ゴシック"/>
                <w:sz w:val="20"/>
                <w:szCs w:val="20"/>
              </w:rPr>
            </w:pPr>
            <w:r w:rsidRPr="00655B44">
              <w:rPr>
                <w:rFonts w:ascii="ＭＳ ゴシック" w:eastAsia="ＭＳ ゴシック" w:hAnsi="ＭＳ ゴシック" w:hint="eastAsia"/>
                <w:sz w:val="20"/>
                <w:szCs w:val="20"/>
              </w:rPr>
              <w:t>平成28～</w:t>
            </w:r>
            <w:r w:rsidR="00655B44" w:rsidRPr="00655B44">
              <w:rPr>
                <w:rFonts w:ascii="ＭＳ ゴシック" w:eastAsia="ＭＳ ゴシック" w:hAnsi="ＭＳ ゴシック" w:hint="eastAsia"/>
                <w:sz w:val="20"/>
                <w:szCs w:val="20"/>
              </w:rPr>
              <w:t>令和</w:t>
            </w:r>
            <w:r w:rsidRPr="00655B44">
              <w:rPr>
                <w:rFonts w:ascii="ＭＳ ゴシック" w:eastAsia="ＭＳ ゴシック" w:hAnsi="ＭＳ ゴシック" w:hint="eastAsia"/>
                <w:sz w:val="20"/>
                <w:szCs w:val="20"/>
              </w:rPr>
              <w:t>7年</w:t>
            </w:r>
          </w:p>
          <w:p w14:paraId="5653EEE5" w14:textId="218931F0"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(2016～2025年)</w:t>
            </w:r>
          </w:p>
        </w:tc>
        <w:tc>
          <w:tcPr>
            <w:tcW w:w="1701" w:type="dxa"/>
            <w:vAlign w:val="center"/>
          </w:tcPr>
          <w:p w14:paraId="5DB7CF91" w14:textId="700BD604" w:rsidR="00C47B5F" w:rsidRPr="004C1386" w:rsidRDefault="00655B44" w:rsidP="00C47B5F">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w:t>
            </w:r>
            <w:r w:rsidR="00C47B5F" w:rsidRPr="004C1386">
              <w:rPr>
                <w:rFonts w:ascii="ＭＳ ゴシック" w:eastAsia="ＭＳ ゴシック" w:hAnsi="ＭＳ ゴシック" w:hint="eastAsia"/>
                <w:sz w:val="20"/>
                <w:szCs w:val="20"/>
              </w:rPr>
              <w:t>8～</w:t>
            </w:r>
            <w:r>
              <w:rPr>
                <w:rFonts w:ascii="ＭＳ ゴシック" w:eastAsia="ＭＳ ゴシック" w:hAnsi="ＭＳ ゴシック" w:hint="eastAsia"/>
                <w:sz w:val="20"/>
                <w:szCs w:val="20"/>
              </w:rPr>
              <w:t>17</w:t>
            </w:r>
            <w:r w:rsidR="00C47B5F" w:rsidRPr="004C1386">
              <w:rPr>
                <w:rFonts w:ascii="ＭＳ ゴシック" w:eastAsia="ＭＳ ゴシック" w:hAnsi="ＭＳ ゴシック" w:hint="eastAsia"/>
                <w:sz w:val="20"/>
                <w:szCs w:val="20"/>
              </w:rPr>
              <w:t>年</w:t>
            </w:r>
          </w:p>
          <w:p w14:paraId="309853F1" w14:textId="5EAEA4D7"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(2026～2035年)</w:t>
            </w:r>
          </w:p>
        </w:tc>
        <w:tc>
          <w:tcPr>
            <w:tcW w:w="1701" w:type="dxa"/>
            <w:vAlign w:val="center"/>
          </w:tcPr>
          <w:p w14:paraId="520C00EB" w14:textId="19DE9CD8" w:rsidR="00C47B5F" w:rsidRPr="004C1386" w:rsidRDefault="00655B44" w:rsidP="00C47B5F">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令和1</w:t>
            </w:r>
            <w:r w:rsidR="00C47B5F" w:rsidRPr="004C1386">
              <w:rPr>
                <w:rFonts w:ascii="ＭＳ ゴシック" w:eastAsia="ＭＳ ゴシック" w:hAnsi="ＭＳ ゴシック" w:hint="eastAsia"/>
                <w:sz w:val="20"/>
                <w:szCs w:val="20"/>
              </w:rPr>
              <w:t>8～</w:t>
            </w:r>
            <w:r>
              <w:rPr>
                <w:rFonts w:ascii="ＭＳ ゴシック" w:eastAsia="ＭＳ ゴシック" w:hAnsi="ＭＳ ゴシック" w:hint="eastAsia"/>
                <w:sz w:val="20"/>
                <w:szCs w:val="20"/>
              </w:rPr>
              <w:t>2</w:t>
            </w:r>
            <w:r w:rsidR="00C47B5F" w:rsidRPr="004C1386">
              <w:rPr>
                <w:rFonts w:ascii="ＭＳ ゴシック" w:eastAsia="ＭＳ ゴシック" w:hAnsi="ＭＳ ゴシック" w:hint="eastAsia"/>
                <w:sz w:val="20"/>
                <w:szCs w:val="20"/>
              </w:rPr>
              <w:t>7年</w:t>
            </w:r>
          </w:p>
          <w:p w14:paraId="7578E61F" w14:textId="74E4496D"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(2036～2045年)</w:t>
            </w:r>
          </w:p>
        </w:tc>
        <w:tc>
          <w:tcPr>
            <w:tcW w:w="1701" w:type="dxa"/>
            <w:vAlign w:val="center"/>
          </w:tcPr>
          <w:p w14:paraId="39A972E0" w14:textId="2402F5B0" w:rsidR="00C47B5F" w:rsidRPr="004C1386" w:rsidRDefault="00655B44" w:rsidP="00C47B5F">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令和2</w:t>
            </w:r>
            <w:r w:rsidR="00C47B5F" w:rsidRPr="004C1386">
              <w:rPr>
                <w:rFonts w:ascii="ＭＳ ゴシック" w:eastAsia="ＭＳ ゴシック" w:hAnsi="ＭＳ ゴシック" w:hint="eastAsia"/>
                <w:sz w:val="20"/>
                <w:szCs w:val="20"/>
              </w:rPr>
              <w:t>8～</w:t>
            </w:r>
            <w:r>
              <w:rPr>
                <w:rFonts w:ascii="ＭＳ ゴシック" w:eastAsia="ＭＳ ゴシック" w:hAnsi="ＭＳ ゴシック" w:hint="eastAsia"/>
                <w:sz w:val="20"/>
                <w:szCs w:val="20"/>
              </w:rPr>
              <w:t>37</w:t>
            </w:r>
            <w:r w:rsidR="00C47B5F" w:rsidRPr="004C1386">
              <w:rPr>
                <w:rFonts w:ascii="ＭＳ ゴシック" w:eastAsia="ＭＳ ゴシック" w:hAnsi="ＭＳ ゴシック" w:hint="eastAsia"/>
                <w:sz w:val="20"/>
                <w:szCs w:val="20"/>
              </w:rPr>
              <w:t>年</w:t>
            </w:r>
          </w:p>
          <w:p w14:paraId="3A211E7C" w14:textId="1E38EF14" w:rsidR="00C47B5F" w:rsidRPr="004C1386" w:rsidRDefault="00C47B5F" w:rsidP="00C47B5F">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(2046～2055年)</w:t>
            </w:r>
          </w:p>
        </w:tc>
        <w:tc>
          <w:tcPr>
            <w:tcW w:w="1805" w:type="dxa"/>
            <w:vAlign w:val="center"/>
          </w:tcPr>
          <w:p w14:paraId="0B1A87BC" w14:textId="131FF7DC" w:rsidR="00C47B5F" w:rsidRPr="004C1386" w:rsidRDefault="00C47B5F" w:rsidP="0078375A">
            <w:pPr>
              <w:spacing w:line="260" w:lineRule="exact"/>
              <w:jc w:val="center"/>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合計</w:t>
            </w:r>
          </w:p>
        </w:tc>
      </w:tr>
      <w:tr w:rsidR="004C1386" w:rsidRPr="004C1386" w14:paraId="09FABCDB" w14:textId="512C77E9" w:rsidTr="00655B44">
        <w:trPr>
          <w:trHeight w:val="326"/>
        </w:trPr>
        <w:tc>
          <w:tcPr>
            <w:tcW w:w="1134" w:type="dxa"/>
          </w:tcPr>
          <w:p w14:paraId="18ACDECC" w14:textId="3ED1D34D" w:rsidR="00C47B5F" w:rsidRPr="004C1386" w:rsidRDefault="00C47B5F" w:rsidP="0078375A">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10年平均</w:t>
            </w:r>
          </w:p>
        </w:tc>
        <w:tc>
          <w:tcPr>
            <w:tcW w:w="1843" w:type="dxa"/>
          </w:tcPr>
          <w:p w14:paraId="3AEBE60B" w14:textId="2658677E" w:rsidR="00C47B5F" w:rsidRPr="004C1386" w:rsidRDefault="00C47B5F" w:rsidP="00094F08">
            <w:pPr>
              <w:jc w:val="center"/>
              <w:rPr>
                <w:rFonts w:ascii="ＭＳ ゴシック" w:eastAsia="ＭＳ ゴシック" w:hAnsi="ＭＳ ゴシック"/>
                <w:sz w:val="20"/>
                <w:szCs w:val="20"/>
              </w:rPr>
            </w:pPr>
            <w:r w:rsidRPr="006C71B5">
              <w:rPr>
                <w:rFonts w:ascii="ＭＳ ゴシック" w:eastAsia="ＭＳ ゴシック" w:hAnsi="ＭＳ ゴシック" w:hint="eastAsia"/>
                <w:kern w:val="0"/>
                <w:sz w:val="20"/>
                <w:szCs w:val="20"/>
              </w:rPr>
              <w:t>約</w:t>
            </w:r>
            <w:r w:rsidR="00094F08" w:rsidRPr="006C71B5">
              <w:rPr>
                <w:rFonts w:ascii="ＭＳ ゴシック" w:eastAsia="ＭＳ ゴシック" w:hAnsi="ＭＳ ゴシック" w:hint="eastAsia"/>
                <w:kern w:val="0"/>
                <w:sz w:val="20"/>
                <w:szCs w:val="20"/>
              </w:rPr>
              <w:t>1,012</w:t>
            </w:r>
            <w:r w:rsidRPr="006C71B5">
              <w:rPr>
                <w:rFonts w:ascii="ＭＳ ゴシック" w:eastAsia="ＭＳ ゴシック" w:hAnsi="ＭＳ ゴシック" w:hint="eastAsia"/>
                <w:kern w:val="0"/>
                <w:sz w:val="20"/>
                <w:szCs w:val="20"/>
              </w:rPr>
              <w:t>億円</w:t>
            </w:r>
            <w:r w:rsidR="00180759" w:rsidRPr="006C71B5">
              <w:rPr>
                <w:rFonts w:ascii="ＭＳ ゴシック" w:eastAsia="ＭＳ ゴシック" w:hAnsi="ＭＳ ゴシック" w:hint="eastAsia"/>
                <w:kern w:val="0"/>
                <w:sz w:val="20"/>
                <w:szCs w:val="20"/>
              </w:rPr>
              <w:t>/年</w:t>
            </w:r>
          </w:p>
        </w:tc>
        <w:tc>
          <w:tcPr>
            <w:tcW w:w="1701" w:type="dxa"/>
          </w:tcPr>
          <w:p w14:paraId="06E4F4BD" w14:textId="5A560B47" w:rsidR="00C47B5F" w:rsidRPr="004C1386" w:rsidRDefault="00C47B5F"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467</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tcPr>
          <w:p w14:paraId="188DA7BE" w14:textId="7EF81CB2" w:rsidR="00C47B5F" w:rsidRPr="004C1386" w:rsidRDefault="00C47B5F"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440</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tcPr>
          <w:p w14:paraId="0D68D687" w14:textId="62E52D77" w:rsidR="00C47B5F" w:rsidRPr="004C1386" w:rsidRDefault="00C47B5F"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545</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805" w:type="dxa"/>
            <w:vMerge w:val="restart"/>
            <w:vAlign w:val="center"/>
          </w:tcPr>
          <w:p w14:paraId="320102B5" w14:textId="5F96159A" w:rsidR="00C47B5F" w:rsidRPr="004C1386" w:rsidRDefault="00C47B5F"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2</w:t>
            </w:r>
            <w:r w:rsidRPr="004C1386">
              <w:rPr>
                <w:rFonts w:ascii="ＭＳ ゴシック" w:eastAsia="ＭＳ ゴシック" w:hAnsi="ＭＳ ゴシック" w:hint="eastAsia"/>
                <w:sz w:val="20"/>
                <w:szCs w:val="20"/>
              </w:rPr>
              <w:t>兆</w:t>
            </w:r>
            <w:r w:rsidR="00094F08" w:rsidRPr="004C1386">
              <w:rPr>
                <w:rFonts w:ascii="ＭＳ ゴシック" w:eastAsia="ＭＳ ゴシック" w:hAnsi="ＭＳ ゴシック" w:hint="eastAsia"/>
                <w:sz w:val="20"/>
                <w:szCs w:val="20"/>
              </w:rPr>
              <w:t>4,638</w:t>
            </w:r>
            <w:r w:rsidRPr="004C1386">
              <w:rPr>
                <w:rFonts w:ascii="ＭＳ ゴシック" w:eastAsia="ＭＳ ゴシック" w:hAnsi="ＭＳ ゴシック" w:hint="eastAsia"/>
                <w:sz w:val="20"/>
                <w:szCs w:val="20"/>
              </w:rPr>
              <w:t>億円</w:t>
            </w:r>
          </w:p>
        </w:tc>
      </w:tr>
      <w:tr w:rsidR="004C1386" w:rsidRPr="004C1386" w14:paraId="208DD31B" w14:textId="77777777" w:rsidTr="00655B44">
        <w:trPr>
          <w:trHeight w:val="77"/>
        </w:trPr>
        <w:tc>
          <w:tcPr>
            <w:tcW w:w="1134" w:type="dxa"/>
          </w:tcPr>
          <w:p w14:paraId="2479D0B4" w14:textId="7F3306F2" w:rsidR="00C47B5F" w:rsidRPr="004C1386" w:rsidRDefault="00C47B5F" w:rsidP="0078375A">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20年平均</w:t>
            </w:r>
          </w:p>
        </w:tc>
        <w:tc>
          <w:tcPr>
            <w:tcW w:w="3544" w:type="dxa"/>
            <w:gridSpan w:val="2"/>
          </w:tcPr>
          <w:p w14:paraId="1EB70DDC" w14:textId="6C93AEB7" w:rsidR="00C47B5F" w:rsidRPr="004C1386" w:rsidRDefault="00B330D4"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740</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3402" w:type="dxa"/>
            <w:gridSpan w:val="2"/>
          </w:tcPr>
          <w:p w14:paraId="3BEAFABD" w14:textId="04290262" w:rsidR="00C47B5F" w:rsidRPr="004C1386" w:rsidRDefault="00B330D4"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492</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805" w:type="dxa"/>
            <w:vMerge/>
          </w:tcPr>
          <w:p w14:paraId="40A1F702" w14:textId="77777777" w:rsidR="00C47B5F" w:rsidRPr="004C1386" w:rsidRDefault="00C47B5F" w:rsidP="0078375A">
            <w:pPr>
              <w:jc w:val="center"/>
              <w:rPr>
                <w:rFonts w:ascii="ＭＳ ゴシック" w:eastAsia="ＭＳ ゴシック" w:hAnsi="ＭＳ ゴシック"/>
                <w:sz w:val="24"/>
                <w:szCs w:val="24"/>
              </w:rPr>
            </w:pPr>
          </w:p>
        </w:tc>
      </w:tr>
      <w:tr w:rsidR="004C1386" w:rsidRPr="004C1386" w14:paraId="5F4D562A" w14:textId="77777777" w:rsidTr="00655B44">
        <w:trPr>
          <w:trHeight w:val="77"/>
        </w:trPr>
        <w:tc>
          <w:tcPr>
            <w:tcW w:w="1134" w:type="dxa"/>
            <w:tcBorders>
              <w:bottom w:val="single" w:sz="4" w:space="0" w:color="auto"/>
            </w:tcBorders>
          </w:tcPr>
          <w:p w14:paraId="01B8C3A4" w14:textId="6A6E29A2" w:rsidR="00C47B5F" w:rsidRPr="004C1386" w:rsidRDefault="00C47B5F" w:rsidP="0078375A">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40年平均</w:t>
            </w:r>
          </w:p>
        </w:tc>
        <w:tc>
          <w:tcPr>
            <w:tcW w:w="6946" w:type="dxa"/>
            <w:gridSpan w:val="4"/>
            <w:tcBorders>
              <w:bottom w:val="single" w:sz="4" w:space="0" w:color="auto"/>
            </w:tcBorders>
          </w:tcPr>
          <w:p w14:paraId="0B630644" w14:textId="7EBA886E" w:rsidR="00C47B5F" w:rsidRPr="004C1386" w:rsidRDefault="00B330D4"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94F08" w:rsidRPr="004C1386">
              <w:rPr>
                <w:rFonts w:ascii="ＭＳ ゴシック" w:eastAsia="ＭＳ ゴシック" w:hAnsi="ＭＳ ゴシック" w:hint="eastAsia"/>
                <w:sz w:val="20"/>
                <w:szCs w:val="20"/>
              </w:rPr>
              <w:t>616</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805" w:type="dxa"/>
            <w:vMerge/>
            <w:tcBorders>
              <w:bottom w:val="single" w:sz="4" w:space="0" w:color="auto"/>
            </w:tcBorders>
          </w:tcPr>
          <w:p w14:paraId="70F41818" w14:textId="77777777" w:rsidR="00C47B5F" w:rsidRPr="004C1386" w:rsidRDefault="00C47B5F" w:rsidP="0078375A">
            <w:pPr>
              <w:jc w:val="center"/>
              <w:rPr>
                <w:rFonts w:ascii="ＭＳ ゴシック" w:eastAsia="ＭＳ ゴシック" w:hAnsi="ＭＳ ゴシック"/>
                <w:sz w:val="24"/>
                <w:szCs w:val="24"/>
              </w:rPr>
            </w:pPr>
          </w:p>
        </w:tc>
      </w:tr>
    </w:tbl>
    <w:p w14:paraId="732BDFCB" w14:textId="18A02D92" w:rsidR="00E24449" w:rsidRPr="004C1386" w:rsidRDefault="00017535" w:rsidP="00E24449">
      <w:pPr>
        <w:widowControl/>
        <w:jc w:val="left"/>
        <w:rPr>
          <w:rFonts w:ascii="ＭＳ ゴシック" w:eastAsia="ＭＳ ゴシック" w:hAnsi="ＭＳ ゴシック"/>
          <w:sz w:val="18"/>
          <w:szCs w:val="18"/>
        </w:rPr>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27872" behindDoc="0" locked="0" layoutInCell="1" allowOverlap="1" wp14:anchorId="0D855023" wp14:editId="5BDB2369">
                <wp:simplePos x="0" y="0"/>
                <wp:positionH relativeFrom="column">
                  <wp:posOffset>104775</wp:posOffset>
                </wp:positionH>
                <wp:positionV relativeFrom="paragraph">
                  <wp:posOffset>200025</wp:posOffset>
                </wp:positionV>
                <wp:extent cx="6187440" cy="2228850"/>
                <wp:effectExtent l="0" t="0" r="22860" b="19050"/>
                <wp:wrapNone/>
                <wp:docPr id="2" name="正方形/長方形 2" title="修繕・更新費の将来見通しの試算について示す"/>
                <wp:cNvGraphicFramePr/>
                <a:graphic xmlns:a="http://schemas.openxmlformats.org/drawingml/2006/main">
                  <a:graphicData uri="http://schemas.microsoft.com/office/word/2010/wordprocessingShape">
                    <wps:wsp>
                      <wps:cNvSpPr/>
                      <wps:spPr>
                        <a:xfrm>
                          <a:off x="0" y="0"/>
                          <a:ext cx="6187440" cy="2228850"/>
                        </a:xfrm>
                        <a:prstGeom prst="rect">
                          <a:avLst/>
                        </a:prstGeom>
                        <a:solidFill>
                          <a:sysClr val="window" lastClr="FFFFFF"/>
                        </a:solidFill>
                        <a:ln w="6350" cap="flat" cmpd="sng" algn="ctr">
                          <a:solidFill>
                            <a:sysClr val="windowText" lastClr="000000"/>
                          </a:solidFill>
                          <a:prstDash val="dash"/>
                        </a:ln>
                        <a:effectLst/>
                      </wps:spPr>
                      <wps:txbx>
                        <w:txbxContent>
                          <w:p w14:paraId="33311379" w14:textId="77777777" w:rsidR="00104FF5" w:rsidRPr="006265B5" w:rsidRDefault="00104FF5" w:rsidP="006265B5">
                            <w:pPr>
                              <w:spacing w:line="220" w:lineRule="exact"/>
                              <w:rPr>
                                <w:rFonts w:asciiTheme="majorEastAsia" w:eastAsiaTheme="majorEastAsia" w:hAnsiTheme="majorEastAsia"/>
                                <w:b/>
                                <w:sz w:val="18"/>
                                <w:szCs w:val="18"/>
                              </w:rPr>
                            </w:pPr>
                            <w:r w:rsidRPr="006265B5">
                              <w:rPr>
                                <w:rFonts w:asciiTheme="majorEastAsia" w:eastAsiaTheme="majorEastAsia" w:hAnsiTheme="majorEastAsia" w:hint="eastAsia"/>
                                <w:b/>
                                <w:sz w:val="18"/>
                                <w:szCs w:val="18"/>
                              </w:rPr>
                              <w:t>修繕・更新費の将来見通しの試算について</w:t>
                            </w:r>
                          </w:p>
                          <w:p w14:paraId="7CC4C712" w14:textId="660A3CD1" w:rsidR="00104FF5" w:rsidRPr="005479F0" w:rsidRDefault="00104FF5" w:rsidP="006265B5">
                            <w:pPr>
                              <w:spacing w:line="220" w:lineRule="exact"/>
                              <w:rPr>
                                <w:rFonts w:asciiTheme="majorEastAsia" w:eastAsiaTheme="majorEastAsia" w:hAnsiTheme="majorEastAsia"/>
                                <w:sz w:val="18"/>
                                <w:szCs w:val="18"/>
                              </w:rPr>
                            </w:pPr>
                            <w:r w:rsidRPr="005479F0">
                              <w:rPr>
                                <w:rFonts w:asciiTheme="majorEastAsia" w:eastAsiaTheme="majorEastAsia" w:hAnsiTheme="majorEastAsia" w:hint="eastAsia"/>
                                <w:sz w:val="18"/>
                                <w:szCs w:val="18"/>
                              </w:rPr>
                              <w:t>総務省の公共施設等更新費用試算ソフト</w:t>
                            </w:r>
                            <w:r w:rsidRPr="005479F0">
                              <w:rPr>
                                <w:rFonts w:asciiTheme="majorEastAsia" w:eastAsiaTheme="majorEastAsia" w:hAnsiTheme="majorEastAsia" w:hint="eastAsia"/>
                                <w:sz w:val="18"/>
                                <w:szCs w:val="18"/>
                                <w:vertAlign w:val="superscript"/>
                              </w:rPr>
                              <w:t>※１</w:t>
                            </w:r>
                            <w:r w:rsidRPr="005479F0">
                              <w:rPr>
                                <w:rFonts w:asciiTheme="majorEastAsia" w:eastAsiaTheme="majorEastAsia" w:hAnsiTheme="majorEastAsia" w:hint="eastAsia"/>
                                <w:sz w:val="18"/>
                                <w:szCs w:val="18"/>
                              </w:rPr>
                              <w:t>に準じて、以下の条件により試算した。</w:t>
                            </w:r>
                          </w:p>
                          <w:p w14:paraId="1B1AA643" w14:textId="74187992" w:rsidR="00104FF5" w:rsidRPr="004C1386" w:rsidRDefault="00104FF5"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rPr>
                              <w:t>建替え</w:t>
                            </w:r>
                            <w:r w:rsidRPr="004C1386">
                              <w:rPr>
                                <w:rFonts w:asciiTheme="majorEastAsia" w:eastAsiaTheme="majorEastAsia" w:hAnsiTheme="majorEastAsia" w:hint="eastAsia"/>
                                <w:sz w:val="18"/>
                                <w:szCs w:val="18"/>
                              </w:rPr>
                              <w:tab/>
                              <w:t>：建設時より５０年後に同面積で建替えを計上</w:t>
                            </w:r>
                          </w:p>
                          <w:p w14:paraId="550678A8" w14:textId="4A670EB7" w:rsidR="00104FF5" w:rsidRPr="004C1386" w:rsidRDefault="00104FF5"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fitText w:val="900" w:id="927631361"/>
                              </w:rPr>
                              <w:t>建替え均等</w:t>
                            </w:r>
                            <w:r w:rsidRPr="004C1386">
                              <w:rPr>
                                <w:rFonts w:asciiTheme="majorEastAsia" w:eastAsiaTheme="majorEastAsia" w:hAnsiTheme="majorEastAsia" w:hint="eastAsia"/>
                                <w:kern w:val="0"/>
                                <w:sz w:val="18"/>
                                <w:szCs w:val="18"/>
                              </w:rPr>
                              <w:t xml:space="preserve"> ：</w:t>
                            </w:r>
                            <w:r w:rsidRPr="004C1386">
                              <w:rPr>
                                <w:rFonts w:asciiTheme="majorEastAsia" w:eastAsiaTheme="majorEastAsia" w:hAnsiTheme="majorEastAsia" w:hint="eastAsia"/>
                                <w:sz w:val="18"/>
                                <w:szCs w:val="18"/>
                              </w:rPr>
                              <w:t>現時点で建設時より５０年経過のものは今後１０年間で均等に建替えを計上</w:t>
                            </w:r>
                          </w:p>
                          <w:p w14:paraId="744FAD41" w14:textId="77777777" w:rsidR="00104FF5" w:rsidRPr="004C1386" w:rsidRDefault="00104FF5" w:rsidP="002E5AC6">
                            <w:pPr>
                              <w:tabs>
                                <w:tab w:val="left" w:pos="1260"/>
                                <w:tab w:val="left" w:pos="2100"/>
                              </w:tabs>
                              <w:spacing w:line="220" w:lineRule="exact"/>
                              <w:ind w:leftChars="135" w:left="283" w:firstLineChars="700" w:firstLine="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（これらの施設については、２５年後に大規模改修を計上）</w:t>
                            </w:r>
                          </w:p>
                          <w:p w14:paraId="2415EDA2" w14:textId="6F952543" w:rsidR="00104FF5" w:rsidRPr="004C1386" w:rsidRDefault="00104FF5"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0332DD">
                              <w:rPr>
                                <w:rFonts w:asciiTheme="majorEastAsia" w:eastAsiaTheme="majorEastAsia" w:hAnsiTheme="majorEastAsia" w:hint="eastAsia"/>
                                <w:kern w:val="0"/>
                                <w:sz w:val="18"/>
                                <w:szCs w:val="18"/>
                                <w:fitText w:val="900" w:id="927631104"/>
                              </w:rPr>
                              <w:t>大規模改修</w:t>
                            </w:r>
                            <w:r w:rsidRPr="004C1386">
                              <w:rPr>
                                <w:rFonts w:asciiTheme="majorEastAsia" w:eastAsiaTheme="majorEastAsia" w:hAnsiTheme="majorEastAsia" w:hint="eastAsia"/>
                                <w:sz w:val="18"/>
                                <w:szCs w:val="18"/>
                              </w:rPr>
                              <w:tab/>
                              <w:t>：建設時より２５年後に大規模改修を計上</w:t>
                            </w:r>
                          </w:p>
                          <w:p w14:paraId="7F5A44DD" w14:textId="1BDF3BED" w:rsidR="00104FF5" w:rsidRPr="004C1386" w:rsidRDefault="00104FF5" w:rsidP="002E5AC6">
                            <w:pPr>
                              <w:tabs>
                                <w:tab w:val="left" w:pos="1260"/>
                                <w:tab w:val="left" w:pos="2100"/>
                              </w:tabs>
                              <w:spacing w:line="220" w:lineRule="exact"/>
                              <w:ind w:leftChars="135" w:left="1543" w:hangingChars="700" w:hanging="1260"/>
                              <w:jc w:val="left"/>
                              <w:rPr>
                                <w:rFonts w:asciiTheme="majorEastAsia" w:eastAsiaTheme="majorEastAsia" w:hAnsiTheme="majorEastAsia"/>
                                <w:sz w:val="18"/>
                                <w:szCs w:val="18"/>
                              </w:rPr>
                            </w:pPr>
                            <w:r w:rsidRPr="000332DD">
                              <w:rPr>
                                <w:rFonts w:asciiTheme="majorEastAsia" w:eastAsiaTheme="majorEastAsia" w:hAnsiTheme="majorEastAsia" w:hint="eastAsia"/>
                                <w:kern w:val="0"/>
                                <w:sz w:val="18"/>
                                <w:szCs w:val="18"/>
                                <w:fitText w:val="900" w:id="927631360"/>
                              </w:rPr>
                              <w:t>大規模均等</w:t>
                            </w:r>
                            <w:r w:rsidRPr="004C1386">
                              <w:rPr>
                                <w:rFonts w:asciiTheme="majorEastAsia" w:eastAsiaTheme="majorEastAsia" w:hAnsiTheme="majorEastAsia" w:hint="eastAsia"/>
                                <w:kern w:val="0"/>
                                <w:sz w:val="18"/>
                                <w:szCs w:val="18"/>
                              </w:rPr>
                              <w:tab/>
                              <w:t>：</w:t>
                            </w:r>
                            <w:r w:rsidRPr="004C1386">
                              <w:rPr>
                                <w:rFonts w:asciiTheme="majorEastAsia" w:eastAsiaTheme="majorEastAsia" w:hAnsiTheme="majorEastAsia" w:hint="eastAsia"/>
                                <w:sz w:val="18"/>
                                <w:szCs w:val="18"/>
                              </w:rPr>
                              <w:t>①現時点で建設時より２６年以上、４０年未満の施設については、今後１０年間で均等に大規模改修を計上（これらの施設については、建設年から５０年後に建替経費を計上）</w:t>
                            </w:r>
                          </w:p>
                          <w:p w14:paraId="4510C839" w14:textId="19B89CE5" w:rsidR="00104FF5" w:rsidRPr="004C1386" w:rsidRDefault="00104FF5" w:rsidP="002E5AC6">
                            <w:pPr>
                              <w:tabs>
                                <w:tab w:val="left" w:pos="1440"/>
                                <w:tab w:val="left" w:pos="147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ab/>
                              <w:t>②現時点で建設時より４０年以上経過しているものは、大規模改修は計上しない</w:t>
                            </w:r>
                          </w:p>
                          <w:p w14:paraId="740A2EBC" w14:textId="38253341" w:rsidR="00104FF5" w:rsidRPr="004C1386" w:rsidRDefault="00104FF5"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修　　　繕</w:t>
                            </w:r>
                            <w:r w:rsidRPr="004C1386">
                              <w:rPr>
                                <w:rFonts w:asciiTheme="majorEastAsia" w:eastAsiaTheme="majorEastAsia" w:hAnsiTheme="majorEastAsia" w:hint="eastAsia"/>
                                <w:sz w:val="18"/>
                                <w:szCs w:val="18"/>
                              </w:rPr>
                              <w:tab/>
                              <w:t>：建替経費の０．２</w:t>
                            </w:r>
                            <w:r>
                              <w:rPr>
                                <w:rFonts w:asciiTheme="majorEastAsia" w:eastAsiaTheme="majorEastAsia" w:hAnsiTheme="majorEastAsia" w:hint="eastAsia"/>
                                <w:sz w:val="18"/>
                                <w:szCs w:val="18"/>
                              </w:rPr>
                              <w:t>パーセント</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相当を毎年、日常修繕費として計上</w:t>
                            </w:r>
                          </w:p>
                          <w:p w14:paraId="3151D912" w14:textId="77777777" w:rsidR="00104FF5" w:rsidRPr="004C1386" w:rsidRDefault="00104FF5" w:rsidP="002E5AC6">
                            <w:pPr>
                              <w:spacing w:line="220" w:lineRule="exact"/>
                              <w:ind w:left="180" w:firstLine="1"/>
                              <w:rPr>
                                <w:rFonts w:asciiTheme="majorEastAsia" w:eastAsiaTheme="majorEastAsia" w:hAnsiTheme="majorEastAsia"/>
                                <w:sz w:val="18"/>
                                <w:szCs w:val="18"/>
                              </w:rPr>
                            </w:pPr>
                          </w:p>
                          <w:p w14:paraId="7E2E2F59" w14:textId="6DC50C69" w:rsidR="00104FF5" w:rsidRPr="004C1386" w:rsidRDefault="00104FF5" w:rsidP="006265B5">
                            <w:pPr>
                              <w:spacing w:line="220" w:lineRule="exact"/>
                              <w:ind w:left="180" w:hangingChars="100" w:hanging="18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※１　建替え及び大規模改修単価については総務省設定単価を適用</w:t>
                            </w:r>
                          </w:p>
                          <w:p w14:paraId="45AFE80B" w14:textId="16B31B4E" w:rsidR="00104FF5" w:rsidRPr="004C1386" w:rsidRDefault="00104FF5" w:rsidP="00123751">
                            <w:pPr>
                              <w:spacing w:line="22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※２　平成１７年度版　建築物のライフサイクルコスト（国土交通省大臣官房官庁営繕部監修、財団法人建築保全センター編）を参考</w:t>
                            </w:r>
                          </w:p>
                          <w:p w14:paraId="05BCD15E" w14:textId="60359461" w:rsidR="00104FF5" w:rsidRPr="005479F0" w:rsidRDefault="00104FF5" w:rsidP="00730649">
                            <w:pPr>
                              <w:spacing w:line="220" w:lineRule="exac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注）改修予定のものについても上記考え方に基づき試算</w:t>
                            </w:r>
                            <w:r w:rsidRPr="005479F0">
                              <w:rPr>
                                <w:rFonts w:asciiTheme="majorEastAsia" w:eastAsiaTheme="majorEastAsia" w:hAnsiTheme="majorEastAsia" w:hint="eastAsia"/>
                                <w:sz w:val="18"/>
                                <w:szCs w:val="18"/>
                              </w:rPr>
                              <w:t>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55023" id="正方形/長方形 2" o:spid="_x0000_s1035" alt="タイトル: 修繕・更新費の将来見通しの試算について示す" style="position:absolute;margin-left:8.25pt;margin-top:15.75pt;width:487.2pt;height:17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" fillcolor="window" strokecolor="windowText" strokeweight=".5pt">
                <v:stroke dashstyle="dash"/>
                <v:textbox>
                  <w:txbxContent>
                    <w:p w14:paraId="33311379" w14:textId="77777777" w:rsidR="00104FF5" w:rsidRPr="006265B5" w:rsidRDefault="00104FF5" w:rsidP="006265B5">
                      <w:pPr>
                        <w:spacing w:line="220" w:lineRule="exact"/>
                        <w:rPr>
                          <w:rFonts w:asciiTheme="majorEastAsia" w:eastAsiaTheme="majorEastAsia" w:hAnsiTheme="majorEastAsia"/>
                          <w:b/>
                          <w:sz w:val="18"/>
                          <w:szCs w:val="18"/>
                        </w:rPr>
                      </w:pPr>
                      <w:r w:rsidRPr="006265B5">
                        <w:rPr>
                          <w:rFonts w:asciiTheme="majorEastAsia" w:eastAsiaTheme="majorEastAsia" w:hAnsiTheme="majorEastAsia" w:hint="eastAsia"/>
                          <w:b/>
                          <w:sz w:val="18"/>
                          <w:szCs w:val="18"/>
                        </w:rPr>
                        <w:t>修繕・更新費の将来見通しの試算について</w:t>
                      </w:r>
                    </w:p>
                    <w:p w14:paraId="7CC4C712" w14:textId="660A3CD1" w:rsidR="00104FF5" w:rsidRPr="005479F0" w:rsidRDefault="00104FF5" w:rsidP="006265B5">
                      <w:pPr>
                        <w:spacing w:line="220" w:lineRule="exact"/>
                        <w:rPr>
                          <w:rFonts w:asciiTheme="majorEastAsia" w:eastAsiaTheme="majorEastAsia" w:hAnsiTheme="majorEastAsia"/>
                          <w:sz w:val="18"/>
                          <w:szCs w:val="18"/>
                        </w:rPr>
                      </w:pPr>
                      <w:r w:rsidRPr="005479F0">
                        <w:rPr>
                          <w:rFonts w:asciiTheme="majorEastAsia" w:eastAsiaTheme="majorEastAsia" w:hAnsiTheme="majorEastAsia" w:hint="eastAsia"/>
                          <w:sz w:val="18"/>
                          <w:szCs w:val="18"/>
                        </w:rPr>
                        <w:t>総務省の公共施設等更新費用試算ソフト</w:t>
                      </w:r>
                      <w:r w:rsidRPr="005479F0">
                        <w:rPr>
                          <w:rFonts w:asciiTheme="majorEastAsia" w:eastAsiaTheme="majorEastAsia" w:hAnsiTheme="majorEastAsia" w:hint="eastAsia"/>
                          <w:sz w:val="18"/>
                          <w:szCs w:val="18"/>
                          <w:vertAlign w:val="superscript"/>
                        </w:rPr>
                        <w:t>※１</w:t>
                      </w:r>
                      <w:r w:rsidRPr="005479F0">
                        <w:rPr>
                          <w:rFonts w:asciiTheme="majorEastAsia" w:eastAsiaTheme="majorEastAsia" w:hAnsiTheme="majorEastAsia" w:hint="eastAsia"/>
                          <w:sz w:val="18"/>
                          <w:szCs w:val="18"/>
                        </w:rPr>
                        <w:t>に準じて、以下の条件により試算した。</w:t>
                      </w:r>
                    </w:p>
                    <w:p w14:paraId="1B1AA643" w14:textId="74187992" w:rsidR="00104FF5" w:rsidRPr="004C1386" w:rsidRDefault="00104FF5"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rPr>
                        <w:t>建替え</w:t>
                      </w:r>
                      <w:r w:rsidRPr="004C1386">
                        <w:rPr>
                          <w:rFonts w:asciiTheme="majorEastAsia" w:eastAsiaTheme="majorEastAsia" w:hAnsiTheme="majorEastAsia" w:hint="eastAsia"/>
                          <w:sz w:val="18"/>
                          <w:szCs w:val="18"/>
                        </w:rPr>
                        <w:tab/>
                        <w:t>：建設時より５０年後に同面積で建替えを計上</w:t>
                      </w:r>
                    </w:p>
                    <w:p w14:paraId="550678A8" w14:textId="4A670EB7" w:rsidR="00104FF5" w:rsidRPr="004C1386" w:rsidRDefault="00104FF5"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kern w:val="0"/>
                          <w:sz w:val="18"/>
                          <w:szCs w:val="18"/>
                          <w:fitText w:val="900" w:id="927631361"/>
                        </w:rPr>
                        <w:t>建替え均等</w:t>
                      </w:r>
                      <w:r w:rsidRPr="004C1386">
                        <w:rPr>
                          <w:rFonts w:asciiTheme="majorEastAsia" w:eastAsiaTheme="majorEastAsia" w:hAnsiTheme="majorEastAsia" w:hint="eastAsia"/>
                          <w:kern w:val="0"/>
                          <w:sz w:val="18"/>
                          <w:szCs w:val="18"/>
                        </w:rPr>
                        <w:t xml:space="preserve"> ：</w:t>
                      </w:r>
                      <w:r w:rsidRPr="004C1386">
                        <w:rPr>
                          <w:rFonts w:asciiTheme="majorEastAsia" w:eastAsiaTheme="majorEastAsia" w:hAnsiTheme="majorEastAsia" w:hint="eastAsia"/>
                          <w:sz w:val="18"/>
                          <w:szCs w:val="18"/>
                        </w:rPr>
                        <w:t>現時点で建設時より５０年経過のものは今後１０年間で均等に建替えを計上</w:t>
                      </w:r>
                    </w:p>
                    <w:p w14:paraId="744FAD41" w14:textId="77777777" w:rsidR="00104FF5" w:rsidRPr="004C1386" w:rsidRDefault="00104FF5" w:rsidP="002E5AC6">
                      <w:pPr>
                        <w:tabs>
                          <w:tab w:val="left" w:pos="1260"/>
                          <w:tab w:val="left" w:pos="2100"/>
                        </w:tabs>
                        <w:spacing w:line="220" w:lineRule="exact"/>
                        <w:ind w:leftChars="135" w:left="283" w:firstLineChars="700" w:firstLine="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（これらの施設については、２５年後に大規模改修を計上）</w:t>
                      </w:r>
                    </w:p>
                    <w:p w14:paraId="2415EDA2" w14:textId="6F952543" w:rsidR="00104FF5" w:rsidRPr="004C1386" w:rsidRDefault="00104FF5"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0332DD">
                        <w:rPr>
                          <w:rFonts w:asciiTheme="majorEastAsia" w:eastAsiaTheme="majorEastAsia" w:hAnsiTheme="majorEastAsia" w:hint="eastAsia"/>
                          <w:kern w:val="0"/>
                          <w:sz w:val="18"/>
                          <w:szCs w:val="18"/>
                          <w:fitText w:val="900" w:id="927631104"/>
                        </w:rPr>
                        <w:t>大規模改修</w:t>
                      </w:r>
                      <w:r w:rsidRPr="004C1386">
                        <w:rPr>
                          <w:rFonts w:asciiTheme="majorEastAsia" w:eastAsiaTheme="majorEastAsia" w:hAnsiTheme="majorEastAsia" w:hint="eastAsia"/>
                          <w:sz w:val="18"/>
                          <w:szCs w:val="18"/>
                        </w:rPr>
                        <w:tab/>
                        <w:t>：建設時より２５年後に大規模改修を計上</w:t>
                      </w:r>
                    </w:p>
                    <w:p w14:paraId="7F5A44DD" w14:textId="1BDF3BED" w:rsidR="00104FF5" w:rsidRPr="004C1386" w:rsidRDefault="00104FF5" w:rsidP="002E5AC6">
                      <w:pPr>
                        <w:tabs>
                          <w:tab w:val="left" w:pos="1260"/>
                          <w:tab w:val="left" w:pos="2100"/>
                        </w:tabs>
                        <w:spacing w:line="220" w:lineRule="exact"/>
                        <w:ind w:leftChars="135" w:left="1543" w:hangingChars="700" w:hanging="1260"/>
                        <w:jc w:val="left"/>
                        <w:rPr>
                          <w:rFonts w:asciiTheme="majorEastAsia" w:eastAsiaTheme="majorEastAsia" w:hAnsiTheme="majorEastAsia"/>
                          <w:sz w:val="18"/>
                          <w:szCs w:val="18"/>
                        </w:rPr>
                      </w:pPr>
                      <w:r w:rsidRPr="000332DD">
                        <w:rPr>
                          <w:rFonts w:asciiTheme="majorEastAsia" w:eastAsiaTheme="majorEastAsia" w:hAnsiTheme="majorEastAsia" w:hint="eastAsia"/>
                          <w:kern w:val="0"/>
                          <w:sz w:val="18"/>
                          <w:szCs w:val="18"/>
                          <w:fitText w:val="900" w:id="927631360"/>
                        </w:rPr>
                        <w:t>大規模均等</w:t>
                      </w:r>
                      <w:r w:rsidRPr="004C1386">
                        <w:rPr>
                          <w:rFonts w:asciiTheme="majorEastAsia" w:eastAsiaTheme="majorEastAsia" w:hAnsiTheme="majorEastAsia" w:hint="eastAsia"/>
                          <w:kern w:val="0"/>
                          <w:sz w:val="18"/>
                          <w:szCs w:val="18"/>
                        </w:rPr>
                        <w:tab/>
                        <w:t>：</w:t>
                      </w:r>
                      <w:r w:rsidRPr="004C1386">
                        <w:rPr>
                          <w:rFonts w:asciiTheme="majorEastAsia" w:eastAsiaTheme="majorEastAsia" w:hAnsiTheme="majorEastAsia" w:hint="eastAsia"/>
                          <w:sz w:val="18"/>
                          <w:szCs w:val="18"/>
                        </w:rPr>
                        <w:t>①現時点で建設時より２６年以上、４０年未満の施設については、今後１０年間で均等に大規模改修を計上（これらの施設については、建設年から５０年後に建替経費を計上）</w:t>
                      </w:r>
                    </w:p>
                    <w:p w14:paraId="4510C839" w14:textId="19B89CE5" w:rsidR="00104FF5" w:rsidRPr="004C1386" w:rsidRDefault="00104FF5" w:rsidP="002E5AC6">
                      <w:pPr>
                        <w:tabs>
                          <w:tab w:val="left" w:pos="1440"/>
                          <w:tab w:val="left" w:pos="147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ab/>
                        <w:t>②現時点で建設時より４０年以上経過しているものは、大規模改修は計上しない</w:t>
                      </w:r>
                    </w:p>
                    <w:p w14:paraId="740A2EBC" w14:textId="38253341" w:rsidR="00104FF5" w:rsidRPr="004C1386" w:rsidRDefault="00104FF5" w:rsidP="002E5AC6">
                      <w:pPr>
                        <w:tabs>
                          <w:tab w:val="left" w:pos="1260"/>
                          <w:tab w:val="left" w:pos="2100"/>
                        </w:tabs>
                        <w:spacing w:line="22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修　　　繕</w:t>
                      </w:r>
                      <w:r w:rsidRPr="004C1386">
                        <w:rPr>
                          <w:rFonts w:asciiTheme="majorEastAsia" w:eastAsiaTheme="majorEastAsia" w:hAnsiTheme="majorEastAsia" w:hint="eastAsia"/>
                          <w:sz w:val="18"/>
                          <w:szCs w:val="18"/>
                        </w:rPr>
                        <w:tab/>
                        <w:t>：建替経費の０．２</w:t>
                      </w:r>
                      <w:r>
                        <w:rPr>
                          <w:rFonts w:asciiTheme="majorEastAsia" w:eastAsiaTheme="majorEastAsia" w:hAnsiTheme="majorEastAsia" w:hint="eastAsia"/>
                          <w:sz w:val="18"/>
                          <w:szCs w:val="18"/>
                        </w:rPr>
                        <w:t>パーセント</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相当を毎年、日常修繕費として計上</w:t>
                      </w:r>
                    </w:p>
                    <w:p w14:paraId="3151D912" w14:textId="77777777" w:rsidR="00104FF5" w:rsidRPr="004C1386" w:rsidRDefault="00104FF5" w:rsidP="002E5AC6">
                      <w:pPr>
                        <w:spacing w:line="220" w:lineRule="exact"/>
                        <w:ind w:left="180" w:firstLine="1"/>
                        <w:rPr>
                          <w:rFonts w:asciiTheme="majorEastAsia" w:eastAsiaTheme="majorEastAsia" w:hAnsiTheme="majorEastAsia"/>
                          <w:sz w:val="18"/>
                          <w:szCs w:val="18"/>
                        </w:rPr>
                      </w:pPr>
                    </w:p>
                    <w:p w14:paraId="7E2E2F59" w14:textId="6DC50C69" w:rsidR="00104FF5" w:rsidRPr="004C1386" w:rsidRDefault="00104FF5" w:rsidP="006265B5">
                      <w:pPr>
                        <w:spacing w:line="220" w:lineRule="exact"/>
                        <w:ind w:left="180" w:hangingChars="100" w:hanging="18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※１　建替え及び大規模改修単価については総務省設定単価を適用</w:t>
                      </w:r>
                    </w:p>
                    <w:p w14:paraId="45AFE80B" w14:textId="16B31B4E" w:rsidR="00104FF5" w:rsidRPr="004C1386" w:rsidRDefault="00104FF5" w:rsidP="00123751">
                      <w:pPr>
                        <w:spacing w:line="22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※２　平成１７年度版　建築物のライフサイクルコスト（国土交通省大臣官房官庁営繕部監修、財団法人建築保全センター編）を参考</w:t>
                      </w:r>
                    </w:p>
                    <w:p w14:paraId="05BCD15E" w14:textId="60359461" w:rsidR="00104FF5" w:rsidRPr="005479F0" w:rsidRDefault="00104FF5" w:rsidP="00730649">
                      <w:pPr>
                        <w:spacing w:line="220" w:lineRule="exac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注）改修予定のものについても上記考え方に基づき試算</w:t>
                      </w:r>
                      <w:r w:rsidRPr="005479F0">
                        <w:rPr>
                          <w:rFonts w:asciiTheme="majorEastAsia" w:eastAsiaTheme="majorEastAsia" w:hAnsiTheme="majorEastAsia" w:hint="eastAsia"/>
                          <w:sz w:val="18"/>
                          <w:szCs w:val="18"/>
                        </w:rPr>
                        <w:t>している。</w:t>
                      </w:r>
                    </w:p>
                  </w:txbxContent>
                </v:textbox>
              </v:rect>
            </w:pict>
          </mc:Fallback>
        </mc:AlternateContent>
      </w:r>
      <w:r w:rsidR="00E24449" w:rsidRPr="004C1386">
        <w:rPr>
          <w:rFonts w:ascii="ＭＳ ゴシック" w:eastAsia="ＭＳ ゴシック" w:hAnsi="ＭＳ ゴシック" w:hint="eastAsia"/>
          <w:sz w:val="24"/>
          <w:szCs w:val="24"/>
        </w:rPr>
        <w:t xml:space="preserve">　　</w:t>
      </w:r>
    </w:p>
    <w:p w14:paraId="75355E76" w14:textId="15A0B789" w:rsidR="00E24449" w:rsidRPr="004C1386" w:rsidRDefault="00E24449" w:rsidP="004652AE">
      <w:pPr>
        <w:widowControl/>
        <w:ind w:left="1020" w:firstLineChars="100" w:firstLine="240"/>
        <w:jc w:val="left"/>
        <w:rPr>
          <w:rFonts w:ascii="ＭＳ ゴシック" w:eastAsia="ＭＳ ゴシック" w:hAnsi="ＭＳ ゴシック"/>
          <w:sz w:val="24"/>
          <w:szCs w:val="24"/>
        </w:rPr>
      </w:pPr>
    </w:p>
    <w:p w14:paraId="1B75CE7A" w14:textId="51ADB51F" w:rsidR="00E24449" w:rsidRPr="004C1386" w:rsidRDefault="000332DD" w:rsidP="00E24449">
      <w:pPr>
        <w:widowControl/>
        <w:ind w:left="102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51424" behindDoc="0" locked="0" layoutInCell="1" allowOverlap="1" wp14:anchorId="374B7751" wp14:editId="00EA487E">
                <wp:simplePos x="0" y="0"/>
                <wp:positionH relativeFrom="column">
                  <wp:posOffset>267970</wp:posOffset>
                </wp:positionH>
                <wp:positionV relativeFrom="paragraph">
                  <wp:posOffset>124048</wp:posOffset>
                </wp:positionV>
                <wp:extent cx="94615" cy="94615"/>
                <wp:effectExtent l="0" t="0" r="19685" b="19685"/>
                <wp:wrapNone/>
                <wp:docPr id="54" name="正方形/長方形 54"/>
                <wp:cNvGraphicFramePr/>
                <a:graphic xmlns:a="http://schemas.openxmlformats.org/drawingml/2006/main">
                  <a:graphicData uri="http://schemas.microsoft.com/office/word/2010/wordprocessingShape">
                    <wps:wsp>
                      <wps:cNvSpPr/>
                      <wps:spPr>
                        <a:xfrm>
                          <a:off x="0" y="0"/>
                          <a:ext cx="94615" cy="94615"/>
                        </a:xfrm>
                        <a:prstGeom prst="rect">
                          <a:avLst/>
                        </a:prstGeom>
                        <a:pattFill prst="pct5">
                          <a:fgClr>
                            <a:sysClr val="windowText" lastClr="000000"/>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436E6" id="正方形/長方形 54" o:spid="_x0000_s1026" style="position:absolute;left:0;text-align:left;margin-left:21.1pt;margin-top:9.75pt;width:7.45pt;height:7.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" fillcolor="windowText" strokecolor="windowText" strokeweight="1pt">
                <v:fill r:id="rId27" o:title="" color2="window" type="pattern"/>
              </v:rect>
            </w:pict>
          </mc:Fallback>
        </mc:AlternateContent>
      </w:r>
    </w:p>
    <w:p w14:paraId="117EF0AB" w14:textId="0C2E6E70" w:rsidR="00E24449" w:rsidRPr="004C1386" w:rsidRDefault="000332DD" w:rsidP="00E24449">
      <w:pPr>
        <w:widowControl/>
        <w:ind w:left="102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52448" behindDoc="0" locked="0" layoutInCell="1" allowOverlap="1" wp14:anchorId="10369883" wp14:editId="36EBB8FB">
                <wp:simplePos x="0" y="0"/>
                <wp:positionH relativeFrom="column">
                  <wp:posOffset>263525</wp:posOffset>
                </wp:positionH>
                <wp:positionV relativeFrom="paragraph">
                  <wp:posOffset>35148</wp:posOffset>
                </wp:positionV>
                <wp:extent cx="94615" cy="94615"/>
                <wp:effectExtent l="0" t="0" r="19685" b="19685"/>
                <wp:wrapNone/>
                <wp:docPr id="55" name="正方形/長方形 55"/>
                <wp:cNvGraphicFramePr/>
                <a:graphic xmlns:a="http://schemas.openxmlformats.org/drawingml/2006/main">
                  <a:graphicData uri="http://schemas.microsoft.com/office/word/2010/wordprocessingShape">
                    <wps:wsp>
                      <wps:cNvSpPr/>
                      <wps:spPr>
                        <a:xfrm>
                          <a:off x="0" y="0"/>
                          <a:ext cx="94615" cy="94615"/>
                        </a:xfrm>
                        <a:prstGeom prst="rect">
                          <a:avLst/>
                        </a:prstGeom>
                        <a:pattFill prst="ltUpDiag">
                          <a:fgClr>
                            <a:sysClr val="windowText" lastClr="000000"/>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B7E13" id="正方形/長方形 55" o:spid="_x0000_s1026" style="position:absolute;left:0;text-align:left;margin-left:20.75pt;margin-top:2.75pt;width:7.45pt;height:7.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" fillcolor="windowText" strokecolor="windowText" strokeweight="1pt">
                <v:fill r:id="rId28" o:title="" color2="window" type="pattern"/>
              </v:rect>
            </w:pict>
          </mc:Fallback>
        </mc:AlternateContent>
      </w:r>
    </w:p>
    <w:p w14:paraId="4DE39B80" w14:textId="5517C242" w:rsidR="00E24449" w:rsidRPr="004C1386" w:rsidRDefault="000332DD" w:rsidP="00E24449">
      <w:pPr>
        <w:widowControl/>
        <w:ind w:left="102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53472" behindDoc="0" locked="0" layoutInCell="1" allowOverlap="1" wp14:anchorId="339B75AF" wp14:editId="0C24394C">
                <wp:simplePos x="0" y="0"/>
                <wp:positionH relativeFrom="column">
                  <wp:posOffset>262890</wp:posOffset>
                </wp:positionH>
                <wp:positionV relativeFrom="paragraph">
                  <wp:posOffset>87218</wp:posOffset>
                </wp:positionV>
                <wp:extent cx="94615" cy="94615"/>
                <wp:effectExtent l="0" t="0" r="19685" b="19685"/>
                <wp:wrapNone/>
                <wp:docPr id="56" name="正方形/長方形 56"/>
                <wp:cNvGraphicFramePr/>
                <a:graphic xmlns:a="http://schemas.openxmlformats.org/drawingml/2006/main">
                  <a:graphicData uri="http://schemas.microsoft.com/office/word/2010/wordprocessingShape">
                    <wps:wsp>
                      <wps:cNvSpPr/>
                      <wps:spPr>
                        <a:xfrm>
                          <a:off x="0" y="0"/>
                          <a:ext cx="94615" cy="94615"/>
                        </a:xfrm>
                        <a:prstGeom prst="rect">
                          <a:avLst/>
                        </a:prstGeom>
                        <a:pattFill prst="pct25">
                          <a:fgClr>
                            <a:sysClr val="windowText" lastClr="000000"/>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3E192" id="正方形/長方形 56" o:spid="_x0000_s1026" style="position:absolute;left:0;text-align:left;margin-left:20.7pt;margin-top:6.85pt;width:7.45pt;height:7.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" fillcolor="windowText" strokecolor="windowText" strokeweight="1pt">
                <v:fill r:id="rId29" o:title="" color2="window" type="pattern"/>
              </v:rect>
            </w:pict>
          </mc:Fallback>
        </mc:AlternateContent>
      </w:r>
    </w:p>
    <w:p w14:paraId="2FD14D00" w14:textId="0B842F0D" w:rsidR="00E24449" w:rsidRPr="004C1386" w:rsidRDefault="000332DD" w:rsidP="00E24449">
      <w:pPr>
        <w:widowControl/>
        <w:ind w:left="102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54496" behindDoc="0" locked="0" layoutInCell="1" allowOverlap="1" wp14:anchorId="5AB016C1" wp14:editId="64B6DBD1">
                <wp:simplePos x="0" y="0"/>
                <wp:positionH relativeFrom="column">
                  <wp:posOffset>267970</wp:posOffset>
                </wp:positionH>
                <wp:positionV relativeFrom="paragraph">
                  <wp:posOffset>3175</wp:posOffset>
                </wp:positionV>
                <wp:extent cx="94615" cy="94615"/>
                <wp:effectExtent l="0" t="0" r="19685" b="19685"/>
                <wp:wrapNone/>
                <wp:docPr id="57" name="正方形/長方形 57"/>
                <wp:cNvGraphicFramePr/>
                <a:graphic xmlns:a="http://schemas.openxmlformats.org/drawingml/2006/main">
                  <a:graphicData uri="http://schemas.microsoft.com/office/word/2010/wordprocessingShape">
                    <wps:wsp>
                      <wps:cNvSpPr/>
                      <wps:spPr>
                        <a:xfrm>
                          <a:off x="0" y="0"/>
                          <a:ext cx="94615" cy="94615"/>
                        </a:xfrm>
                        <a:prstGeom prst="rect">
                          <a:avLst/>
                        </a:prstGeom>
                        <a:pattFill prst="smGrid">
                          <a:fgClr>
                            <a:sysClr val="windowText" lastClr="000000"/>
                          </a:fgClr>
                          <a:bgClr>
                            <a:sysClr val="window" lastClr="FFFFFF"/>
                          </a:bgClr>
                        </a:patt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95A1B" id="正方形/長方形 57" o:spid="_x0000_s1026" style="position:absolute;left:0;text-align:left;margin-left:21.1pt;margin-top:.25pt;width:7.45pt;height:7.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" fillcolor="windowText" strokecolor="windowText" strokeweight="1pt">
                <v:fill r:id="rId30" o:title="" color2="window" type="pattern"/>
              </v:rect>
            </w:pict>
          </mc:Fallback>
        </mc:AlternateContent>
      </w:r>
    </w:p>
    <w:p w14:paraId="6D81BAE2" w14:textId="11278421" w:rsidR="00017535" w:rsidRPr="004C1386" w:rsidRDefault="00A70144" w:rsidP="00E24449">
      <w:pPr>
        <w:widowControl/>
        <w:ind w:left="102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755520" behindDoc="0" locked="0" layoutInCell="1" allowOverlap="1" wp14:anchorId="4FC143C5" wp14:editId="561BDE81">
                <wp:simplePos x="0" y="0"/>
                <wp:positionH relativeFrom="column">
                  <wp:posOffset>260198</wp:posOffset>
                </wp:positionH>
                <wp:positionV relativeFrom="paragraph">
                  <wp:posOffset>178615</wp:posOffset>
                </wp:positionV>
                <wp:extent cx="94615" cy="94615"/>
                <wp:effectExtent l="0" t="0" r="19685" b="19685"/>
                <wp:wrapNone/>
                <wp:docPr id="58" name="正方形/長方形 58"/>
                <wp:cNvGraphicFramePr/>
                <a:graphic xmlns:a="http://schemas.openxmlformats.org/drawingml/2006/main">
                  <a:graphicData uri="http://schemas.microsoft.com/office/word/2010/wordprocessingShape">
                    <wps:wsp>
                      <wps:cNvSpPr/>
                      <wps:spPr>
                        <a:xfrm>
                          <a:off x="0" y="0"/>
                          <a:ext cx="94615" cy="94615"/>
                        </a:xfrm>
                        <a:prstGeom prst="rect">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7321E" id="正方形/長方形 58" o:spid="_x0000_s1026" style="position:absolute;left:0;text-align:left;margin-left:20.5pt;margin-top:14.05pt;width:7.45pt;height:7.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" fillcolor="windowText" strokecolor="windowText" strokeweight="1pt"/>
            </w:pict>
          </mc:Fallback>
        </mc:AlternateContent>
      </w:r>
    </w:p>
    <w:p w14:paraId="24EB6E48" w14:textId="77777777" w:rsidR="00017535" w:rsidRPr="004C1386" w:rsidRDefault="00017535" w:rsidP="00E24449">
      <w:pPr>
        <w:widowControl/>
        <w:ind w:left="1020" w:firstLineChars="100" w:firstLine="240"/>
        <w:jc w:val="left"/>
        <w:rPr>
          <w:rFonts w:ascii="ＭＳ ゴシック" w:eastAsia="ＭＳ ゴシック" w:hAnsi="ＭＳ ゴシック"/>
          <w:sz w:val="24"/>
          <w:szCs w:val="24"/>
        </w:rPr>
      </w:pPr>
    </w:p>
    <w:p w14:paraId="76F2957F" w14:textId="77777777" w:rsidR="00017535" w:rsidRPr="004C1386" w:rsidRDefault="00017535" w:rsidP="00E24449">
      <w:pPr>
        <w:widowControl/>
        <w:ind w:left="1020" w:firstLineChars="100" w:firstLine="240"/>
        <w:jc w:val="left"/>
        <w:rPr>
          <w:rFonts w:ascii="ＭＳ ゴシック" w:eastAsia="ＭＳ ゴシック" w:hAnsi="ＭＳ ゴシック"/>
          <w:sz w:val="24"/>
          <w:szCs w:val="24"/>
        </w:rPr>
      </w:pPr>
    </w:p>
    <w:p w14:paraId="5472BC95" w14:textId="77777777" w:rsidR="006265B5" w:rsidRPr="004C1386" w:rsidRDefault="006265B5" w:rsidP="00E24449">
      <w:pPr>
        <w:widowControl/>
        <w:ind w:left="1020" w:firstLineChars="100" w:firstLine="240"/>
        <w:jc w:val="left"/>
        <w:rPr>
          <w:rFonts w:ascii="ＭＳ ゴシック" w:eastAsia="ＭＳ ゴシック" w:hAnsi="ＭＳ ゴシック"/>
          <w:sz w:val="24"/>
          <w:szCs w:val="24"/>
        </w:rPr>
      </w:pPr>
    </w:p>
    <w:p w14:paraId="499EFE90" w14:textId="4307C548" w:rsidR="00E31556" w:rsidRPr="004C1386" w:rsidRDefault="00E31556" w:rsidP="00E24449">
      <w:pPr>
        <w:widowControl/>
        <w:ind w:left="1020" w:firstLineChars="100" w:firstLine="240"/>
        <w:jc w:val="left"/>
        <w:rPr>
          <w:rFonts w:ascii="ＭＳ ゴシック" w:eastAsia="ＭＳ ゴシック" w:hAnsi="ＭＳ ゴシック"/>
          <w:sz w:val="24"/>
          <w:szCs w:val="24"/>
        </w:rPr>
      </w:pPr>
    </w:p>
    <w:p w14:paraId="45E305D7" w14:textId="77777777" w:rsidR="009B02A7" w:rsidRDefault="009B02A7" w:rsidP="009B02A7">
      <w:pPr>
        <w:widowControl/>
        <w:jc w:val="left"/>
        <w:rPr>
          <w:rFonts w:ascii="ＭＳ ゴシック" w:eastAsia="ＭＳ ゴシック" w:hAnsi="ＭＳ ゴシック"/>
          <w:sz w:val="24"/>
          <w:szCs w:val="24"/>
        </w:rPr>
      </w:pPr>
    </w:p>
    <w:p w14:paraId="45F3F586" w14:textId="77777777" w:rsidR="009B02A7" w:rsidRDefault="009B02A7" w:rsidP="009B02A7">
      <w:pPr>
        <w:widowControl/>
        <w:jc w:val="left"/>
        <w:rPr>
          <w:rFonts w:ascii="ＭＳ ゴシック" w:eastAsia="ＭＳ ゴシック" w:hAnsi="ＭＳ ゴシック"/>
          <w:sz w:val="24"/>
          <w:szCs w:val="24"/>
        </w:rPr>
      </w:pPr>
    </w:p>
    <w:p w14:paraId="1B11AC52" w14:textId="69E1ACDD" w:rsidR="00E24449" w:rsidRPr="004C1386" w:rsidRDefault="00E24449" w:rsidP="009B02A7">
      <w:pPr>
        <w:widowControl/>
        <w:ind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lastRenderedPageBreak/>
        <w:t>○「７０年更新」の試算</w:t>
      </w:r>
    </w:p>
    <w:p w14:paraId="4B4FA375" w14:textId="56AB84ED" w:rsidR="00E24449" w:rsidRDefault="00B330D4" w:rsidP="009B02A7">
      <w:pPr>
        <w:adjustRightInd w:val="0"/>
        <w:ind w:leftChars="100" w:left="210" w:firstLineChars="100" w:firstLine="240"/>
        <w:rPr>
          <w:rFonts w:asciiTheme="majorEastAsia" w:eastAsiaTheme="majorEastAsia" w:hAnsiTheme="majorEastAsia"/>
          <w:sz w:val="24"/>
          <w:szCs w:val="24"/>
        </w:rPr>
      </w:pPr>
      <w:r w:rsidRPr="004C1386">
        <w:rPr>
          <w:rFonts w:asciiTheme="majorEastAsia" w:eastAsiaTheme="majorEastAsia" w:hAnsiTheme="majorEastAsia" w:hint="eastAsia"/>
          <w:sz w:val="24"/>
          <w:szCs w:val="24"/>
        </w:rPr>
        <w:t>一方、</w:t>
      </w:r>
      <w:r w:rsidR="008E454D" w:rsidRPr="004C1386">
        <w:rPr>
          <w:rFonts w:asciiTheme="majorEastAsia" w:eastAsiaTheme="majorEastAsia" w:hAnsiTheme="majorEastAsia" w:hint="eastAsia"/>
          <w:sz w:val="24"/>
          <w:szCs w:val="24"/>
        </w:rPr>
        <w:t>財務</w:t>
      </w:r>
      <w:r w:rsidRPr="004C1386">
        <w:rPr>
          <w:rFonts w:asciiTheme="majorEastAsia" w:eastAsiaTheme="majorEastAsia" w:hAnsiTheme="majorEastAsia" w:hint="eastAsia"/>
          <w:sz w:val="24"/>
          <w:szCs w:val="24"/>
        </w:rPr>
        <w:t>省令</w:t>
      </w:r>
      <w:r w:rsidR="008E454D" w:rsidRPr="004C1386">
        <w:rPr>
          <w:rFonts w:asciiTheme="majorEastAsia" w:eastAsiaTheme="majorEastAsia" w:hAnsiTheme="majorEastAsia" w:hint="eastAsia"/>
          <w:sz w:val="24"/>
          <w:szCs w:val="24"/>
        </w:rPr>
        <w:t>が定める</w:t>
      </w:r>
      <w:r w:rsidRPr="004C1386">
        <w:rPr>
          <w:rFonts w:asciiTheme="majorEastAsia" w:eastAsiaTheme="majorEastAsia" w:hAnsiTheme="majorEastAsia" w:hint="eastAsia"/>
          <w:sz w:val="24"/>
          <w:szCs w:val="24"/>
        </w:rPr>
        <w:t>耐用年数は</w:t>
      </w:r>
      <w:r w:rsidR="00C63F7C" w:rsidRPr="004C1386">
        <w:rPr>
          <w:rFonts w:asciiTheme="majorEastAsia" w:eastAsiaTheme="majorEastAsia" w:hAnsiTheme="majorEastAsia" w:hint="eastAsia"/>
          <w:sz w:val="24"/>
          <w:szCs w:val="24"/>
        </w:rPr>
        <w:t>、あ</w:t>
      </w:r>
      <w:r w:rsidR="008E454D" w:rsidRPr="004C1386">
        <w:rPr>
          <w:rFonts w:asciiTheme="majorEastAsia" w:eastAsiaTheme="majorEastAsia" w:hAnsiTheme="majorEastAsia" w:hint="eastAsia"/>
          <w:sz w:val="24"/>
          <w:szCs w:val="24"/>
        </w:rPr>
        <w:t>くまで税務上、減価償却費を算定するものであり</w:t>
      </w:r>
      <w:r w:rsidRPr="004C1386">
        <w:rPr>
          <w:rFonts w:asciiTheme="majorEastAsia" w:eastAsiaTheme="majorEastAsia" w:hAnsiTheme="majorEastAsia" w:hint="eastAsia"/>
          <w:sz w:val="24"/>
          <w:szCs w:val="24"/>
        </w:rPr>
        <w:t>建物の物理的な</w:t>
      </w:r>
      <w:r w:rsidR="008E454D" w:rsidRPr="004C1386">
        <w:rPr>
          <w:rFonts w:asciiTheme="majorEastAsia" w:eastAsiaTheme="majorEastAsia" w:hAnsiTheme="majorEastAsia" w:hint="eastAsia"/>
          <w:sz w:val="24"/>
          <w:szCs w:val="24"/>
        </w:rPr>
        <w:t>耐用年数</w:t>
      </w:r>
      <w:r w:rsidRPr="004C1386">
        <w:rPr>
          <w:rFonts w:asciiTheme="majorEastAsia" w:eastAsiaTheme="majorEastAsia" w:hAnsiTheme="majorEastAsia" w:hint="eastAsia"/>
          <w:sz w:val="24"/>
          <w:szCs w:val="24"/>
        </w:rPr>
        <w:t>ではな</w:t>
      </w:r>
      <w:r w:rsidR="008E454D" w:rsidRPr="004C1386">
        <w:rPr>
          <w:rFonts w:asciiTheme="majorEastAsia" w:eastAsiaTheme="majorEastAsia" w:hAnsiTheme="majorEastAsia" w:hint="eastAsia"/>
          <w:sz w:val="24"/>
          <w:szCs w:val="24"/>
        </w:rPr>
        <w:t>い</w:t>
      </w:r>
      <w:r w:rsidRPr="004C1386">
        <w:rPr>
          <w:rFonts w:asciiTheme="majorEastAsia" w:eastAsiaTheme="majorEastAsia" w:hAnsiTheme="majorEastAsia" w:hint="eastAsia"/>
          <w:sz w:val="24"/>
          <w:szCs w:val="24"/>
        </w:rPr>
        <w:t>。公営住宅法では耐火構造の住宅の耐用年限を７０年としている。また、文部科学省</w:t>
      </w:r>
      <w:r w:rsidR="001F1A53" w:rsidRPr="004C1386">
        <w:rPr>
          <w:rFonts w:asciiTheme="majorEastAsia" w:eastAsiaTheme="majorEastAsia" w:hAnsiTheme="majorEastAsia" w:hint="eastAsia"/>
          <w:sz w:val="24"/>
          <w:szCs w:val="24"/>
        </w:rPr>
        <w:t>が策定した</w:t>
      </w:r>
      <w:r w:rsidRPr="004C1386">
        <w:rPr>
          <w:rFonts w:asciiTheme="majorEastAsia" w:eastAsiaTheme="majorEastAsia" w:hAnsiTheme="majorEastAsia" w:hint="eastAsia"/>
          <w:sz w:val="24"/>
          <w:szCs w:val="24"/>
        </w:rPr>
        <w:t>「学校施設の長寿命化計画</w:t>
      </w:r>
      <w:r w:rsidR="001F1A53" w:rsidRPr="004C1386">
        <w:rPr>
          <w:rFonts w:asciiTheme="majorEastAsia" w:eastAsiaTheme="majorEastAsia" w:hAnsiTheme="majorEastAsia" w:hint="eastAsia"/>
          <w:sz w:val="24"/>
          <w:szCs w:val="24"/>
        </w:rPr>
        <w:t>策定に係る手引き</w:t>
      </w:r>
      <w:r w:rsidR="009C7369">
        <w:rPr>
          <w:rFonts w:asciiTheme="majorEastAsia" w:eastAsiaTheme="majorEastAsia" w:hAnsiTheme="majorEastAsia" w:hint="eastAsia"/>
          <w:sz w:val="24"/>
          <w:szCs w:val="24"/>
        </w:rPr>
        <w:t>」（平成２７年４月）</w:t>
      </w:r>
      <w:r w:rsidRPr="004C1386">
        <w:rPr>
          <w:rFonts w:asciiTheme="majorEastAsia" w:eastAsiaTheme="majorEastAsia" w:hAnsiTheme="majorEastAsia" w:hint="eastAsia"/>
          <w:sz w:val="24"/>
          <w:szCs w:val="24"/>
        </w:rPr>
        <w:t>においては、</w:t>
      </w:r>
      <w:r w:rsidR="001F1A53" w:rsidRPr="004C1386">
        <w:rPr>
          <w:rFonts w:asciiTheme="majorEastAsia" w:eastAsiaTheme="majorEastAsia" w:hAnsiTheme="majorEastAsia" w:hint="eastAsia"/>
          <w:sz w:val="24"/>
          <w:szCs w:val="24"/>
        </w:rPr>
        <w:t>「</w:t>
      </w:r>
      <w:r w:rsidRPr="004C1386">
        <w:rPr>
          <w:rFonts w:asciiTheme="majorEastAsia" w:eastAsiaTheme="majorEastAsia" w:hAnsiTheme="majorEastAsia" w:hint="eastAsia"/>
          <w:sz w:val="24"/>
          <w:szCs w:val="24"/>
        </w:rPr>
        <w:t>物理的な耐用年数は適切な維持管理がなされ、コンクリート及び鉄筋の強度が確保される場合には７０年～８０年程度」としている</w:t>
      </w:r>
      <w:r w:rsidR="00017535" w:rsidRPr="004C1386">
        <w:rPr>
          <w:rFonts w:asciiTheme="majorEastAsia" w:eastAsiaTheme="majorEastAsia" w:hAnsiTheme="majorEastAsia" w:hint="eastAsia"/>
          <w:sz w:val="24"/>
          <w:szCs w:val="24"/>
        </w:rPr>
        <w:t>。これらを踏まえ、更新</w:t>
      </w:r>
      <w:r w:rsidR="00A70144" w:rsidRPr="004C1386">
        <w:rPr>
          <w:rFonts w:asciiTheme="majorEastAsia" w:eastAsiaTheme="majorEastAsia" w:hAnsiTheme="majorEastAsia" w:hint="eastAsia"/>
          <w:sz w:val="24"/>
          <w:szCs w:val="24"/>
        </w:rPr>
        <w:t>時期</w:t>
      </w:r>
      <w:r w:rsidR="00017535" w:rsidRPr="004C1386">
        <w:rPr>
          <w:rFonts w:asciiTheme="majorEastAsia" w:eastAsiaTheme="majorEastAsia" w:hAnsiTheme="majorEastAsia" w:hint="eastAsia"/>
          <w:sz w:val="24"/>
          <w:szCs w:val="24"/>
        </w:rPr>
        <w:t>を築後７０年と仮定</w:t>
      </w:r>
      <w:r w:rsidR="00E24449" w:rsidRPr="004C1386">
        <w:rPr>
          <w:rFonts w:asciiTheme="majorEastAsia" w:eastAsiaTheme="majorEastAsia" w:hAnsiTheme="majorEastAsia" w:hint="eastAsia"/>
          <w:sz w:val="24"/>
          <w:szCs w:val="24"/>
        </w:rPr>
        <w:t>し</w:t>
      </w:r>
      <w:r w:rsidRPr="004C1386">
        <w:rPr>
          <w:rFonts w:asciiTheme="majorEastAsia" w:eastAsiaTheme="majorEastAsia" w:hAnsiTheme="majorEastAsia" w:hint="eastAsia"/>
          <w:sz w:val="24"/>
          <w:szCs w:val="24"/>
        </w:rPr>
        <w:t>、</w:t>
      </w:r>
      <w:r w:rsidR="00661430" w:rsidRPr="004C1386">
        <w:rPr>
          <w:rFonts w:asciiTheme="majorEastAsia" w:eastAsiaTheme="majorEastAsia" w:hAnsiTheme="majorEastAsia" w:hint="eastAsia"/>
          <w:sz w:val="24"/>
          <w:szCs w:val="24"/>
        </w:rPr>
        <w:t>修繕</w:t>
      </w:r>
      <w:r w:rsidR="00E24449" w:rsidRPr="004C1386">
        <w:rPr>
          <w:rFonts w:asciiTheme="majorEastAsia" w:eastAsiaTheme="majorEastAsia" w:hAnsiTheme="majorEastAsia" w:hint="eastAsia"/>
          <w:sz w:val="24"/>
          <w:szCs w:val="24"/>
        </w:rPr>
        <w:t>・更新費用について、</w:t>
      </w:r>
      <w:r w:rsidR="00317C9B" w:rsidRPr="004C1386">
        <w:rPr>
          <w:rFonts w:asciiTheme="majorEastAsia" w:eastAsiaTheme="majorEastAsia" w:hAnsiTheme="majorEastAsia" w:hint="eastAsia"/>
          <w:sz w:val="24"/>
          <w:szCs w:val="24"/>
        </w:rPr>
        <w:t>一定の予防保全費を含め</w:t>
      </w:r>
      <w:r w:rsidR="00E24449" w:rsidRPr="004C1386">
        <w:rPr>
          <w:rFonts w:asciiTheme="majorEastAsia" w:eastAsiaTheme="majorEastAsia" w:hAnsiTheme="majorEastAsia" w:hint="eastAsia"/>
          <w:sz w:val="24"/>
          <w:szCs w:val="24"/>
        </w:rPr>
        <w:t>試算すると、平成２８年度から１０年間の</w:t>
      </w:r>
      <w:r w:rsidR="00661430" w:rsidRPr="004C1386">
        <w:rPr>
          <w:rFonts w:asciiTheme="majorEastAsia" w:eastAsiaTheme="majorEastAsia" w:hAnsiTheme="majorEastAsia" w:hint="eastAsia"/>
          <w:sz w:val="24"/>
          <w:szCs w:val="24"/>
        </w:rPr>
        <w:t>修繕</w:t>
      </w:r>
      <w:r w:rsidR="00E24449" w:rsidRPr="004C1386">
        <w:rPr>
          <w:rFonts w:asciiTheme="majorEastAsia" w:eastAsiaTheme="majorEastAsia" w:hAnsiTheme="majorEastAsia" w:hint="eastAsia"/>
          <w:sz w:val="24"/>
          <w:szCs w:val="24"/>
        </w:rPr>
        <w:t>・更新費用は年平均約</w:t>
      </w:r>
      <w:r w:rsidR="000814D6" w:rsidRPr="004C1386">
        <w:rPr>
          <w:rFonts w:asciiTheme="majorEastAsia" w:eastAsiaTheme="majorEastAsia" w:hAnsiTheme="majorEastAsia" w:hint="eastAsia"/>
          <w:sz w:val="24"/>
          <w:szCs w:val="24"/>
        </w:rPr>
        <w:t>３９１</w:t>
      </w:r>
      <w:r w:rsidR="00E24449" w:rsidRPr="004C1386">
        <w:rPr>
          <w:rFonts w:asciiTheme="majorEastAsia" w:eastAsiaTheme="majorEastAsia" w:hAnsiTheme="majorEastAsia" w:hint="eastAsia"/>
          <w:sz w:val="24"/>
          <w:szCs w:val="24"/>
        </w:rPr>
        <w:t>億円、４０年間の</w:t>
      </w:r>
      <w:r w:rsidR="00661430" w:rsidRPr="004C1386">
        <w:rPr>
          <w:rFonts w:asciiTheme="majorEastAsia" w:eastAsiaTheme="majorEastAsia" w:hAnsiTheme="majorEastAsia" w:hint="eastAsia"/>
          <w:sz w:val="24"/>
          <w:szCs w:val="24"/>
        </w:rPr>
        <w:t>修繕</w:t>
      </w:r>
      <w:r w:rsidR="00E24449" w:rsidRPr="004C1386">
        <w:rPr>
          <w:rFonts w:asciiTheme="majorEastAsia" w:eastAsiaTheme="majorEastAsia" w:hAnsiTheme="majorEastAsia" w:hint="eastAsia"/>
          <w:sz w:val="24"/>
          <w:szCs w:val="24"/>
        </w:rPr>
        <w:t>・更新費用の総額が１兆</w:t>
      </w:r>
      <w:r w:rsidR="00972E86">
        <w:rPr>
          <w:rFonts w:asciiTheme="majorEastAsia" w:eastAsiaTheme="majorEastAsia" w:hAnsiTheme="majorEastAsia" w:hint="eastAsia"/>
          <w:sz w:val="24"/>
          <w:szCs w:val="24"/>
        </w:rPr>
        <w:t>７</w:t>
      </w:r>
      <w:r w:rsidR="00C865E2">
        <w:rPr>
          <w:rFonts w:asciiTheme="majorEastAsia" w:eastAsiaTheme="majorEastAsia" w:hAnsiTheme="majorEastAsia" w:hint="eastAsia"/>
          <w:sz w:val="24"/>
          <w:szCs w:val="24"/>
        </w:rPr>
        <w:t>,</w:t>
      </w:r>
      <w:r w:rsidR="000814D6" w:rsidRPr="004C1386">
        <w:rPr>
          <w:rFonts w:asciiTheme="majorEastAsia" w:eastAsiaTheme="majorEastAsia" w:hAnsiTheme="majorEastAsia" w:hint="eastAsia"/>
          <w:sz w:val="24"/>
          <w:szCs w:val="24"/>
        </w:rPr>
        <w:t>６</w:t>
      </w:r>
      <w:r w:rsidR="00094F08" w:rsidRPr="004C1386">
        <w:rPr>
          <w:rFonts w:asciiTheme="majorEastAsia" w:eastAsiaTheme="majorEastAsia" w:hAnsiTheme="majorEastAsia" w:hint="eastAsia"/>
          <w:sz w:val="24"/>
          <w:szCs w:val="24"/>
        </w:rPr>
        <w:t>０８</w:t>
      </w:r>
      <w:r w:rsidR="00E24449" w:rsidRPr="004C1386">
        <w:rPr>
          <w:rFonts w:asciiTheme="majorEastAsia" w:eastAsiaTheme="majorEastAsia" w:hAnsiTheme="majorEastAsia" w:hint="eastAsia"/>
          <w:sz w:val="24"/>
          <w:szCs w:val="24"/>
        </w:rPr>
        <w:t>億円、年平均約</w:t>
      </w:r>
      <w:r w:rsidR="0049404E" w:rsidRPr="004C1386">
        <w:rPr>
          <w:rFonts w:asciiTheme="majorEastAsia" w:eastAsiaTheme="majorEastAsia" w:hAnsiTheme="majorEastAsia" w:hint="eastAsia"/>
          <w:sz w:val="24"/>
          <w:szCs w:val="24"/>
        </w:rPr>
        <w:t>４</w:t>
      </w:r>
      <w:r w:rsidR="000814D6" w:rsidRPr="004C1386">
        <w:rPr>
          <w:rFonts w:asciiTheme="majorEastAsia" w:eastAsiaTheme="majorEastAsia" w:hAnsiTheme="majorEastAsia" w:hint="eastAsia"/>
          <w:sz w:val="24"/>
          <w:szCs w:val="24"/>
        </w:rPr>
        <w:t>４０</w:t>
      </w:r>
      <w:r w:rsidR="00E24449" w:rsidRPr="004C1386">
        <w:rPr>
          <w:rFonts w:asciiTheme="majorEastAsia" w:eastAsiaTheme="majorEastAsia" w:hAnsiTheme="majorEastAsia" w:hint="eastAsia"/>
          <w:sz w:val="24"/>
          <w:szCs w:val="24"/>
        </w:rPr>
        <w:t>億円となる。</w:t>
      </w:r>
    </w:p>
    <w:p w14:paraId="0D176532" w14:textId="0FDBA993" w:rsidR="009B02A7" w:rsidRPr="004C1386" w:rsidRDefault="009B02A7" w:rsidP="009B02A7">
      <w:pPr>
        <w:adjustRightInd w:val="0"/>
        <w:ind w:leftChars="100" w:left="210" w:firstLineChars="100" w:firstLine="240"/>
        <w:rPr>
          <w:rFonts w:asciiTheme="majorEastAsia" w:eastAsiaTheme="majorEastAsia" w:hAnsiTheme="majorEastAsia"/>
          <w:sz w:val="24"/>
          <w:szCs w:val="24"/>
        </w:rPr>
      </w:pPr>
      <w:r w:rsidRPr="004C1386">
        <w:rPr>
          <w:rFonts w:asciiTheme="majorEastAsia" w:eastAsiaTheme="majorEastAsia" w:hAnsiTheme="majorEastAsia"/>
          <w:noProof/>
          <w:sz w:val="24"/>
          <w:szCs w:val="24"/>
        </w:rPr>
        <w:drawing>
          <wp:anchor distT="0" distB="0" distL="114300" distR="114300" simplePos="0" relativeHeight="251667456" behindDoc="0" locked="0" layoutInCell="1" allowOverlap="1" wp14:anchorId="7791C228" wp14:editId="0633E531">
            <wp:simplePos x="0" y="0"/>
            <wp:positionH relativeFrom="column">
              <wp:posOffset>133350</wp:posOffset>
            </wp:positionH>
            <wp:positionV relativeFrom="paragraph">
              <wp:posOffset>152400</wp:posOffset>
            </wp:positionV>
            <wp:extent cx="6153150" cy="2724150"/>
            <wp:effectExtent l="0" t="0" r="0" b="0"/>
            <wp:wrapNone/>
            <wp:docPr id="16" name="図 16" title="公共施設等（建物）修繕・更新費の推計（70年更新・一般会計）について示した棒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5315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E3126" w14:textId="38BB0DE5" w:rsidR="00E24449" w:rsidRDefault="00E24449" w:rsidP="006228A4">
      <w:pPr>
        <w:rPr>
          <w:rFonts w:asciiTheme="majorEastAsia" w:eastAsiaTheme="majorEastAsia" w:hAnsiTheme="majorEastAsia"/>
          <w:sz w:val="24"/>
          <w:szCs w:val="24"/>
        </w:rPr>
      </w:pPr>
    </w:p>
    <w:p w14:paraId="7B10CDB3" w14:textId="02BB58D1" w:rsidR="006228A4" w:rsidRDefault="006228A4" w:rsidP="006228A4">
      <w:pPr>
        <w:rPr>
          <w:rFonts w:asciiTheme="majorEastAsia" w:eastAsiaTheme="majorEastAsia" w:hAnsiTheme="majorEastAsia"/>
          <w:sz w:val="24"/>
          <w:szCs w:val="24"/>
        </w:rPr>
      </w:pPr>
    </w:p>
    <w:p w14:paraId="684B07BD" w14:textId="5926D0F8" w:rsidR="006228A4" w:rsidRDefault="006228A4" w:rsidP="006228A4">
      <w:pPr>
        <w:rPr>
          <w:rFonts w:asciiTheme="majorEastAsia" w:eastAsiaTheme="majorEastAsia" w:hAnsiTheme="majorEastAsia"/>
          <w:sz w:val="24"/>
          <w:szCs w:val="24"/>
        </w:rPr>
      </w:pPr>
    </w:p>
    <w:p w14:paraId="412B8DDD" w14:textId="0D34C5DF" w:rsidR="006228A4" w:rsidRDefault="006228A4" w:rsidP="006228A4">
      <w:pPr>
        <w:rPr>
          <w:rFonts w:asciiTheme="majorEastAsia" w:eastAsiaTheme="majorEastAsia" w:hAnsiTheme="majorEastAsia"/>
          <w:sz w:val="24"/>
          <w:szCs w:val="24"/>
        </w:rPr>
      </w:pPr>
    </w:p>
    <w:p w14:paraId="3C97AB5E" w14:textId="1D474E91" w:rsidR="006228A4" w:rsidRDefault="006228A4" w:rsidP="006228A4">
      <w:pPr>
        <w:rPr>
          <w:rFonts w:asciiTheme="majorEastAsia" w:eastAsiaTheme="majorEastAsia" w:hAnsiTheme="majorEastAsia"/>
          <w:sz w:val="24"/>
          <w:szCs w:val="24"/>
        </w:rPr>
      </w:pPr>
    </w:p>
    <w:p w14:paraId="539DCCD8" w14:textId="2823EADE" w:rsidR="006228A4" w:rsidRDefault="006228A4" w:rsidP="006228A4">
      <w:pPr>
        <w:rPr>
          <w:rFonts w:asciiTheme="majorEastAsia" w:eastAsiaTheme="majorEastAsia" w:hAnsiTheme="majorEastAsia"/>
          <w:sz w:val="24"/>
          <w:szCs w:val="24"/>
        </w:rPr>
      </w:pPr>
    </w:p>
    <w:p w14:paraId="04F6188D" w14:textId="5D604238" w:rsidR="006228A4" w:rsidRDefault="006228A4" w:rsidP="006228A4">
      <w:pPr>
        <w:rPr>
          <w:rFonts w:asciiTheme="majorEastAsia" w:eastAsiaTheme="majorEastAsia" w:hAnsiTheme="majorEastAsia"/>
          <w:sz w:val="24"/>
          <w:szCs w:val="24"/>
        </w:rPr>
      </w:pPr>
    </w:p>
    <w:p w14:paraId="50D938B5" w14:textId="20D242F5" w:rsidR="006228A4" w:rsidRDefault="006228A4" w:rsidP="006228A4">
      <w:pPr>
        <w:rPr>
          <w:rFonts w:asciiTheme="majorEastAsia" w:eastAsiaTheme="majorEastAsia" w:hAnsiTheme="majorEastAsia"/>
          <w:sz w:val="24"/>
          <w:szCs w:val="24"/>
        </w:rPr>
      </w:pPr>
    </w:p>
    <w:p w14:paraId="3D5F623B" w14:textId="776F1CCD" w:rsidR="006228A4" w:rsidRDefault="006228A4" w:rsidP="006228A4">
      <w:pPr>
        <w:rPr>
          <w:rFonts w:asciiTheme="majorEastAsia" w:eastAsiaTheme="majorEastAsia" w:hAnsiTheme="majorEastAsia"/>
          <w:sz w:val="24"/>
          <w:szCs w:val="24"/>
        </w:rPr>
      </w:pPr>
    </w:p>
    <w:p w14:paraId="7CB0CFFE" w14:textId="445531D7" w:rsidR="006228A4" w:rsidRDefault="006228A4" w:rsidP="006228A4">
      <w:pPr>
        <w:rPr>
          <w:rFonts w:asciiTheme="majorEastAsia" w:eastAsiaTheme="majorEastAsia" w:hAnsiTheme="majorEastAsia"/>
          <w:sz w:val="24"/>
          <w:szCs w:val="24"/>
        </w:rPr>
      </w:pPr>
    </w:p>
    <w:p w14:paraId="1365E398" w14:textId="5B773FF3" w:rsidR="006228A4" w:rsidRDefault="006228A4" w:rsidP="006228A4">
      <w:pPr>
        <w:rPr>
          <w:rFonts w:asciiTheme="majorEastAsia" w:eastAsiaTheme="majorEastAsia" w:hAnsiTheme="majorEastAsia"/>
          <w:sz w:val="24"/>
          <w:szCs w:val="24"/>
        </w:rPr>
      </w:pPr>
    </w:p>
    <w:p w14:paraId="08DD2A0B" w14:textId="77777777" w:rsidR="006228A4" w:rsidRPr="004C1386" w:rsidRDefault="006228A4" w:rsidP="006228A4">
      <w:pPr>
        <w:rPr>
          <w:rFonts w:asciiTheme="majorEastAsia" w:eastAsiaTheme="majorEastAsia" w:hAnsiTheme="majorEastAsia"/>
          <w:sz w:val="24"/>
          <w:szCs w:val="24"/>
        </w:rPr>
      </w:pPr>
    </w:p>
    <w:p w14:paraId="63437240" w14:textId="5FF4781A" w:rsidR="00E24449" w:rsidRPr="004C1386" w:rsidRDefault="00414DD7" w:rsidP="008C02D6">
      <w:pPr>
        <w:ind w:firstLineChars="150" w:firstLine="360"/>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修繕</w:t>
      </w:r>
      <w:r w:rsidR="00E24449" w:rsidRPr="004C1386">
        <w:rPr>
          <w:rFonts w:ascii="ＭＳ ゴシック" w:eastAsia="ＭＳ ゴシック" w:hAnsi="ＭＳ ゴシック" w:hint="eastAsia"/>
          <w:sz w:val="24"/>
          <w:szCs w:val="24"/>
        </w:rPr>
        <w:t>・更新費の推計</w:t>
      </w:r>
      <w:r w:rsidR="005853D2" w:rsidRPr="004C1386">
        <w:rPr>
          <w:rFonts w:ascii="ＭＳ ゴシック" w:eastAsia="ＭＳ ゴシック" w:hAnsi="ＭＳ ゴシック" w:hint="eastAsia"/>
          <w:sz w:val="24"/>
          <w:szCs w:val="24"/>
        </w:rPr>
        <w:t xml:space="preserve">　</w:t>
      </w:r>
      <w:r w:rsidR="00D42348" w:rsidRPr="004C1386">
        <w:rPr>
          <w:rFonts w:ascii="ＭＳ ゴシック" w:eastAsia="ＭＳ ゴシック" w:hAnsi="ＭＳ ゴシック" w:hint="eastAsia"/>
          <w:sz w:val="18"/>
          <w:szCs w:val="18"/>
        </w:rPr>
        <w:t>＜</w:t>
      </w:r>
      <w:r w:rsidR="005853D2" w:rsidRPr="004C1386">
        <w:rPr>
          <w:rFonts w:ascii="ＭＳ ゴシック" w:eastAsia="ＭＳ ゴシック" w:hAnsi="ＭＳ ゴシック" w:hint="eastAsia"/>
          <w:sz w:val="18"/>
          <w:szCs w:val="18"/>
        </w:rPr>
        <w:t>各項目で</w:t>
      </w:r>
      <w:r w:rsidR="00BE1505" w:rsidRPr="004C1386">
        <w:rPr>
          <w:rFonts w:ascii="ＭＳ ゴシック" w:eastAsia="ＭＳ ゴシック" w:hAnsi="ＭＳ ゴシック" w:hint="eastAsia"/>
          <w:sz w:val="18"/>
          <w:szCs w:val="18"/>
        </w:rPr>
        <w:t>億</w:t>
      </w:r>
      <w:r w:rsidR="005853D2" w:rsidRPr="004C1386">
        <w:rPr>
          <w:rFonts w:ascii="ＭＳ ゴシック" w:eastAsia="ＭＳ ゴシック" w:hAnsi="ＭＳ ゴシック" w:hint="eastAsia"/>
          <w:sz w:val="18"/>
          <w:szCs w:val="18"/>
        </w:rPr>
        <w:t>円未満を四捨五入している。（合計が合わない場合が生じうる）</w:t>
      </w:r>
      <w:r w:rsidR="00D42348" w:rsidRPr="004C1386">
        <w:rPr>
          <w:rFonts w:ascii="ＭＳ ゴシック" w:eastAsia="ＭＳ ゴシック" w:hAnsi="ＭＳ ゴシック" w:hint="eastAsia"/>
          <w:sz w:val="18"/>
          <w:szCs w:val="18"/>
        </w:rPr>
        <w:t>＞</w:t>
      </w:r>
    </w:p>
    <w:tbl>
      <w:tblPr>
        <w:tblW w:w="98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Caption w:val="公共施設等（建物）修繕・更新費の推計（70年更新・一般会計）について10年・20年・40年平均の費用を示した表"/>
      </w:tblPr>
      <w:tblGrid>
        <w:gridCol w:w="1134"/>
        <w:gridCol w:w="1843"/>
        <w:gridCol w:w="1701"/>
        <w:gridCol w:w="1701"/>
        <w:gridCol w:w="1701"/>
        <w:gridCol w:w="1805"/>
      </w:tblGrid>
      <w:tr w:rsidR="006C71B5" w:rsidRPr="004C1386" w14:paraId="268795C3" w14:textId="37823F00" w:rsidTr="006C71B5">
        <w:trPr>
          <w:trHeight w:val="77"/>
        </w:trPr>
        <w:tc>
          <w:tcPr>
            <w:tcW w:w="1134" w:type="dxa"/>
            <w:vAlign w:val="center"/>
          </w:tcPr>
          <w:p w14:paraId="1B96AF15" w14:textId="3AEB535E" w:rsidR="006C71B5" w:rsidRPr="004C1386" w:rsidRDefault="006C71B5" w:rsidP="006C71B5">
            <w:pPr>
              <w:spacing w:line="260" w:lineRule="exact"/>
              <w:jc w:val="center"/>
              <w:rPr>
                <w:rFonts w:ascii="ＭＳ ゴシック" w:eastAsia="ＭＳ ゴシック" w:hAnsi="ＭＳ ゴシック"/>
                <w:sz w:val="24"/>
                <w:szCs w:val="24"/>
              </w:rPr>
            </w:pPr>
          </w:p>
        </w:tc>
        <w:tc>
          <w:tcPr>
            <w:tcW w:w="1843" w:type="dxa"/>
            <w:vAlign w:val="center"/>
          </w:tcPr>
          <w:p w14:paraId="7C4C8FD1" w14:textId="77777777" w:rsidR="006C71B5" w:rsidRPr="004C1386" w:rsidRDefault="006C71B5" w:rsidP="006C71B5">
            <w:pPr>
              <w:spacing w:line="260" w:lineRule="exact"/>
              <w:jc w:val="distribute"/>
              <w:rPr>
                <w:rFonts w:ascii="ＭＳ ゴシック" w:eastAsia="ＭＳ ゴシック" w:hAnsi="ＭＳ ゴシック"/>
                <w:sz w:val="20"/>
                <w:szCs w:val="20"/>
              </w:rPr>
            </w:pPr>
            <w:r w:rsidRPr="00655B44">
              <w:rPr>
                <w:rFonts w:ascii="ＭＳ ゴシック" w:eastAsia="ＭＳ ゴシック" w:hAnsi="ＭＳ ゴシック" w:hint="eastAsia"/>
                <w:sz w:val="20"/>
                <w:szCs w:val="20"/>
              </w:rPr>
              <w:t>平成28～令和7年</w:t>
            </w:r>
          </w:p>
          <w:p w14:paraId="3E39560D" w14:textId="203636F8" w:rsidR="006C71B5" w:rsidRPr="004C1386" w:rsidRDefault="006C71B5" w:rsidP="006C71B5">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(2016～2025年)</w:t>
            </w:r>
          </w:p>
        </w:tc>
        <w:tc>
          <w:tcPr>
            <w:tcW w:w="1701" w:type="dxa"/>
            <w:vAlign w:val="center"/>
          </w:tcPr>
          <w:p w14:paraId="0022C332" w14:textId="77777777" w:rsidR="006C71B5" w:rsidRPr="004C1386" w:rsidRDefault="006C71B5" w:rsidP="006C71B5">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w:t>
            </w:r>
            <w:r w:rsidRPr="004C1386">
              <w:rPr>
                <w:rFonts w:ascii="ＭＳ ゴシック" w:eastAsia="ＭＳ ゴシック" w:hAnsi="ＭＳ ゴシック" w:hint="eastAsia"/>
                <w:sz w:val="20"/>
                <w:szCs w:val="20"/>
              </w:rPr>
              <w:t>8～</w:t>
            </w:r>
            <w:r>
              <w:rPr>
                <w:rFonts w:ascii="ＭＳ ゴシック" w:eastAsia="ＭＳ ゴシック" w:hAnsi="ＭＳ ゴシック" w:hint="eastAsia"/>
                <w:sz w:val="20"/>
                <w:szCs w:val="20"/>
              </w:rPr>
              <w:t>17</w:t>
            </w:r>
            <w:r w:rsidRPr="004C1386">
              <w:rPr>
                <w:rFonts w:ascii="ＭＳ ゴシック" w:eastAsia="ＭＳ ゴシック" w:hAnsi="ＭＳ ゴシック" w:hint="eastAsia"/>
                <w:sz w:val="20"/>
                <w:szCs w:val="20"/>
              </w:rPr>
              <w:t>年</w:t>
            </w:r>
          </w:p>
          <w:p w14:paraId="3A3A57B9" w14:textId="50A6FAB4" w:rsidR="006C71B5" w:rsidRPr="004C1386" w:rsidRDefault="006C71B5" w:rsidP="006C71B5">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(2026～2035年)</w:t>
            </w:r>
          </w:p>
        </w:tc>
        <w:tc>
          <w:tcPr>
            <w:tcW w:w="1701" w:type="dxa"/>
            <w:vAlign w:val="center"/>
          </w:tcPr>
          <w:p w14:paraId="018E885E" w14:textId="77777777" w:rsidR="006C71B5" w:rsidRPr="004C1386" w:rsidRDefault="006C71B5" w:rsidP="006C71B5">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令和1</w:t>
            </w:r>
            <w:r w:rsidRPr="004C1386">
              <w:rPr>
                <w:rFonts w:ascii="ＭＳ ゴシック" w:eastAsia="ＭＳ ゴシック" w:hAnsi="ＭＳ ゴシック" w:hint="eastAsia"/>
                <w:sz w:val="20"/>
                <w:szCs w:val="20"/>
              </w:rPr>
              <w:t>8～</w:t>
            </w:r>
            <w:r>
              <w:rPr>
                <w:rFonts w:ascii="ＭＳ ゴシック" w:eastAsia="ＭＳ ゴシック" w:hAnsi="ＭＳ ゴシック" w:hint="eastAsia"/>
                <w:sz w:val="20"/>
                <w:szCs w:val="20"/>
              </w:rPr>
              <w:t>2</w:t>
            </w:r>
            <w:r w:rsidRPr="004C1386">
              <w:rPr>
                <w:rFonts w:ascii="ＭＳ ゴシック" w:eastAsia="ＭＳ ゴシック" w:hAnsi="ＭＳ ゴシック" w:hint="eastAsia"/>
                <w:sz w:val="20"/>
                <w:szCs w:val="20"/>
              </w:rPr>
              <w:t>7年</w:t>
            </w:r>
          </w:p>
          <w:p w14:paraId="5633BA60" w14:textId="54122842" w:rsidR="006C71B5" w:rsidRPr="004C1386" w:rsidRDefault="006C71B5" w:rsidP="006C71B5">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(2036～2045年)</w:t>
            </w:r>
          </w:p>
        </w:tc>
        <w:tc>
          <w:tcPr>
            <w:tcW w:w="1701" w:type="dxa"/>
            <w:vAlign w:val="center"/>
          </w:tcPr>
          <w:p w14:paraId="14BEFAA2" w14:textId="77777777" w:rsidR="006C71B5" w:rsidRPr="004C1386" w:rsidRDefault="006C71B5" w:rsidP="006C71B5">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令和2</w:t>
            </w:r>
            <w:r w:rsidRPr="004C1386">
              <w:rPr>
                <w:rFonts w:ascii="ＭＳ ゴシック" w:eastAsia="ＭＳ ゴシック" w:hAnsi="ＭＳ ゴシック" w:hint="eastAsia"/>
                <w:sz w:val="20"/>
                <w:szCs w:val="20"/>
              </w:rPr>
              <w:t>8～</w:t>
            </w:r>
            <w:r>
              <w:rPr>
                <w:rFonts w:ascii="ＭＳ ゴシック" w:eastAsia="ＭＳ ゴシック" w:hAnsi="ＭＳ ゴシック" w:hint="eastAsia"/>
                <w:sz w:val="20"/>
                <w:szCs w:val="20"/>
              </w:rPr>
              <w:t>37</w:t>
            </w:r>
            <w:r w:rsidRPr="004C1386">
              <w:rPr>
                <w:rFonts w:ascii="ＭＳ ゴシック" w:eastAsia="ＭＳ ゴシック" w:hAnsi="ＭＳ ゴシック" w:hint="eastAsia"/>
                <w:sz w:val="20"/>
                <w:szCs w:val="20"/>
              </w:rPr>
              <w:t>年</w:t>
            </w:r>
          </w:p>
          <w:p w14:paraId="1981E053" w14:textId="7DA1D697" w:rsidR="006C71B5" w:rsidRPr="004C1386" w:rsidRDefault="006C71B5" w:rsidP="006C71B5">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(2046～2055年)</w:t>
            </w:r>
          </w:p>
        </w:tc>
        <w:tc>
          <w:tcPr>
            <w:tcW w:w="1805" w:type="dxa"/>
            <w:vAlign w:val="center"/>
          </w:tcPr>
          <w:p w14:paraId="1AB7AEC1" w14:textId="62E4A212" w:rsidR="006C71B5" w:rsidRPr="004C1386" w:rsidRDefault="006C71B5" w:rsidP="006C71B5">
            <w:pPr>
              <w:spacing w:line="260" w:lineRule="exact"/>
              <w:jc w:val="center"/>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合計</w:t>
            </w:r>
          </w:p>
        </w:tc>
      </w:tr>
      <w:tr w:rsidR="004C1386" w:rsidRPr="004C1386" w14:paraId="1244585A" w14:textId="1A08085B" w:rsidTr="006C71B5">
        <w:trPr>
          <w:trHeight w:val="360"/>
        </w:trPr>
        <w:tc>
          <w:tcPr>
            <w:tcW w:w="1134" w:type="dxa"/>
          </w:tcPr>
          <w:p w14:paraId="3A8929DD" w14:textId="75B2EAB9" w:rsidR="00B330D4" w:rsidRPr="004C1386" w:rsidRDefault="00B330D4" w:rsidP="0078375A">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10年平均</w:t>
            </w:r>
          </w:p>
        </w:tc>
        <w:tc>
          <w:tcPr>
            <w:tcW w:w="1843" w:type="dxa"/>
          </w:tcPr>
          <w:p w14:paraId="3B17DCD3" w14:textId="3EF84764" w:rsidR="00B330D4" w:rsidRPr="004C1386" w:rsidRDefault="00B330D4" w:rsidP="000814D6">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391</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tcPr>
          <w:p w14:paraId="1D7F66D1" w14:textId="14E1F58C" w:rsidR="00B330D4" w:rsidRPr="004C1386" w:rsidRDefault="00B330D4" w:rsidP="000814D6">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249</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tcPr>
          <w:p w14:paraId="3B982370" w14:textId="141A5EA1" w:rsidR="00B330D4" w:rsidRPr="004C1386" w:rsidRDefault="00B330D4" w:rsidP="000814D6">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591</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701" w:type="dxa"/>
          </w:tcPr>
          <w:p w14:paraId="56944C6A" w14:textId="7ABEE8E6" w:rsidR="00B330D4" w:rsidRPr="004C1386" w:rsidRDefault="00B330D4" w:rsidP="000814D6">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530</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805" w:type="dxa"/>
            <w:vMerge w:val="restart"/>
            <w:vAlign w:val="center"/>
          </w:tcPr>
          <w:p w14:paraId="413556BD" w14:textId="7CA716F6" w:rsidR="00B330D4" w:rsidRPr="004C1386" w:rsidRDefault="00B330D4" w:rsidP="0043108F">
            <w:pPr>
              <w:jc w:val="center"/>
              <w:rPr>
                <w:rFonts w:ascii="ＭＳ ゴシック" w:eastAsia="ＭＳ ゴシック" w:hAnsi="ＭＳ ゴシック"/>
                <w:sz w:val="20"/>
                <w:szCs w:val="20"/>
              </w:rPr>
            </w:pPr>
            <w:r w:rsidRPr="00CE626D">
              <w:rPr>
                <w:rFonts w:ascii="ＭＳ ゴシック" w:eastAsia="ＭＳ ゴシック" w:hAnsi="ＭＳ ゴシック" w:hint="eastAsia"/>
                <w:spacing w:val="-8"/>
                <w:sz w:val="20"/>
                <w:szCs w:val="20"/>
              </w:rPr>
              <w:t>約</w:t>
            </w:r>
            <w:r w:rsidR="00CE626D" w:rsidRPr="00CE626D">
              <w:rPr>
                <w:rFonts w:ascii="ＭＳ ゴシック" w:eastAsia="ＭＳ ゴシック" w:hAnsi="ＭＳ ゴシック"/>
                <w:spacing w:val="-8"/>
                <w:sz w:val="20"/>
                <w:szCs w:val="20"/>
              </w:rPr>
              <w:t>1</w:t>
            </w:r>
            <w:r w:rsidR="006265B5" w:rsidRPr="00CE626D">
              <w:rPr>
                <w:rFonts w:asciiTheme="majorEastAsia" w:eastAsiaTheme="majorEastAsia" w:hAnsiTheme="majorEastAsia" w:hint="eastAsia"/>
                <w:spacing w:val="-8"/>
                <w:sz w:val="20"/>
                <w:szCs w:val="20"/>
              </w:rPr>
              <w:t>兆</w:t>
            </w:r>
            <w:r w:rsidR="000814D6" w:rsidRPr="00CE626D">
              <w:rPr>
                <w:rFonts w:asciiTheme="majorEastAsia" w:eastAsiaTheme="majorEastAsia" w:hAnsiTheme="majorEastAsia" w:hint="eastAsia"/>
                <w:spacing w:val="-8"/>
                <w:sz w:val="20"/>
                <w:szCs w:val="20"/>
              </w:rPr>
              <w:t>7,6</w:t>
            </w:r>
            <w:r w:rsidR="00094F08" w:rsidRPr="00CE626D">
              <w:rPr>
                <w:rFonts w:asciiTheme="majorEastAsia" w:eastAsiaTheme="majorEastAsia" w:hAnsiTheme="majorEastAsia" w:hint="eastAsia"/>
                <w:spacing w:val="-8"/>
                <w:sz w:val="20"/>
                <w:szCs w:val="20"/>
              </w:rPr>
              <w:t>08</w:t>
            </w:r>
            <w:r w:rsidR="006265B5" w:rsidRPr="00CE626D">
              <w:rPr>
                <w:rFonts w:asciiTheme="majorEastAsia" w:eastAsiaTheme="majorEastAsia" w:hAnsiTheme="majorEastAsia" w:hint="eastAsia"/>
                <w:spacing w:val="-8"/>
                <w:sz w:val="20"/>
                <w:szCs w:val="20"/>
              </w:rPr>
              <w:t>億円</w:t>
            </w:r>
            <w:r w:rsidR="0043108F" w:rsidRPr="004C1386">
              <w:rPr>
                <w:rFonts w:asciiTheme="majorEastAsia" w:eastAsiaTheme="majorEastAsia" w:hAnsiTheme="majorEastAsia" w:hint="eastAsia"/>
                <w:sz w:val="20"/>
                <w:szCs w:val="20"/>
              </w:rPr>
              <w:t>※</w:t>
            </w:r>
          </w:p>
        </w:tc>
      </w:tr>
      <w:tr w:rsidR="004C1386" w:rsidRPr="004C1386" w14:paraId="53A1E4CD" w14:textId="78353320" w:rsidTr="006C71B5">
        <w:trPr>
          <w:trHeight w:val="77"/>
        </w:trPr>
        <w:tc>
          <w:tcPr>
            <w:tcW w:w="1134" w:type="dxa"/>
          </w:tcPr>
          <w:p w14:paraId="06E553CC" w14:textId="6BE3BD5B" w:rsidR="006265B5" w:rsidRPr="004C1386" w:rsidRDefault="006265B5" w:rsidP="0078375A">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20年平均</w:t>
            </w:r>
          </w:p>
        </w:tc>
        <w:tc>
          <w:tcPr>
            <w:tcW w:w="3544" w:type="dxa"/>
            <w:gridSpan w:val="2"/>
          </w:tcPr>
          <w:p w14:paraId="093281E7" w14:textId="2906D690" w:rsidR="006265B5" w:rsidRPr="004C1386" w:rsidRDefault="006265B5" w:rsidP="000814D6">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320</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3402" w:type="dxa"/>
            <w:gridSpan w:val="2"/>
          </w:tcPr>
          <w:p w14:paraId="4450322E" w14:textId="7271C7D2" w:rsidR="006265B5" w:rsidRPr="004C1386" w:rsidRDefault="006265B5" w:rsidP="00094F08">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56</w:t>
            </w:r>
            <w:r w:rsidR="00094F08" w:rsidRPr="004C1386">
              <w:rPr>
                <w:rFonts w:ascii="ＭＳ ゴシック" w:eastAsia="ＭＳ ゴシック" w:hAnsi="ＭＳ ゴシック" w:hint="eastAsia"/>
                <w:sz w:val="20"/>
                <w:szCs w:val="20"/>
              </w:rPr>
              <w:t>0</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805" w:type="dxa"/>
            <w:vMerge/>
          </w:tcPr>
          <w:p w14:paraId="2BF74917" w14:textId="77777777" w:rsidR="006265B5" w:rsidRPr="004C1386" w:rsidRDefault="006265B5" w:rsidP="0078375A">
            <w:pPr>
              <w:jc w:val="center"/>
              <w:rPr>
                <w:rFonts w:ascii="ＭＳ ゴシック" w:eastAsia="ＭＳ ゴシック" w:hAnsi="ＭＳ ゴシック"/>
                <w:sz w:val="24"/>
                <w:szCs w:val="24"/>
              </w:rPr>
            </w:pPr>
          </w:p>
        </w:tc>
      </w:tr>
      <w:tr w:rsidR="004C1386" w:rsidRPr="004C1386" w14:paraId="0971A937" w14:textId="14F230CE" w:rsidTr="006C71B5">
        <w:trPr>
          <w:trHeight w:val="77"/>
        </w:trPr>
        <w:tc>
          <w:tcPr>
            <w:tcW w:w="1134" w:type="dxa"/>
            <w:tcBorders>
              <w:bottom w:val="single" w:sz="4" w:space="0" w:color="auto"/>
            </w:tcBorders>
          </w:tcPr>
          <w:p w14:paraId="385EB4F1" w14:textId="1AE43988" w:rsidR="00B330D4" w:rsidRPr="004C1386" w:rsidRDefault="00B330D4" w:rsidP="0078375A">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40年平均</w:t>
            </w:r>
          </w:p>
        </w:tc>
        <w:tc>
          <w:tcPr>
            <w:tcW w:w="6946" w:type="dxa"/>
            <w:gridSpan w:val="4"/>
            <w:tcBorders>
              <w:bottom w:val="single" w:sz="4" w:space="0" w:color="auto"/>
            </w:tcBorders>
          </w:tcPr>
          <w:p w14:paraId="4F584C3D" w14:textId="0E03ED3B" w:rsidR="00B330D4" w:rsidRPr="004C1386" w:rsidRDefault="006265B5" w:rsidP="000814D6">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0814D6" w:rsidRPr="004C1386">
              <w:rPr>
                <w:rFonts w:ascii="ＭＳ ゴシック" w:eastAsia="ＭＳ ゴシック" w:hAnsi="ＭＳ ゴシック" w:hint="eastAsia"/>
                <w:sz w:val="20"/>
                <w:szCs w:val="20"/>
              </w:rPr>
              <w:t>440</w:t>
            </w:r>
            <w:r w:rsidRPr="004C1386">
              <w:rPr>
                <w:rFonts w:ascii="ＭＳ ゴシック" w:eastAsia="ＭＳ ゴシック" w:hAnsi="ＭＳ ゴシック" w:hint="eastAsia"/>
                <w:sz w:val="20"/>
                <w:szCs w:val="20"/>
              </w:rPr>
              <w:t>億円</w:t>
            </w:r>
            <w:r w:rsidR="00180759" w:rsidRPr="004C1386">
              <w:rPr>
                <w:rFonts w:ascii="ＭＳ ゴシック" w:eastAsia="ＭＳ ゴシック" w:hAnsi="ＭＳ ゴシック" w:hint="eastAsia"/>
                <w:sz w:val="20"/>
                <w:szCs w:val="20"/>
              </w:rPr>
              <w:t>/年</w:t>
            </w:r>
          </w:p>
        </w:tc>
        <w:tc>
          <w:tcPr>
            <w:tcW w:w="1805" w:type="dxa"/>
            <w:vMerge/>
            <w:tcBorders>
              <w:bottom w:val="single" w:sz="4" w:space="0" w:color="auto"/>
            </w:tcBorders>
          </w:tcPr>
          <w:p w14:paraId="2A470DC7" w14:textId="77777777" w:rsidR="00B330D4" w:rsidRPr="004C1386" w:rsidRDefault="00B330D4" w:rsidP="0078375A">
            <w:pPr>
              <w:jc w:val="center"/>
              <w:rPr>
                <w:rFonts w:ascii="ＭＳ ゴシック" w:eastAsia="ＭＳ ゴシック" w:hAnsi="ＭＳ ゴシック"/>
                <w:sz w:val="24"/>
                <w:szCs w:val="24"/>
              </w:rPr>
            </w:pPr>
          </w:p>
        </w:tc>
      </w:tr>
    </w:tbl>
    <w:p w14:paraId="4A1E9FC1" w14:textId="51C90272" w:rsidR="00E24449" w:rsidRPr="004C1386" w:rsidRDefault="00D42348" w:rsidP="0043108F">
      <w:pPr>
        <w:spacing w:line="220" w:lineRule="exact"/>
        <w:ind w:leftChars="300" w:left="810" w:hangingChars="100" w:hanging="18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※更新時期を50年から70年に</w:t>
      </w:r>
      <w:r w:rsidR="00A60AEF" w:rsidRPr="004C1386">
        <w:rPr>
          <w:rFonts w:asciiTheme="majorEastAsia" w:eastAsiaTheme="majorEastAsia" w:hAnsiTheme="majorEastAsia" w:hint="eastAsia"/>
          <w:sz w:val="18"/>
          <w:szCs w:val="18"/>
        </w:rPr>
        <w:t>する</w:t>
      </w:r>
      <w:r w:rsidRPr="004C1386">
        <w:rPr>
          <w:rFonts w:asciiTheme="majorEastAsia" w:eastAsiaTheme="majorEastAsia" w:hAnsiTheme="majorEastAsia" w:hint="eastAsia"/>
          <w:sz w:val="18"/>
          <w:szCs w:val="18"/>
        </w:rPr>
        <w:t>ことによ</w:t>
      </w:r>
      <w:r w:rsidR="0088778B" w:rsidRPr="004C1386">
        <w:rPr>
          <w:rFonts w:asciiTheme="majorEastAsia" w:eastAsiaTheme="majorEastAsia" w:hAnsiTheme="majorEastAsia" w:hint="eastAsia"/>
          <w:sz w:val="18"/>
          <w:szCs w:val="18"/>
        </w:rPr>
        <w:t>り</w:t>
      </w:r>
      <w:r w:rsidR="00A60AEF" w:rsidRPr="004C1386">
        <w:rPr>
          <w:rFonts w:asciiTheme="majorEastAsia" w:eastAsiaTheme="majorEastAsia" w:hAnsiTheme="majorEastAsia" w:hint="eastAsia"/>
          <w:sz w:val="18"/>
          <w:szCs w:val="18"/>
        </w:rPr>
        <w:t>2056</w:t>
      </w:r>
      <w:r w:rsidRPr="004C1386">
        <w:rPr>
          <w:rFonts w:asciiTheme="majorEastAsia" w:eastAsiaTheme="majorEastAsia" w:hAnsiTheme="majorEastAsia" w:hint="eastAsia"/>
          <w:sz w:val="18"/>
          <w:szCs w:val="18"/>
        </w:rPr>
        <w:t>年</w:t>
      </w:r>
      <w:r w:rsidR="00A60AEF" w:rsidRPr="004C1386">
        <w:rPr>
          <w:rFonts w:asciiTheme="majorEastAsia" w:eastAsiaTheme="majorEastAsia" w:hAnsiTheme="majorEastAsia" w:hint="eastAsia"/>
          <w:sz w:val="18"/>
          <w:szCs w:val="18"/>
        </w:rPr>
        <w:t>度</w:t>
      </w:r>
      <w:r w:rsidRPr="004C1386">
        <w:rPr>
          <w:rFonts w:asciiTheme="majorEastAsia" w:eastAsiaTheme="majorEastAsia" w:hAnsiTheme="majorEastAsia" w:hint="eastAsia"/>
          <w:sz w:val="18"/>
          <w:szCs w:val="18"/>
        </w:rPr>
        <w:t>以降に</w:t>
      </w:r>
      <w:r w:rsidR="005A006A" w:rsidRPr="004C1386">
        <w:rPr>
          <w:rFonts w:asciiTheme="majorEastAsia" w:eastAsiaTheme="majorEastAsia" w:hAnsiTheme="majorEastAsia" w:hint="eastAsia"/>
          <w:sz w:val="18"/>
          <w:szCs w:val="18"/>
        </w:rPr>
        <w:t>生じる</w:t>
      </w:r>
      <w:r w:rsidR="00A60AEF" w:rsidRPr="004C1386">
        <w:rPr>
          <w:rFonts w:asciiTheme="majorEastAsia" w:eastAsiaTheme="majorEastAsia" w:hAnsiTheme="majorEastAsia" w:hint="eastAsia"/>
          <w:sz w:val="18"/>
          <w:szCs w:val="18"/>
        </w:rPr>
        <w:t>20年</w:t>
      </w:r>
      <w:r w:rsidR="0088778B" w:rsidRPr="004C1386">
        <w:rPr>
          <w:rFonts w:asciiTheme="majorEastAsia" w:eastAsiaTheme="majorEastAsia" w:hAnsiTheme="majorEastAsia" w:hint="eastAsia"/>
          <w:sz w:val="18"/>
          <w:szCs w:val="18"/>
        </w:rPr>
        <w:t>間</w:t>
      </w:r>
      <w:r w:rsidR="0043108F" w:rsidRPr="004C1386">
        <w:rPr>
          <w:rFonts w:asciiTheme="majorEastAsia" w:eastAsiaTheme="majorEastAsia" w:hAnsiTheme="majorEastAsia" w:hint="eastAsia"/>
          <w:sz w:val="18"/>
          <w:szCs w:val="18"/>
        </w:rPr>
        <w:t>(2056～2075年度)</w:t>
      </w:r>
      <w:r w:rsidR="00A60AEF" w:rsidRPr="004C1386">
        <w:rPr>
          <w:rFonts w:asciiTheme="majorEastAsia" w:eastAsiaTheme="majorEastAsia" w:hAnsiTheme="majorEastAsia" w:hint="eastAsia"/>
          <w:sz w:val="18"/>
          <w:szCs w:val="18"/>
        </w:rPr>
        <w:t>の</w:t>
      </w:r>
      <w:r w:rsidR="00D1447B" w:rsidRPr="004C1386">
        <w:rPr>
          <w:rFonts w:asciiTheme="majorEastAsia" w:eastAsiaTheme="majorEastAsia" w:hAnsiTheme="majorEastAsia" w:hint="eastAsia"/>
          <w:sz w:val="18"/>
          <w:szCs w:val="18"/>
        </w:rPr>
        <w:t>修繕・</w:t>
      </w:r>
      <w:r w:rsidRPr="004C1386">
        <w:rPr>
          <w:rFonts w:asciiTheme="majorEastAsia" w:eastAsiaTheme="majorEastAsia" w:hAnsiTheme="majorEastAsia" w:hint="eastAsia"/>
          <w:sz w:val="18"/>
          <w:szCs w:val="18"/>
        </w:rPr>
        <w:t>更新費</w:t>
      </w:r>
      <w:r w:rsidR="00D1447B" w:rsidRPr="004C1386">
        <w:rPr>
          <w:rFonts w:asciiTheme="majorEastAsia" w:eastAsiaTheme="majorEastAsia" w:hAnsiTheme="majorEastAsia" w:hint="eastAsia"/>
          <w:sz w:val="18"/>
          <w:szCs w:val="18"/>
        </w:rPr>
        <w:t>が</w:t>
      </w:r>
      <w:r w:rsidR="0088778B" w:rsidRPr="004C1386">
        <w:rPr>
          <w:rFonts w:asciiTheme="majorEastAsia" w:eastAsiaTheme="majorEastAsia" w:hAnsiTheme="majorEastAsia" w:hint="eastAsia"/>
          <w:sz w:val="18"/>
          <w:szCs w:val="18"/>
        </w:rPr>
        <w:t>別途</w:t>
      </w:r>
      <w:r w:rsidR="00D1447B" w:rsidRPr="004C1386">
        <w:rPr>
          <w:rFonts w:asciiTheme="majorEastAsia" w:eastAsiaTheme="majorEastAsia" w:hAnsiTheme="majorEastAsia" w:hint="eastAsia"/>
          <w:sz w:val="18"/>
          <w:szCs w:val="18"/>
        </w:rPr>
        <w:t>あることに留意が必要</w:t>
      </w:r>
      <w:r w:rsidR="0070438C" w:rsidRPr="004C1386">
        <w:rPr>
          <w:rFonts w:asciiTheme="majorEastAsia" w:eastAsiaTheme="majorEastAsia" w:hAnsiTheme="majorEastAsia" w:hint="eastAsia"/>
          <w:sz w:val="18"/>
          <w:szCs w:val="18"/>
        </w:rPr>
        <w:t>。</w:t>
      </w:r>
    </w:p>
    <w:p w14:paraId="13E37D57" w14:textId="13F6C3DA" w:rsidR="00E24449" w:rsidRPr="004C1386" w:rsidRDefault="00D42348" w:rsidP="0043108F">
      <w:pPr>
        <w:ind w:leftChars="400" w:left="840" w:firstLineChars="100" w:firstLine="240"/>
      </w:pPr>
      <w:r w:rsidRPr="004C1386">
        <w:rPr>
          <w:rFonts w:ascii="ＭＳ ゴシック" w:eastAsia="ＭＳ ゴシック" w:hAnsi="ＭＳ ゴシック"/>
          <w:noProof/>
          <w:sz w:val="24"/>
          <w:szCs w:val="24"/>
        </w:rPr>
        <mc:AlternateContent>
          <mc:Choice Requires="wps">
            <w:drawing>
              <wp:anchor distT="0" distB="0" distL="114300" distR="114300" simplePos="0" relativeHeight="251617792" behindDoc="0" locked="0" layoutInCell="1" allowOverlap="1" wp14:anchorId="00BF2EF8" wp14:editId="0FEC329D">
                <wp:simplePos x="0" y="0"/>
                <wp:positionH relativeFrom="column">
                  <wp:posOffset>67945</wp:posOffset>
                </wp:positionH>
                <wp:positionV relativeFrom="paragraph">
                  <wp:posOffset>31750</wp:posOffset>
                </wp:positionV>
                <wp:extent cx="6250305" cy="2427514"/>
                <wp:effectExtent l="0" t="0" r="17145" b="11430"/>
                <wp:wrapNone/>
                <wp:docPr id="11" name="正方形/長方形 11" title="修繕・更新費の将来見通しの試算について"/>
                <wp:cNvGraphicFramePr/>
                <a:graphic xmlns:a="http://schemas.openxmlformats.org/drawingml/2006/main">
                  <a:graphicData uri="http://schemas.microsoft.com/office/word/2010/wordprocessingShape">
                    <wps:wsp>
                      <wps:cNvSpPr/>
                      <wps:spPr>
                        <a:xfrm>
                          <a:off x="0" y="0"/>
                          <a:ext cx="6250305" cy="2427514"/>
                        </a:xfrm>
                        <a:prstGeom prst="rect">
                          <a:avLst/>
                        </a:prstGeom>
                        <a:solidFill>
                          <a:sysClr val="window" lastClr="FFFFFF"/>
                        </a:solidFill>
                        <a:ln w="6350" cap="flat" cmpd="sng" algn="ctr">
                          <a:solidFill>
                            <a:sysClr val="windowText" lastClr="000000"/>
                          </a:solidFill>
                          <a:prstDash val="dash"/>
                        </a:ln>
                        <a:effectLst/>
                      </wps:spPr>
                      <wps:txbx>
                        <w:txbxContent>
                          <w:p w14:paraId="45035F27" w14:textId="77777777" w:rsidR="00104FF5" w:rsidRPr="006265B5" w:rsidRDefault="00104FF5" w:rsidP="00C92693">
                            <w:pPr>
                              <w:spacing w:line="200" w:lineRule="exact"/>
                              <w:rPr>
                                <w:rFonts w:asciiTheme="majorEastAsia" w:eastAsiaTheme="majorEastAsia" w:hAnsiTheme="majorEastAsia"/>
                                <w:b/>
                                <w:sz w:val="18"/>
                                <w:szCs w:val="18"/>
                              </w:rPr>
                            </w:pPr>
                            <w:r w:rsidRPr="006265B5">
                              <w:rPr>
                                <w:rFonts w:asciiTheme="majorEastAsia" w:eastAsiaTheme="majorEastAsia" w:hAnsiTheme="majorEastAsia" w:hint="eastAsia"/>
                                <w:b/>
                                <w:sz w:val="18"/>
                                <w:szCs w:val="18"/>
                              </w:rPr>
                              <w:t>修繕・更新費の将来見通しの試算について</w:t>
                            </w:r>
                          </w:p>
                          <w:p w14:paraId="2D6640FF" w14:textId="69CFE4AD" w:rsidR="00104FF5" w:rsidRPr="005479F0" w:rsidRDefault="00104FF5" w:rsidP="00C92693">
                            <w:pPr>
                              <w:spacing w:line="200" w:lineRule="exact"/>
                              <w:ind w:left="360" w:hangingChars="200" w:hanging="360"/>
                              <w:rPr>
                                <w:rFonts w:asciiTheme="majorEastAsia" w:eastAsiaTheme="majorEastAsia" w:hAnsiTheme="majorEastAsia"/>
                                <w:sz w:val="18"/>
                                <w:szCs w:val="18"/>
                              </w:rPr>
                            </w:pPr>
                            <w:r w:rsidRPr="005479F0">
                              <w:rPr>
                                <w:rFonts w:asciiTheme="majorEastAsia" w:eastAsiaTheme="majorEastAsia" w:hAnsiTheme="majorEastAsia" w:hint="eastAsia"/>
                                <w:sz w:val="18"/>
                                <w:szCs w:val="18"/>
                              </w:rPr>
                              <w:t>総務省の公共施設等更新費用試算ソフト</w:t>
                            </w:r>
                            <w:r w:rsidRPr="005479F0">
                              <w:rPr>
                                <w:rFonts w:asciiTheme="majorEastAsia" w:eastAsiaTheme="majorEastAsia" w:hAnsiTheme="majorEastAsia" w:hint="eastAsia"/>
                                <w:sz w:val="18"/>
                                <w:szCs w:val="18"/>
                                <w:vertAlign w:val="superscript"/>
                              </w:rPr>
                              <w:t>※１</w:t>
                            </w:r>
                            <w:r w:rsidRPr="005479F0">
                              <w:rPr>
                                <w:rFonts w:asciiTheme="majorEastAsia" w:eastAsiaTheme="majorEastAsia" w:hAnsiTheme="majorEastAsia" w:hint="eastAsia"/>
                                <w:sz w:val="18"/>
                                <w:szCs w:val="18"/>
                              </w:rPr>
                              <w:t>に準じて、以下の条件により試算した。</w:t>
                            </w:r>
                          </w:p>
                          <w:p w14:paraId="6784A806" w14:textId="7A454EED" w:rsidR="00104FF5" w:rsidRPr="004C1386" w:rsidRDefault="00104FF5"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建替え</w:t>
                            </w:r>
                            <w:r w:rsidRPr="004C1386">
                              <w:rPr>
                                <w:rFonts w:asciiTheme="majorEastAsia" w:eastAsiaTheme="majorEastAsia" w:hAnsiTheme="majorEastAsia" w:hint="eastAsia"/>
                                <w:sz w:val="18"/>
                                <w:szCs w:val="18"/>
                              </w:rPr>
                              <w:tab/>
                              <w:t>：建設時より７０年後に同床面積で建替えを計上</w:t>
                            </w:r>
                          </w:p>
                          <w:p w14:paraId="01F8064C" w14:textId="7E49E8B6" w:rsidR="00104FF5" w:rsidRPr="004C1386" w:rsidRDefault="00104FF5"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pacing w:val="11"/>
                                <w:kern w:val="0"/>
                                <w:sz w:val="18"/>
                                <w:szCs w:val="18"/>
                                <w:fitText w:val="990" w:id="927161088"/>
                              </w:rPr>
                              <w:t>建替え均</w:t>
                            </w:r>
                            <w:r w:rsidRPr="004C1386">
                              <w:rPr>
                                <w:rFonts w:asciiTheme="majorEastAsia" w:eastAsiaTheme="majorEastAsia" w:hAnsiTheme="majorEastAsia" w:hint="eastAsia"/>
                                <w:spacing w:val="1"/>
                                <w:kern w:val="0"/>
                                <w:sz w:val="18"/>
                                <w:szCs w:val="18"/>
                                <w:fitText w:val="990" w:id="927161088"/>
                              </w:rPr>
                              <w:t>等</w:t>
                            </w:r>
                            <w:r w:rsidRPr="004C1386">
                              <w:rPr>
                                <w:rFonts w:asciiTheme="majorEastAsia" w:eastAsiaTheme="majorEastAsia" w:hAnsiTheme="majorEastAsia" w:hint="eastAsia"/>
                                <w:kern w:val="0"/>
                                <w:sz w:val="18"/>
                                <w:szCs w:val="18"/>
                              </w:rPr>
                              <w:t>：</w:t>
                            </w:r>
                            <w:r w:rsidRPr="004C1386">
                              <w:rPr>
                                <w:rFonts w:asciiTheme="majorEastAsia" w:eastAsiaTheme="majorEastAsia" w:hAnsiTheme="majorEastAsia" w:hint="eastAsia"/>
                                <w:sz w:val="18"/>
                                <w:szCs w:val="18"/>
                              </w:rPr>
                              <w:t>現時点で建設時より７０年経過のものは今後１０年間で均等に建替えを計上</w:t>
                            </w:r>
                          </w:p>
                          <w:p w14:paraId="23163953" w14:textId="1B4BBB74" w:rsidR="00104FF5" w:rsidRPr="004C1386" w:rsidRDefault="00104FF5"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 xml:space="preserve">　　　　　　（これらの施設については、２５年後に大規模改修（前期）を計上）</w:t>
                            </w:r>
                          </w:p>
                          <w:p w14:paraId="46D84AB5" w14:textId="1106C090" w:rsidR="00104FF5" w:rsidRPr="004C1386" w:rsidRDefault="00104FF5"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大規模改修</w:t>
                            </w:r>
                            <w:r w:rsidRPr="004C1386">
                              <w:rPr>
                                <w:rFonts w:asciiTheme="majorEastAsia" w:eastAsiaTheme="majorEastAsia" w:hAnsiTheme="majorEastAsia" w:hint="eastAsia"/>
                                <w:sz w:val="18"/>
                                <w:szCs w:val="18"/>
                              </w:rPr>
                              <w:tab/>
                              <w:t>：建設時より２５年後（前期）及び５０年後（後期）に大規模改修を計上</w:t>
                            </w:r>
                          </w:p>
                          <w:p w14:paraId="0F5C35AB" w14:textId="72264D01" w:rsidR="00104FF5" w:rsidRPr="004C1386" w:rsidRDefault="00104FF5" w:rsidP="00C92693">
                            <w:pPr>
                              <w:tabs>
                                <w:tab w:val="left" w:pos="1276"/>
                              </w:tabs>
                              <w:spacing w:line="200" w:lineRule="exact"/>
                              <w:ind w:leftChars="135" w:left="283" w:firstLineChars="600" w:firstLine="108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（総務省単価の大規模改修費の３分の１を前期分、３分の２を後期分とする。）</w:t>
                            </w:r>
                          </w:p>
                          <w:p w14:paraId="45DFFE5F" w14:textId="5BC18EC2" w:rsidR="00104FF5" w:rsidRPr="004C1386" w:rsidRDefault="00104FF5" w:rsidP="00C92693">
                            <w:pPr>
                              <w:tabs>
                                <w:tab w:val="left" w:pos="1276"/>
                              </w:tabs>
                              <w:spacing w:line="200" w:lineRule="exact"/>
                              <w:ind w:leftChars="135" w:left="1543" w:hangingChars="700" w:hanging="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大規模均等</w:t>
                            </w:r>
                            <w:r w:rsidRPr="004C1386">
                              <w:rPr>
                                <w:rFonts w:asciiTheme="majorEastAsia" w:eastAsiaTheme="majorEastAsia" w:hAnsiTheme="majorEastAsia" w:hint="eastAsia"/>
                                <w:sz w:val="18"/>
                                <w:szCs w:val="18"/>
                              </w:rPr>
                              <w:tab/>
                              <w:t>：①現時点で建設時より２６年以上、４０年未満の施設については、今後１０年間で均等に大規模改修（前期）を計上（これらの施設については、建設年から７０年後に建替経費を計上）</w:t>
                            </w:r>
                          </w:p>
                          <w:p w14:paraId="61AF19B2" w14:textId="77777777" w:rsidR="00104FF5" w:rsidRPr="004C1386" w:rsidRDefault="00104FF5" w:rsidP="00C92693">
                            <w:pPr>
                              <w:tabs>
                                <w:tab w:val="left" w:pos="1276"/>
                              </w:tabs>
                              <w:spacing w:line="200" w:lineRule="exact"/>
                              <w:ind w:leftChars="135" w:left="283" w:firstLineChars="650" w:firstLine="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②現時点で建設時より５１年以上６０年未満の施設については、今後１０年間で均等に大規模改修</w:t>
                            </w:r>
                          </w:p>
                          <w:p w14:paraId="3D2E50F6" w14:textId="2B8EA0BD" w:rsidR="00104FF5" w:rsidRPr="004C1386" w:rsidRDefault="00104FF5" w:rsidP="00C92693">
                            <w:pPr>
                              <w:tabs>
                                <w:tab w:val="left" w:pos="1276"/>
                              </w:tabs>
                              <w:spacing w:line="200" w:lineRule="exact"/>
                              <w:ind w:leftChars="135" w:left="283" w:firstLineChars="700" w:firstLine="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（後期）を計上（これらの施設については、建設年から７０年後に建替経費を計上）</w:t>
                            </w:r>
                          </w:p>
                          <w:p w14:paraId="34E4CE07" w14:textId="60CA4FF7" w:rsidR="00104FF5" w:rsidRPr="004C1386" w:rsidRDefault="00104FF5" w:rsidP="00C92693">
                            <w:pPr>
                              <w:tabs>
                                <w:tab w:val="left" w:pos="1276"/>
                              </w:tabs>
                              <w:spacing w:line="200" w:lineRule="exact"/>
                              <w:ind w:leftChars="135" w:left="283" w:firstLineChars="650" w:firstLine="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③現時点で建設時より６０年以上経過しているものは、大規模改修は計上しない。</w:t>
                            </w:r>
                          </w:p>
                          <w:p w14:paraId="4E344278" w14:textId="29B43C93" w:rsidR="00104FF5" w:rsidRPr="004C1386" w:rsidRDefault="00104FF5" w:rsidP="00C92693">
                            <w:pPr>
                              <w:tabs>
                                <w:tab w:val="left" w:pos="1276"/>
                              </w:tabs>
                              <w:spacing w:line="200" w:lineRule="exact"/>
                              <w:ind w:leftChars="135" w:left="1453" w:hangingChars="650" w:hanging="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修　　 　繕</w:t>
                            </w:r>
                            <w:r w:rsidRPr="004C1386">
                              <w:rPr>
                                <w:rFonts w:asciiTheme="majorEastAsia" w:eastAsiaTheme="majorEastAsia" w:hAnsiTheme="majorEastAsia" w:hint="eastAsia"/>
                                <w:sz w:val="18"/>
                                <w:szCs w:val="18"/>
                              </w:rPr>
                              <w:tab/>
                              <w:t>：建替経費の０．７</w:t>
                            </w:r>
                            <w:r>
                              <w:rPr>
                                <w:rFonts w:asciiTheme="majorEastAsia" w:eastAsiaTheme="majorEastAsia" w:hAnsiTheme="majorEastAsia" w:hint="eastAsia"/>
                                <w:sz w:val="18"/>
                                <w:szCs w:val="18"/>
                              </w:rPr>
                              <w:t>パーセント</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相当を毎年、予防保全費として計上（学校については０．４</w:t>
                            </w:r>
                            <w:r>
                              <w:rPr>
                                <w:rFonts w:asciiTheme="majorEastAsia" w:eastAsiaTheme="majorEastAsia" w:hAnsiTheme="majorEastAsia" w:hint="eastAsia"/>
                                <w:sz w:val="18"/>
                                <w:szCs w:val="18"/>
                              </w:rPr>
                              <w:t>パーセント</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w:t>
                            </w:r>
                          </w:p>
                          <w:p w14:paraId="2119BA8A" w14:textId="40B610D5" w:rsidR="00104FF5" w:rsidRPr="004C1386" w:rsidRDefault="00104FF5" w:rsidP="00C92693">
                            <w:pPr>
                              <w:spacing w:line="200" w:lineRule="exac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※１　建替え及び大規模改修単価については総務省設定単価を適用</w:t>
                            </w:r>
                          </w:p>
                          <w:p w14:paraId="2844AEDB" w14:textId="77777777" w:rsidR="00104FF5" w:rsidRPr="004C1386" w:rsidRDefault="00104FF5" w:rsidP="00C92693">
                            <w:pPr>
                              <w:spacing w:line="20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※２　平成１７年度版　建築物のライフサイクルコスト（国土交通省大臣官房官庁営繕部監修、財団法人建築保全センター編）を参考</w:t>
                            </w:r>
                          </w:p>
                          <w:p w14:paraId="559D1B24" w14:textId="012046A0" w:rsidR="00104FF5" w:rsidRPr="005479F0" w:rsidRDefault="00104FF5" w:rsidP="00C92693">
                            <w:pPr>
                              <w:spacing w:line="20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注）改修予定のものについても上記考え方に基</w:t>
                            </w:r>
                            <w:r w:rsidRPr="005479F0">
                              <w:rPr>
                                <w:rFonts w:asciiTheme="majorEastAsia" w:eastAsiaTheme="majorEastAsia" w:hAnsiTheme="majorEastAsia" w:hint="eastAsia"/>
                                <w:sz w:val="18"/>
                                <w:szCs w:val="18"/>
                              </w:rPr>
                              <w:t>づき試算している。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F2EF8" id="正方形/長方形 11" o:spid="_x0000_s1036" alt="タイトル: 修繕・更新費の将来見通しの試算について" style="position:absolute;left:0;text-align:left;margin-left:5.35pt;margin-top:2.5pt;width:492.15pt;height:191.1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" fillcolor="window" strokecolor="windowText" strokeweight=".5pt">
                <v:stroke dashstyle="dash"/>
                <v:textbox>
                  <w:txbxContent>
                    <w:p w14:paraId="45035F27" w14:textId="77777777" w:rsidR="00104FF5" w:rsidRPr="006265B5" w:rsidRDefault="00104FF5" w:rsidP="00C92693">
                      <w:pPr>
                        <w:spacing w:line="200" w:lineRule="exact"/>
                        <w:rPr>
                          <w:rFonts w:asciiTheme="majorEastAsia" w:eastAsiaTheme="majorEastAsia" w:hAnsiTheme="majorEastAsia"/>
                          <w:b/>
                          <w:sz w:val="18"/>
                          <w:szCs w:val="18"/>
                        </w:rPr>
                      </w:pPr>
                      <w:r w:rsidRPr="006265B5">
                        <w:rPr>
                          <w:rFonts w:asciiTheme="majorEastAsia" w:eastAsiaTheme="majorEastAsia" w:hAnsiTheme="majorEastAsia" w:hint="eastAsia"/>
                          <w:b/>
                          <w:sz w:val="18"/>
                          <w:szCs w:val="18"/>
                        </w:rPr>
                        <w:t>修繕・更新費の将来見通しの試算について</w:t>
                      </w:r>
                    </w:p>
                    <w:p w14:paraId="2D6640FF" w14:textId="69CFE4AD" w:rsidR="00104FF5" w:rsidRPr="005479F0" w:rsidRDefault="00104FF5" w:rsidP="00C92693">
                      <w:pPr>
                        <w:spacing w:line="200" w:lineRule="exact"/>
                        <w:ind w:left="360" w:hangingChars="200" w:hanging="360"/>
                        <w:rPr>
                          <w:rFonts w:asciiTheme="majorEastAsia" w:eastAsiaTheme="majorEastAsia" w:hAnsiTheme="majorEastAsia"/>
                          <w:sz w:val="18"/>
                          <w:szCs w:val="18"/>
                        </w:rPr>
                      </w:pPr>
                      <w:r w:rsidRPr="005479F0">
                        <w:rPr>
                          <w:rFonts w:asciiTheme="majorEastAsia" w:eastAsiaTheme="majorEastAsia" w:hAnsiTheme="majorEastAsia" w:hint="eastAsia"/>
                          <w:sz w:val="18"/>
                          <w:szCs w:val="18"/>
                        </w:rPr>
                        <w:t>総務省の公共施設等更新費用試算ソフト</w:t>
                      </w:r>
                      <w:r w:rsidRPr="005479F0">
                        <w:rPr>
                          <w:rFonts w:asciiTheme="majorEastAsia" w:eastAsiaTheme="majorEastAsia" w:hAnsiTheme="majorEastAsia" w:hint="eastAsia"/>
                          <w:sz w:val="18"/>
                          <w:szCs w:val="18"/>
                          <w:vertAlign w:val="superscript"/>
                        </w:rPr>
                        <w:t>※１</w:t>
                      </w:r>
                      <w:r w:rsidRPr="005479F0">
                        <w:rPr>
                          <w:rFonts w:asciiTheme="majorEastAsia" w:eastAsiaTheme="majorEastAsia" w:hAnsiTheme="majorEastAsia" w:hint="eastAsia"/>
                          <w:sz w:val="18"/>
                          <w:szCs w:val="18"/>
                        </w:rPr>
                        <w:t>に準じて、以下の条件により試算した。</w:t>
                      </w:r>
                    </w:p>
                    <w:p w14:paraId="6784A806" w14:textId="7A454EED" w:rsidR="00104FF5" w:rsidRPr="004C1386" w:rsidRDefault="00104FF5"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建替え</w:t>
                      </w:r>
                      <w:r w:rsidRPr="004C1386">
                        <w:rPr>
                          <w:rFonts w:asciiTheme="majorEastAsia" w:eastAsiaTheme="majorEastAsia" w:hAnsiTheme="majorEastAsia" w:hint="eastAsia"/>
                          <w:sz w:val="18"/>
                          <w:szCs w:val="18"/>
                        </w:rPr>
                        <w:tab/>
                        <w:t>：建設時より７０年後に同床面積で建替えを計上</w:t>
                      </w:r>
                    </w:p>
                    <w:p w14:paraId="01F8064C" w14:textId="7E49E8B6" w:rsidR="00104FF5" w:rsidRPr="004C1386" w:rsidRDefault="00104FF5"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pacing w:val="11"/>
                          <w:kern w:val="0"/>
                          <w:sz w:val="18"/>
                          <w:szCs w:val="18"/>
                          <w:fitText w:val="990" w:id="927161088"/>
                        </w:rPr>
                        <w:t>建替え均</w:t>
                      </w:r>
                      <w:r w:rsidRPr="004C1386">
                        <w:rPr>
                          <w:rFonts w:asciiTheme="majorEastAsia" w:eastAsiaTheme="majorEastAsia" w:hAnsiTheme="majorEastAsia" w:hint="eastAsia"/>
                          <w:spacing w:val="1"/>
                          <w:kern w:val="0"/>
                          <w:sz w:val="18"/>
                          <w:szCs w:val="18"/>
                          <w:fitText w:val="990" w:id="927161088"/>
                        </w:rPr>
                        <w:t>等</w:t>
                      </w:r>
                      <w:r w:rsidRPr="004C1386">
                        <w:rPr>
                          <w:rFonts w:asciiTheme="majorEastAsia" w:eastAsiaTheme="majorEastAsia" w:hAnsiTheme="majorEastAsia" w:hint="eastAsia"/>
                          <w:kern w:val="0"/>
                          <w:sz w:val="18"/>
                          <w:szCs w:val="18"/>
                        </w:rPr>
                        <w:t>：</w:t>
                      </w:r>
                      <w:r w:rsidRPr="004C1386">
                        <w:rPr>
                          <w:rFonts w:asciiTheme="majorEastAsia" w:eastAsiaTheme="majorEastAsia" w:hAnsiTheme="majorEastAsia" w:hint="eastAsia"/>
                          <w:sz w:val="18"/>
                          <w:szCs w:val="18"/>
                        </w:rPr>
                        <w:t>現時点で建設時より７０年経過のものは今後１０年間で均等に建替えを計上</w:t>
                      </w:r>
                    </w:p>
                    <w:p w14:paraId="23163953" w14:textId="1B4BBB74" w:rsidR="00104FF5" w:rsidRPr="004C1386" w:rsidRDefault="00104FF5"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 xml:space="preserve">　　　　　　（これらの施設については、２５年後に大規模改修（前期）を計上）</w:t>
                      </w:r>
                    </w:p>
                    <w:p w14:paraId="46D84AB5" w14:textId="1106C090" w:rsidR="00104FF5" w:rsidRPr="004C1386" w:rsidRDefault="00104FF5" w:rsidP="00C92693">
                      <w:pPr>
                        <w:tabs>
                          <w:tab w:val="left" w:pos="1276"/>
                        </w:tabs>
                        <w:spacing w:line="200" w:lineRule="exact"/>
                        <w:ind w:leftChars="135" w:left="283"/>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大規模改修</w:t>
                      </w:r>
                      <w:r w:rsidRPr="004C1386">
                        <w:rPr>
                          <w:rFonts w:asciiTheme="majorEastAsia" w:eastAsiaTheme="majorEastAsia" w:hAnsiTheme="majorEastAsia" w:hint="eastAsia"/>
                          <w:sz w:val="18"/>
                          <w:szCs w:val="18"/>
                        </w:rPr>
                        <w:tab/>
                        <w:t>：建設時より２５年後（前期）及び５０年後（後期）に大規模改修を計上</w:t>
                      </w:r>
                    </w:p>
                    <w:p w14:paraId="0F5C35AB" w14:textId="72264D01" w:rsidR="00104FF5" w:rsidRPr="004C1386" w:rsidRDefault="00104FF5" w:rsidP="00C92693">
                      <w:pPr>
                        <w:tabs>
                          <w:tab w:val="left" w:pos="1276"/>
                        </w:tabs>
                        <w:spacing w:line="200" w:lineRule="exact"/>
                        <w:ind w:leftChars="135" w:left="283" w:firstLineChars="600" w:firstLine="108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（総務省単価の大規模改修費の３分の１を前期分、３分の２を後期分とする。）</w:t>
                      </w:r>
                    </w:p>
                    <w:p w14:paraId="45DFFE5F" w14:textId="5BC18EC2" w:rsidR="00104FF5" w:rsidRPr="004C1386" w:rsidRDefault="00104FF5" w:rsidP="00C92693">
                      <w:pPr>
                        <w:tabs>
                          <w:tab w:val="left" w:pos="1276"/>
                        </w:tabs>
                        <w:spacing w:line="200" w:lineRule="exact"/>
                        <w:ind w:leftChars="135" w:left="1543" w:hangingChars="700" w:hanging="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大規模均等</w:t>
                      </w:r>
                      <w:r w:rsidRPr="004C1386">
                        <w:rPr>
                          <w:rFonts w:asciiTheme="majorEastAsia" w:eastAsiaTheme="majorEastAsia" w:hAnsiTheme="majorEastAsia" w:hint="eastAsia"/>
                          <w:sz w:val="18"/>
                          <w:szCs w:val="18"/>
                        </w:rPr>
                        <w:tab/>
                        <w:t>：①現時点で建設時より２６年以上、４０年未満の施設については、今後１０年間で均等に大規模改修（前期）を計上（これらの施設については、建設年から７０年後に建替経費を計上）</w:t>
                      </w:r>
                    </w:p>
                    <w:p w14:paraId="61AF19B2" w14:textId="77777777" w:rsidR="00104FF5" w:rsidRPr="004C1386" w:rsidRDefault="00104FF5" w:rsidP="00C92693">
                      <w:pPr>
                        <w:tabs>
                          <w:tab w:val="left" w:pos="1276"/>
                        </w:tabs>
                        <w:spacing w:line="200" w:lineRule="exact"/>
                        <w:ind w:leftChars="135" w:left="283" w:firstLineChars="650" w:firstLine="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②現時点で建設時より５１年以上６０年未満の施設については、今後１０年間で均等に大規模改修</w:t>
                      </w:r>
                    </w:p>
                    <w:p w14:paraId="3D2E50F6" w14:textId="2B8EA0BD" w:rsidR="00104FF5" w:rsidRPr="004C1386" w:rsidRDefault="00104FF5" w:rsidP="00C92693">
                      <w:pPr>
                        <w:tabs>
                          <w:tab w:val="left" w:pos="1276"/>
                        </w:tabs>
                        <w:spacing w:line="200" w:lineRule="exact"/>
                        <w:ind w:leftChars="135" w:left="283" w:firstLineChars="700" w:firstLine="126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（後期）を計上（これらの施設については、建設年から７０年後に建替経費を計上）</w:t>
                      </w:r>
                    </w:p>
                    <w:p w14:paraId="34E4CE07" w14:textId="60CA4FF7" w:rsidR="00104FF5" w:rsidRPr="004C1386" w:rsidRDefault="00104FF5" w:rsidP="00C92693">
                      <w:pPr>
                        <w:tabs>
                          <w:tab w:val="left" w:pos="1276"/>
                        </w:tabs>
                        <w:spacing w:line="200" w:lineRule="exact"/>
                        <w:ind w:leftChars="135" w:left="283" w:firstLineChars="650" w:firstLine="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③現時点で建設時より６０年以上経過しているものは、大規模改修は計上しない。</w:t>
                      </w:r>
                    </w:p>
                    <w:p w14:paraId="4E344278" w14:textId="29B43C93" w:rsidR="00104FF5" w:rsidRPr="004C1386" w:rsidRDefault="00104FF5" w:rsidP="00C92693">
                      <w:pPr>
                        <w:tabs>
                          <w:tab w:val="left" w:pos="1276"/>
                        </w:tabs>
                        <w:spacing w:line="200" w:lineRule="exact"/>
                        <w:ind w:leftChars="135" w:left="1453" w:hangingChars="650" w:hanging="1170"/>
                        <w:jc w:val="lef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修　　 　繕</w:t>
                      </w:r>
                      <w:r w:rsidRPr="004C1386">
                        <w:rPr>
                          <w:rFonts w:asciiTheme="majorEastAsia" w:eastAsiaTheme="majorEastAsia" w:hAnsiTheme="majorEastAsia" w:hint="eastAsia"/>
                          <w:sz w:val="18"/>
                          <w:szCs w:val="18"/>
                        </w:rPr>
                        <w:tab/>
                        <w:t>：建替経費の０．７</w:t>
                      </w:r>
                      <w:r>
                        <w:rPr>
                          <w:rFonts w:asciiTheme="majorEastAsia" w:eastAsiaTheme="majorEastAsia" w:hAnsiTheme="majorEastAsia" w:hint="eastAsia"/>
                          <w:sz w:val="18"/>
                          <w:szCs w:val="18"/>
                        </w:rPr>
                        <w:t>パーセント</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相当を毎年、予防保全費として計上（学校については０．４</w:t>
                      </w:r>
                      <w:r>
                        <w:rPr>
                          <w:rFonts w:asciiTheme="majorEastAsia" w:eastAsiaTheme="majorEastAsia" w:hAnsiTheme="majorEastAsia" w:hint="eastAsia"/>
                          <w:sz w:val="18"/>
                          <w:szCs w:val="18"/>
                        </w:rPr>
                        <w:t>パーセント</w:t>
                      </w:r>
                      <w:r w:rsidRPr="004C1386">
                        <w:rPr>
                          <w:rFonts w:asciiTheme="majorEastAsia" w:eastAsiaTheme="majorEastAsia" w:hAnsiTheme="majorEastAsia" w:hint="eastAsia"/>
                          <w:sz w:val="18"/>
                          <w:szCs w:val="18"/>
                          <w:vertAlign w:val="superscript"/>
                        </w:rPr>
                        <w:t>※２</w:t>
                      </w:r>
                      <w:r w:rsidRPr="004C1386">
                        <w:rPr>
                          <w:rFonts w:asciiTheme="majorEastAsia" w:eastAsiaTheme="majorEastAsia" w:hAnsiTheme="majorEastAsia" w:hint="eastAsia"/>
                          <w:sz w:val="18"/>
                          <w:szCs w:val="18"/>
                        </w:rPr>
                        <w:t>）</w:t>
                      </w:r>
                    </w:p>
                    <w:p w14:paraId="2119BA8A" w14:textId="40B610D5" w:rsidR="00104FF5" w:rsidRPr="004C1386" w:rsidRDefault="00104FF5" w:rsidP="00C92693">
                      <w:pPr>
                        <w:spacing w:line="200" w:lineRule="exact"/>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※１　建替え及び大規模改修単価については総務省設定単価を適用</w:t>
                      </w:r>
                    </w:p>
                    <w:p w14:paraId="2844AEDB" w14:textId="77777777" w:rsidR="00104FF5" w:rsidRPr="004C1386" w:rsidRDefault="00104FF5" w:rsidP="00C92693">
                      <w:pPr>
                        <w:spacing w:line="20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※２　平成１７年度版　建築物のライフサイクルコスト（国土交通省大臣官房官庁営繕部監修、財団法人建築保全センター編）を参考</w:t>
                      </w:r>
                    </w:p>
                    <w:p w14:paraId="559D1B24" w14:textId="012046A0" w:rsidR="00104FF5" w:rsidRPr="005479F0" w:rsidRDefault="00104FF5" w:rsidP="00C92693">
                      <w:pPr>
                        <w:spacing w:line="200" w:lineRule="exact"/>
                        <w:ind w:left="540" w:hangingChars="300" w:hanging="540"/>
                        <w:rPr>
                          <w:rFonts w:asciiTheme="majorEastAsia" w:eastAsiaTheme="majorEastAsia" w:hAnsiTheme="majorEastAsia"/>
                          <w:sz w:val="18"/>
                          <w:szCs w:val="18"/>
                        </w:rPr>
                      </w:pPr>
                      <w:r w:rsidRPr="004C1386">
                        <w:rPr>
                          <w:rFonts w:asciiTheme="majorEastAsia" w:eastAsiaTheme="majorEastAsia" w:hAnsiTheme="majorEastAsia" w:hint="eastAsia"/>
                          <w:sz w:val="18"/>
                          <w:szCs w:val="18"/>
                        </w:rPr>
                        <w:t>注）改修予定のものについても上記考え方に基</w:t>
                      </w:r>
                      <w:r w:rsidRPr="005479F0">
                        <w:rPr>
                          <w:rFonts w:asciiTheme="majorEastAsia" w:eastAsiaTheme="majorEastAsia" w:hAnsiTheme="majorEastAsia" w:hint="eastAsia"/>
                          <w:sz w:val="18"/>
                          <w:szCs w:val="18"/>
                        </w:rPr>
                        <w:t>づき試算している。</w:t>
                      </w:r>
                    </w:p>
                  </w:txbxContent>
                </v:textbox>
              </v:rect>
            </w:pict>
          </mc:Fallback>
        </mc:AlternateContent>
      </w:r>
    </w:p>
    <w:p w14:paraId="194C3E5C" w14:textId="7CC44747" w:rsidR="00E24449" w:rsidRPr="004C1386" w:rsidRDefault="00D42348" w:rsidP="00E24449">
      <w:pPr>
        <w:ind w:leftChars="400" w:left="840" w:firstLineChars="100" w:firstLine="210"/>
      </w:pPr>
      <w:r w:rsidRPr="004C1386">
        <w:rPr>
          <w:noProof/>
        </w:rPr>
        <mc:AlternateContent>
          <mc:Choice Requires="wps">
            <w:drawing>
              <wp:anchor distT="0" distB="0" distL="114300" distR="114300" simplePos="0" relativeHeight="251625984" behindDoc="0" locked="0" layoutInCell="1" allowOverlap="1" wp14:anchorId="191DEEEB" wp14:editId="735E7225">
                <wp:simplePos x="0" y="0"/>
                <wp:positionH relativeFrom="column">
                  <wp:posOffset>219131</wp:posOffset>
                </wp:positionH>
                <wp:positionV relativeFrom="paragraph">
                  <wp:posOffset>127635</wp:posOffset>
                </wp:positionV>
                <wp:extent cx="94615" cy="94615"/>
                <wp:effectExtent l="0" t="0" r="19685" b="19685"/>
                <wp:wrapNone/>
                <wp:docPr id="44" name="正方形/長方形 44"/>
                <wp:cNvGraphicFramePr/>
                <a:graphic xmlns:a="http://schemas.openxmlformats.org/drawingml/2006/main">
                  <a:graphicData uri="http://schemas.microsoft.com/office/word/2010/wordprocessingShape">
                    <wps:wsp>
                      <wps:cNvSpPr/>
                      <wps:spPr>
                        <a:xfrm>
                          <a:off x="0" y="0"/>
                          <a:ext cx="94615" cy="94615"/>
                        </a:xfrm>
                        <a:prstGeom prst="rect">
                          <a:avLst/>
                        </a:prstGeom>
                        <a:pattFill prst="pct5">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500F3" id="正方形/長方形 44" o:spid="_x0000_s1026" style="position:absolute;left:0;text-align:left;margin-left:17.25pt;margin-top:10.05pt;width:7.45pt;height:7.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" fillcolor="black [3213]" strokecolor="black [3213]" strokeweight="1pt">
                <v:fill r:id="rId27" o:title="" color2="white [3212]" type="pattern"/>
              </v:rect>
            </w:pict>
          </mc:Fallback>
        </mc:AlternateContent>
      </w:r>
    </w:p>
    <w:p w14:paraId="43D91B0D" w14:textId="11702AE1" w:rsidR="00820070" w:rsidRPr="004C1386" w:rsidRDefault="00D42348" w:rsidP="00820070">
      <w:pPr>
        <w:widowControl/>
        <w:jc w:val="left"/>
        <w:rPr>
          <w:rFonts w:ascii="ＭＳ ゴシック" w:eastAsia="ＭＳ ゴシック" w:hAnsi="ＭＳ ゴシック"/>
          <w:sz w:val="24"/>
          <w:szCs w:val="24"/>
        </w:rPr>
      </w:pPr>
      <w:r w:rsidRPr="004C1386">
        <w:rPr>
          <w:noProof/>
        </w:rPr>
        <mc:AlternateContent>
          <mc:Choice Requires="wps">
            <w:drawing>
              <wp:anchor distT="0" distB="0" distL="114300" distR="114300" simplePos="0" relativeHeight="251634176" behindDoc="0" locked="0" layoutInCell="1" allowOverlap="1" wp14:anchorId="06644CAF" wp14:editId="094DEFBA">
                <wp:simplePos x="0" y="0"/>
                <wp:positionH relativeFrom="column">
                  <wp:posOffset>219947</wp:posOffset>
                </wp:positionH>
                <wp:positionV relativeFrom="paragraph">
                  <wp:posOffset>26670</wp:posOffset>
                </wp:positionV>
                <wp:extent cx="94615" cy="94615"/>
                <wp:effectExtent l="0" t="0" r="19685" b="19685"/>
                <wp:wrapNone/>
                <wp:docPr id="47" name="正方形/長方形 47"/>
                <wp:cNvGraphicFramePr/>
                <a:graphic xmlns:a="http://schemas.openxmlformats.org/drawingml/2006/main">
                  <a:graphicData uri="http://schemas.microsoft.com/office/word/2010/wordprocessingShape">
                    <wps:wsp>
                      <wps:cNvSpPr/>
                      <wps:spPr>
                        <a:xfrm>
                          <a:off x="0" y="0"/>
                          <a:ext cx="94615" cy="94615"/>
                        </a:xfrm>
                        <a:prstGeom prst="rect">
                          <a:avLst/>
                        </a:prstGeom>
                        <a:pattFill prst="ltUpDiag">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5E7B1" id="正方形/長方形 47" o:spid="_x0000_s1026" style="position:absolute;left:0;text-align:left;margin-left:17.3pt;margin-top:2.1pt;width:7.45pt;height:7.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" fillcolor="black [3213]" strokecolor="black [3213]" strokeweight="1pt">
                <v:fill r:id="rId28" o:title="" color2="white [3212]" type="pattern"/>
              </v:rect>
            </w:pict>
          </mc:Fallback>
        </mc:AlternateContent>
      </w:r>
    </w:p>
    <w:p w14:paraId="57B39804" w14:textId="058816CE" w:rsidR="00820070" w:rsidRPr="004C1386" w:rsidRDefault="00D42348" w:rsidP="00820070">
      <w:pPr>
        <w:widowControl/>
        <w:jc w:val="left"/>
        <w:rPr>
          <w:rFonts w:ascii="ＭＳ ゴシック" w:eastAsia="ＭＳ ゴシック" w:hAnsi="ＭＳ ゴシック"/>
          <w:sz w:val="24"/>
          <w:szCs w:val="24"/>
        </w:rPr>
      </w:pPr>
      <w:r w:rsidRPr="004C1386">
        <w:rPr>
          <w:noProof/>
        </w:rPr>
        <mc:AlternateContent>
          <mc:Choice Requires="wps">
            <w:drawing>
              <wp:anchor distT="0" distB="0" distL="114300" distR="114300" simplePos="0" relativeHeight="251642368" behindDoc="0" locked="0" layoutInCell="1" allowOverlap="1" wp14:anchorId="04FC2198" wp14:editId="0DF276D5">
                <wp:simplePos x="0" y="0"/>
                <wp:positionH relativeFrom="column">
                  <wp:posOffset>219710</wp:posOffset>
                </wp:positionH>
                <wp:positionV relativeFrom="paragraph">
                  <wp:posOffset>40696</wp:posOffset>
                </wp:positionV>
                <wp:extent cx="94615" cy="94615"/>
                <wp:effectExtent l="0" t="0" r="19685" b="19685"/>
                <wp:wrapNone/>
                <wp:docPr id="48" name="正方形/長方形 48"/>
                <wp:cNvGraphicFramePr/>
                <a:graphic xmlns:a="http://schemas.openxmlformats.org/drawingml/2006/main">
                  <a:graphicData uri="http://schemas.microsoft.com/office/word/2010/wordprocessingShape">
                    <wps:wsp>
                      <wps:cNvSpPr/>
                      <wps:spPr>
                        <a:xfrm>
                          <a:off x="0" y="0"/>
                          <a:ext cx="94615" cy="94615"/>
                        </a:xfrm>
                        <a:prstGeom prst="rect">
                          <a:avLst/>
                        </a:prstGeom>
                        <a:pattFill prst="pct25">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5705E" id="正方形/長方形 48" o:spid="_x0000_s1026" style="position:absolute;left:0;text-align:left;margin-left:17.3pt;margin-top:3.2pt;width:7.45pt;height:7.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" fillcolor="black [3213]" strokecolor="black [3213]" strokeweight="1pt">
                <v:fill r:id="rId29" o:title="" color2="white [3212]" type="pattern"/>
              </v:rect>
            </w:pict>
          </mc:Fallback>
        </mc:AlternateContent>
      </w:r>
    </w:p>
    <w:p w14:paraId="1FDBA899" w14:textId="47C2B811" w:rsidR="00820070" w:rsidRPr="004C1386" w:rsidRDefault="00D42348" w:rsidP="00820070">
      <w:pPr>
        <w:widowControl/>
        <w:jc w:val="left"/>
        <w:rPr>
          <w:rFonts w:ascii="ＭＳ ゴシック" w:eastAsia="ＭＳ ゴシック" w:hAnsi="ＭＳ ゴシック"/>
          <w:sz w:val="24"/>
          <w:szCs w:val="24"/>
        </w:rPr>
      </w:pPr>
      <w:r w:rsidRPr="004C1386">
        <w:rPr>
          <w:noProof/>
        </w:rPr>
        <mc:AlternateContent>
          <mc:Choice Requires="wps">
            <w:drawing>
              <wp:anchor distT="0" distB="0" distL="114300" distR="114300" simplePos="0" relativeHeight="251650560" behindDoc="0" locked="0" layoutInCell="1" allowOverlap="1" wp14:anchorId="3D5C7AC2" wp14:editId="29C58F10">
                <wp:simplePos x="0" y="0"/>
                <wp:positionH relativeFrom="column">
                  <wp:posOffset>219947</wp:posOffset>
                </wp:positionH>
                <wp:positionV relativeFrom="paragraph">
                  <wp:posOffset>63500</wp:posOffset>
                </wp:positionV>
                <wp:extent cx="94615" cy="94615"/>
                <wp:effectExtent l="0" t="0" r="19685" b="19685"/>
                <wp:wrapNone/>
                <wp:docPr id="50" name="正方形/長方形 50"/>
                <wp:cNvGraphicFramePr/>
                <a:graphic xmlns:a="http://schemas.openxmlformats.org/drawingml/2006/main">
                  <a:graphicData uri="http://schemas.microsoft.com/office/word/2010/wordprocessingShape">
                    <wps:wsp>
                      <wps:cNvSpPr/>
                      <wps:spPr>
                        <a:xfrm>
                          <a:off x="0" y="0"/>
                          <a:ext cx="94615" cy="94615"/>
                        </a:xfrm>
                        <a:prstGeom prst="rect">
                          <a:avLst/>
                        </a:prstGeom>
                        <a:pattFill prst="smGrid">
                          <a:fgClr>
                            <a:schemeClr val="tx1"/>
                          </a:fgClr>
                          <a:bgClr>
                            <a:schemeClr val="bg1"/>
                          </a:bgClr>
                        </a:patt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7C583" id="正方形/長方形 50" o:spid="_x0000_s1026" style="position:absolute;left:0;text-align:left;margin-left:17.3pt;margin-top:5pt;width:7.45pt;height:7.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" fillcolor="black [3213]" strokecolor="black [3213]" strokeweight="1pt">
                <v:fill r:id="rId30" o:title="" color2="white [3212]" type="pattern"/>
              </v:rect>
            </w:pict>
          </mc:Fallback>
        </mc:AlternateContent>
      </w:r>
    </w:p>
    <w:p w14:paraId="1B1E0AB8" w14:textId="77777777" w:rsidR="00D60777" w:rsidRPr="004C1386" w:rsidRDefault="00D60777" w:rsidP="00820070">
      <w:pPr>
        <w:widowControl/>
        <w:jc w:val="left"/>
        <w:rPr>
          <w:rFonts w:ascii="ＭＳ ゴシック" w:eastAsia="ＭＳ ゴシック" w:hAnsi="ＭＳ ゴシック"/>
          <w:sz w:val="24"/>
          <w:szCs w:val="24"/>
        </w:rPr>
      </w:pPr>
    </w:p>
    <w:p w14:paraId="48DFB293" w14:textId="6C46D2D9" w:rsidR="00820070" w:rsidRPr="004C1386" w:rsidRDefault="00820070" w:rsidP="00820070">
      <w:pPr>
        <w:widowControl/>
        <w:jc w:val="left"/>
        <w:rPr>
          <w:rFonts w:ascii="ＭＳ ゴシック" w:eastAsia="ＭＳ ゴシック" w:hAnsi="ＭＳ ゴシック"/>
          <w:sz w:val="24"/>
          <w:szCs w:val="24"/>
        </w:rPr>
      </w:pPr>
    </w:p>
    <w:p w14:paraId="572AB97C" w14:textId="7413CE35" w:rsidR="00CD4F6A" w:rsidRPr="004C1386" w:rsidRDefault="00D42348" w:rsidP="00820070">
      <w:pPr>
        <w:widowControl/>
        <w:jc w:val="left"/>
        <w:rPr>
          <w:rFonts w:ascii="ＭＳ ゴシック" w:eastAsia="ＭＳ ゴシック" w:hAnsi="ＭＳ ゴシック"/>
          <w:sz w:val="24"/>
          <w:szCs w:val="24"/>
        </w:rPr>
      </w:pPr>
      <w:r w:rsidRPr="004C1386">
        <w:rPr>
          <w:noProof/>
        </w:rPr>
        <mc:AlternateContent>
          <mc:Choice Requires="wps">
            <w:drawing>
              <wp:anchor distT="0" distB="0" distL="114300" distR="114300" simplePos="0" relativeHeight="251658752" behindDoc="0" locked="0" layoutInCell="1" allowOverlap="1" wp14:anchorId="5EBC743D" wp14:editId="1B0E2FCF">
                <wp:simplePos x="0" y="0"/>
                <wp:positionH relativeFrom="column">
                  <wp:posOffset>219710</wp:posOffset>
                </wp:positionH>
                <wp:positionV relativeFrom="paragraph">
                  <wp:posOffset>21646</wp:posOffset>
                </wp:positionV>
                <wp:extent cx="94615" cy="94615"/>
                <wp:effectExtent l="0" t="0" r="19685" b="19685"/>
                <wp:wrapNone/>
                <wp:docPr id="51" name="正方形/長方形 51"/>
                <wp:cNvGraphicFramePr/>
                <a:graphic xmlns:a="http://schemas.openxmlformats.org/drawingml/2006/main">
                  <a:graphicData uri="http://schemas.microsoft.com/office/word/2010/wordprocessingShape">
                    <wps:wsp>
                      <wps:cNvSpPr/>
                      <wps:spPr>
                        <a:xfrm>
                          <a:off x="0" y="0"/>
                          <a:ext cx="94615" cy="94615"/>
                        </a:xfrm>
                        <a:prstGeom prst="rect">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2EF73" id="正方形/長方形 51" o:spid="_x0000_s1026" style="position:absolute;left:0;text-align:left;margin-left:17.3pt;margin-top:1.7pt;width:7.45pt;height:7.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" fillcolor="black [3213]" strokecolor="black [3213]" strokeweight="1pt"/>
            </w:pict>
          </mc:Fallback>
        </mc:AlternateContent>
      </w:r>
    </w:p>
    <w:p w14:paraId="53A7E2A3" w14:textId="77777777" w:rsidR="004C5C21" w:rsidRPr="004C1386" w:rsidRDefault="004C5C21" w:rsidP="00820070">
      <w:pPr>
        <w:widowControl/>
        <w:jc w:val="left"/>
        <w:rPr>
          <w:rFonts w:ascii="ＭＳ ゴシック" w:eastAsia="ＭＳ ゴシック" w:hAnsi="ＭＳ ゴシック"/>
          <w:sz w:val="24"/>
          <w:szCs w:val="24"/>
        </w:rPr>
      </w:pPr>
    </w:p>
    <w:p w14:paraId="48D285B2" w14:textId="4F88E9F1" w:rsidR="00820070" w:rsidRPr="004C1386" w:rsidRDefault="00820070" w:rsidP="00820070">
      <w:pPr>
        <w:widowControl/>
        <w:jc w:val="left"/>
        <w:rPr>
          <w:rFonts w:ascii="ＭＳ ゴシック" w:eastAsia="ＭＳ ゴシック" w:hAnsi="ＭＳ ゴシック"/>
          <w:sz w:val="24"/>
          <w:szCs w:val="24"/>
        </w:rPr>
      </w:pPr>
    </w:p>
    <w:p w14:paraId="6D23DAB9" w14:textId="748C7B27" w:rsidR="00004A95" w:rsidRPr="004C1386" w:rsidRDefault="00017535" w:rsidP="006228A4">
      <w:pPr>
        <w:widowControl/>
        <w:adjustRightInd w:val="0"/>
        <w:ind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○現年度予算との比較</w:t>
      </w:r>
    </w:p>
    <w:p w14:paraId="6494F33C" w14:textId="77777777" w:rsidR="006228A4" w:rsidRDefault="009D0F6F" w:rsidP="006228A4">
      <w:pPr>
        <w:widowControl/>
        <w:adjustRightInd w:val="0"/>
        <w:ind w:leftChars="100" w:left="21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lastRenderedPageBreak/>
        <w:t>本府</w:t>
      </w:r>
      <w:r w:rsidR="00F759FA" w:rsidRPr="004C1386">
        <w:rPr>
          <w:rFonts w:ascii="ＭＳ ゴシック" w:eastAsia="ＭＳ ゴシック" w:hAnsi="ＭＳ ゴシック" w:hint="eastAsia"/>
          <w:sz w:val="24"/>
          <w:szCs w:val="24"/>
        </w:rPr>
        <w:t>における</w:t>
      </w:r>
      <w:r w:rsidRPr="004C1386">
        <w:rPr>
          <w:rFonts w:ascii="ＭＳ ゴシック" w:eastAsia="ＭＳ ゴシック" w:hAnsi="ＭＳ ゴシック" w:hint="eastAsia"/>
          <w:sz w:val="24"/>
          <w:szCs w:val="24"/>
        </w:rPr>
        <w:t>建物の</w:t>
      </w:r>
      <w:r w:rsidR="005F6B4A">
        <w:rPr>
          <w:rFonts w:ascii="ＭＳ ゴシック" w:eastAsia="ＭＳ ゴシック" w:hAnsi="ＭＳ ゴシック" w:hint="eastAsia"/>
          <w:sz w:val="24"/>
          <w:szCs w:val="24"/>
        </w:rPr>
        <w:t>修繕・</w:t>
      </w:r>
      <w:r w:rsidR="00AC254D" w:rsidRPr="004C1386">
        <w:rPr>
          <w:rFonts w:ascii="ＭＳ ゴシック" w:eastAsia="ＭＳ ゴシック" w:hAnsi="ＭＳ ゴシック" w:hint="eastAsia"/>
          <w:sz w:val="24"/>
          <w:szCs w:val="24"/>
        </w:rPr>
        <w:t>更新</w:t>
      </w:r>
      <w:r w:rsidR="00F759FA" w:rsidRPr="004C1386">
        <w:rPr>
          <w:rFonts w:ascii="ＭＳ ゴシック" w:eastAsia="ＭＳ ゴシック" w:hAnsi="ＭＳ ゴシック" w:hint="eastAsia"/>
          <w:sz w:val="24"/>
          <w:szCs w:val="24"/>
        </w:rPr>
        <w:t>に対応するための平成２７年度当初予算額は約２６０億円であり、</w:t>
      </w:r>
      <w:r w:rsidR="004E23F7" w:rsidRPr="004C1386">
        <w:rPr>
          <w:rFonts w:ascii="ＭＳ ゴシック" w:eastAsia="ＭＳ ゴシック" w:hAnsi="ＭＳ ゴシック" w:hint="eastAsia"/>
          <w:sz w:val="24"/>
          <w:szCs w:val="24"/>
        </w:rPr>
        <w:t>全ての建物を築後５０年で更新すると</w:t>
      </w:r>
      <w:r w:rsidR="00F57654" w:rsidRPr="004C1386">
        <w:rPr>
          <w:rFonts w:ascii="ＭＳ ゴシック" w:eastAsia="ＭＳ ゴシック" w:hAnsi="ＭＳ ゴシック" w:hint="eastAsia"/>
          <w:sz w:val="24"/>
          <w:szCs w:val="24"/>
        </w:rPr>
        <w:t>仮定</w:t>
      </w:r>
      <w:r w:rsidR="00F759FA" w:rsidRPr="004C1386">
        <w:rPr>
          <w:rFonts w:ascii="ＭＳ ゴシック" w:eastAsia="ＭＳ ゴシック" w:hAnsi="ＭＳ ゴシック" w:hint="eastAsia"/>
          <w:sz w:val="24"/>
          <w:szCs w:val="24"/>
        </w:rPr>
        <w:t>した場合</w:t>
      </w:r>
      <w:r w:rsidR="00A26E51" w:rsidRPr="004C1386">
        <w:rPr>
          <w:rFonts w:ascii="ＭＳ ゴシック" w:eastAsia="ＭＳ ゴシック" w:hAnsi="ＭＳ ゴシック" w:hint="eastAsia"/>
          <w:sz w:val="24"/>
          <w:szCs w:val="24"/>
        </w:rPr>
        <w:t>と</w:t>
      </w:r>
      <w:r w:rsidR="00F759FA" w:rsidRPr="004C1386">
        <w:rPr>
          <w:rFonts w:ascii="ＭＳ ゴシック" w:eastAsia="ＭＳ ゴシック" w:hAnsi="ＭＳ ゴシック" w:hint="eastAsia"/>
          <w:sz w:val="24"/>
          <w:szCs w:val="24"/>
        </w:rPr>
        <w:t>の</w:t>
      </w:r>
      <w:r w:rsidR="00AC254D" w:rsidRPr="004C1386">
        <w:rPr>
          <w:rFonts w:ascii="ＭＳ ゴシック" w:eastAsia="ＭＳ ゴシック" w:hAnsi="ＭＳ ゴシック" w:hint="eastAsia"/>
          <w:sz w:val="24"/>
          <w:szCs w:val="24"/>
        </w:rPr>
        <w:t>差</w:t>
      </w:r>
      <w:r w:rsidR="00F57654" w:rsidRPr="004C1386">
        <w:rPr>
          <w:rFonts w:ascii="ＭＳ ゴシック" w:eastAsia="ＭＳ ゴシック" w:hAnsi="ＭＳ ゴシック" w:hint="eastAsia"/>
          <w:sz w:val="24"/>
          <w:szCs w:val="24"/>
        </w:rPr>
        <w:t>額は</w:t>
      </w:r>
      <w:r w:rsidR="005D3A54" w:rsidRPr="004C1386">
        <w:rPr>
          <w:rFonts w:ascii="ＭＳ ゴシック" w:eastAsia="ＭＳ ゴシック" w:hAnsi="ＭＳ ゴシック" w:hint="eastAsia"/>
          <w:sz w:val="24"/>
          <w:szCs w:val="24"/>
        </w:rPr>
        <w:t>、</w:t>
      </w:r>
      <w:r w:rsidR="00AC254D" w:rsidRPr="004C1386">
        <w:rPr>
          <w:rFonts w:ascii="ＭＳ ゴシック" w:eastAsia="ＭＳ ゴシック" w:hAnsi="ＭＳ ゴシック" w:hint="eastAsia"/>
          <w:sz w:val="24"/>
          <w:szCs w:val="24"/>
        </w:rPr>
        <w:t>平成２８年度からの</w:t>
      </w:r>
      <w:r w:rsidR="005D3A54" w:rsidRPr="004C1386">
        <w:rPr>
          <w:rFonts w:ascii="ＭＳ ゴシック" w:eastAsia="ＭＳ ゴシック" w:hAnsi="ＭＳ ゴシック" w:hint="eastAsia"/>
          <w:sz w:val="24"/>
          <w:szCs w:val="24"/>
        </w:rPr>
        <w:t>４０年間</w:t>
      </w:r>
      <w:r w:rsidR="00F57654" w:rsidRPr="004C1386">
        <w:rPr>
          <w:rFonts w:ascii="ＭＳ ゴシック" w:eastAsia="ＭＳ ゴシック" w:hAnsi="ＭＳ ゴシック" w:hint="eastAsia"/>
          <w:sz w:val="24"/>
          <w:szCs w:val="24"/>
        </w:rPr>
        <w:t>でみると毎年度</w:t>
      </w:r>
      <w:r w:rsidR="00AC254D" w:rsidRPr="004C1386">
        <w:rPr>
          <w:rFonts w:ascii="ＭＳ ゴシック" w:eastAsia="ＭＳ ゴシック" w:hAnsi="ＭＳ ゴシック" w:hint="eastAsia"/>
          <w:sz w:val="24"/>
          <w:szCs w:val="24"/>
        </w:rPr>
        <w:t>平均</w:t>
      </w:r>
      <w:r w:rsidRPr="004C1386">
        <w:rPr>
          <w:rFonts w:ascii="ＭＳ ゴシック" w:eastAsia="ＭＳ ゴシック" w:hAnsi="ＭＳ ゴシック" w:hint="eastAsia"/>
          <w:sz w:val="24"/>
          <w:szCs w:val="24"/>
        </w:rPr>
        <w:t>約</w:t>
      </w:r>
      <w:r w:rsidR="00645BBC" w:rsidRPr="004C1386">
        <w:rPr>
          <w:rFonts w:ascii="ＭＳ ゴシック" w:eastAsia="ＭＳ ゴシック" w:hAnsi="ＭＳ ゴシック" w:hint="eastAsia"/>
          <w:sz w:val="24"/>
          <w:szCs w:val="24"/>
        </w:rPr>
        <w:t>３５６</w:t>
      </w:r>
      <w:r w:rsidR="00F57654" w:rsidRPr="004C1386">
        <w:rPr>
          <w:rFonts w:ascii="ＭＳ ゴシック" w:eastAsia="ＭＳ ゴシック" w:hAnsi="ＭＳ ゴシック" w:hint="eastAsia"/>
          <w:sz w:val="24"/>
          <w:szCs w:val="24"/>
        </w:rPr>
        <w:t>億円、</w:t>
      </w:r>
      <w:r w:rsidR="00AC254D" w:rsidRPr="004C1386">
        <w:rPr>
          <w:rFonts w:ascii="ＭＳ ゴシック" w:eastAsia="ＭＳ ゴシック" w:hAnsi="ＭＳ ゴシック" w:hint="eastAsia"/>
          <w:sz w:val="24"/>
          <w:szCs w:val="24"/>
        </w:rPr>
        <w:t>直近の</w:t>
      </w:r>
      <w:r w:rsidR="00F57654" w:rsidRPr="004C1386">
        <w:rPr>
          <w:rFonts w:ascii="ＭＳ ゴシック" w:eastAsia="ＭＳ ゴシック" w:hAnsi="ＭＳ ゴシック" w:hint="eastAsia"/>
          <w:sz w:val="24"/>
          <w:szCs w:val="24"/>
        </w:rPr>
        <w:t>１０年間では毎年度</w:t>
      </w:r>
      <w:r w:rsidR="00AC254D" w:rsidRPr="004C1386">
        <w:rPr>
          <w:rFonts w:ascii="ＭＳ ゴシック" w:eastAsia="ＭＳ ゴシック" w:hAnsi="ＭＳ ゴシック" w:hint="eastAsia"/>
          <w:sz w:val="24"/>
          <w:szCs w:val="24"/>
        </w:rPr>
        <w:t>平均</w:t>
      </w:r>
      <w:r w:rsidRPr="004C1386">
        <w:rPr>
          <w:rFonts w:ascii="ＭＳ ゴシック" w:eastAsia="ＭＳ ゴシック" w:hAnsi="ＭＳ ゴシック" w:hint="eastAsia"/>
          <w:sz w:val="24"/>
          <w:szCs w:val="24"/>
        </w:rPr>
        <w:t>約</w:t>
      </w:r>
      <w:r w:rsidR="00F57654" w:rsidRPr="004C1386">
        <w:rPr>
          <w:rFonts w:ascii="ＭＳ ゴシック" w:eastAsia="ＭＳ ゴシック" w:hAnsi="ＭＳ ゴシック" w:hint="eastAsia"/>
          <w:sz w:val="24"/>
          <w:szCs w:val="24"/>
        </w:rPr>
        <w:t>７５</w:t>
      </w:r>
      <w:r w:rsidR="00645BBC" w:rsidRPr="004C1386">
        <w:rPr>
          <w:rFonts w:ascii="ＭＳ ゴシック" w:eastAsia="ＭＳ ゴシック" w:hAnsi="ＭＳ ゴシック" w:hint="eastAsia"/>
          <w:sz w:val="24"/>
          <w:szCs w:val="24"/>
        </w:rPr>
        <w:t>２</w:t>
      </w:r>
      <w:r w:rsidR="00F57654" w:rsidRPr="004C1386">
        <w:rPr>
          <w:rFonts w:ascii="ＭＳ ゴシック" w:eastAsia="ＭＳ ゴシック" w:hAnsi="ＭＳ ゴシック" w:hint="eastAsia"/>
          <w:sz w:val="24"/>
          <w:szCs w:val="24"/>
        </w:rPr>
        <w:t>億円となる。</w:t>
      </w:r>
    </w:p>
    <w:p w14:paraId="6CFB2ADE" w14:textId="7078C7C6" w:rsidR="00F57654" w:rsidRPr="004C1386" w:rsidRDefault="00F57654" w:rsidP="006228A4">
      <w:pPr>
        <w:widowControl/>
        <w:adjustRightInd w:val="0"/>
        <w:ind w:leftChars="100" w:left="210"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一方、築後７０年で更新すると仮定した場合</w:t>
      </w:r>
      <w:r w:rsidR="00A26E51" w:rsidRPr="004C1386">
        <w:rPr>
          <w:rFonts w:ascii="ＭＳ ゴシック" w:eastAsia="ＭＳ ゴシック" w:hAnsi="ＭＳ ゴシック" w:hint="eastAsia"/>
          <w:sz w:val="24"/>
          <w:szCs w:val="24"/>
        </w:rPr>
        <w:t>と</w:t>
      </w:r>
      <w:r w:rsidR="00F759FA" w:rsidRPr="004C1386">
        <w:rPr>
          <w:rFonts w:ascii="ＭＳ ゴシック" w:eastAsia="ＭＳ ゴシック" w:hAnsi="ＭＳ ゴシック" w:hint="eastAsia"/>
          <w:sz w:val="24"/>
          <w:szCs w:val="24"/>
        </w:rPr>
        <w:t>の</w:t>
      </w:r>
      <w:r w:rsidR="00AC254D" w:rsidRPr="004C1386">
        <w:rPr>
          <w:rFonts w:ascii="ＭＳ ゴシック" w:eastAsia="ＭＳ ゴシック" w:hAnsi="ＭＳ ゴシック" w:hint="eastAsia"/>
          <w:sz w:val="24"/>
          <w:szCs w:val="24"/>
        </w:rPr>
        <w:t>差額は、平成２８年度からの</w:t>
      </w:r>
      <w:r w:rsidRPr="004C1386">
        <w:rPr>
          <w:rFonts w:ascii="ＭＳ ゴシック" w:eastAsia="ＭＳ ゴシック" w:hAnsi="ＭＳ ゴシック" w:hint="eastAsia"/>
          <w:sz w:val="24"/>
          <w:szCs w:val="24"/>
        </w:rPr>
        <w:t>４０年間で毎年度</w:t>
      </w:r>
      <w:r w:rsidR="00AC254D" w:rsidRPr="004C1386">
        <w:rPr>
          <w:rFonts w:ascii="ＭＳ ゴシック" w:eastAsia="ＭＳ ゴシック" w:hAnsi="ＭＳ ゴシック" w:hint="eastAsia"/>
          <w:sz w:val="24"/>
          <w:szCs w:val="24"/>
        </w:rPr>
        <w:t>平均</w:t>
      </w:r>
      <w:r w:rsidR="009D0F6F" w:rsidRPr="004C1386">
        <w:rPr>
          <w:rFonts w:ascii="ＭＳ ゴシック" w:eastAsia="ＭＳ ゴシック" w:hAnsi="ＭＳ ゴシック" w:hint="eastAsia"/>
          <w:sz w:val="24"/>
          <w:szCs w:val="24"/>
        </w:rPr>
        <w:t>約</w:t>
      </w:r>
      <w:r w:rsidR="00645BBC" w:rsidRPr="004C1386">
        <w:rPr>
          <w:rFonts w:ascii="ＭＳ ゴシック" w:eastAsia="ＭＳ ゴシック" w:hAnsi="ＭＳ ゴシック" w:hint="eastAsia"/>
          <w:sz w:val="24"/>
          <w:szCs w:val="24"/>
        </w:rPr>
        <w:t>１８０</w:t>
      </w:r>
      <w:r w:rsidRPr="004C1386">
        <w:rPr>
          <w:rFonts w:ascii="ＭＳ ゴシック" w:eastAsia="ＭＳ ゴシック" w:hAnsi="ＭＳ ゴシック" w:hint="eastAsia"/>
          <w:sz w:val="24"/>
          <w:szCs w:val="24"/>
        </w:rPr>
        <w:t>億円、</w:t>
      </w:r>
      <w:r w:rsidR="00AC254D" w:rsidRPr="004C1386">
        <w:rPr>
          <w:rFonts w:ascii="ＭＳ ゴシック" w:eastAsia="ＭＳ ゴシック" w:hAnsi="ＭＳ ゴシック" w:hint="eastAsia"/>
          <w:sz w:val="24"/>
          <w:szCs w:val="24"/>
        </w:rPr>
        <w:t>直近の</w:t>
      </w:r>
      <w:r w:rsidRPr="004C1386">
        <w:rPr>
          <w:rFonts w:ascii="ＭＳ ゴシック" w:eastAsia="ＭＳ ゴシック" w:hAnsi="ＭＳ ゴシック" w:hint="eastAsia"/>
          <w:sz w:val="24"/>
          <w:szCs w:val="24"/>
        </w:rPr>
        <w:t>１０年間では毎年度</w:t>
      </w:r>
      <w:r w:rsidR="00AC254D" w:rsidRPr="004C1386">
        <w:rPr>
          <w:rFonts w:ascii="ＭＳ ゴシック" w:eastAsia="ＭＳ ゴシック" w:hAnsi="ＭＳ ゴシック" w:hint="eastAsia"/>
          <w:sz w:val="24"/>
          <w:szCs w:val="24"/>
        </w:rPr>
        <w:t>平均</w:t>
      </w:r>
      <w:r w:rsidR="009D0F6F" w:rsidRPr="004C1386">
        <w:rPr>
          <w:rFonts w:ascii="ＭＳ ゴシック" w:eastAsia="ＭＳ ゴシック" w:hAnsi="ＭＳ ゴシック" w:hint="eastAsia"/>
          <w:sz w:val="24"/>
          <w:szCs w:val="24"/>
        </w:rPr>
        <w:t>約</w:t>
      </w:r>
      <w:r w:rsidR="00645BBC" w:rsidRPr="004C1386">
        <w:rPr>
          <w:rFonts w:ascii="ＭＳ ゴシック" w:eastAsia="ＭＳ ゴシック" w:hAnsi="ＭＳ ゴシック" w:hint="eastAsia"/>
          <w:sz w:val="24"/>
          <w:szCs w:val="24"/>
        </w:rPr>
        <w:t>１３１</w:t>
      </w:r>
      <w:r w:rsidRPr="004C1386">
        <w:rPr>
          <w:rFonts w:ascii="ＭＳ ゴシック" w:eastAsia="ＭＳ ゴシック" w:hAnsi="ＭＳ ゴシック" w:hint="eastAsia"/>
          <w:sz w:val="24"/>
          <w:szCs w:val="24"/>
        </w:rPr>
        <w:t>億円となる。</w:t>
      </w:r>
    </w:p>
    <w:p w14:paraId="65DE6B54" w14:textId="226E0363" w:rsidR="00F57654" w:rsidRPr="004C1386" w:rsidRDefault="00F57654" w:rsidP="006228A4">
      <w:pPr>
        <w:widowControl/>
        <w:adjustRightInd w:val="0"/>
        <w:jc w:val="left"/>
        <w:rPr>
          <w:rFonts w:ascii="ＭＳ ゴシック" w:eastAsia="ＭＳ ゴシック" w:hAnsi="ＭＳ ゴシック"/>
          <w:sz w:val="24"/>
          <w:szCs w:val="24"/>
        </w:rPr>
      </w:pPr>
    </w:p>
    <w:p w14:paraId="5FF5B298" w14:textId="6563F0D1" w:rsidR="00645BBC" w:rsidRPr="004C1386" w:rsidRDefault="006228A4" w:rsidP="00820070">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645BBC" w:rsidRPr="004C1386">
        <w:rPr>
          <w:rFonts w:ascii="ＭＳ ゴシック" w:eastAsia="ＭＳ ゴシック" w:hAnsi="ＭＳ ゴシック" w:hint="eastAsia"/>
          <w:sz w:val="24"/>
          <w:szCs w:val="24"/>
        </w:rPr>
        <w:t>（５０年更新試算との差額）</w:t>
      </w:r>
    </w:p>
    <w:tbl>
      <w:tblPr>
        <w:tblW w:w="9213"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Caption w:val="現年度予算と50年更新試算との差額を示した表"/>
      </w:tblPr>
      <w:tblGrid>
        <w:gridCol w:w="1500"/>
        <w:gridCol w:w="1928"/>
        <w:gridCol w:w="1928"/>
        <w:gridCol w:w="1928"/>
        <w:gridCol w:w="1929"/>
      </w:tblGrid>
      <w:tr w:rsidR="006C71B5" w:rsidRPr="004C1386" w14:paraId="57D21C37" w14:textId="77777777" w:rsidTr="006228A4">
        <w:trPr>
          <w:trHeight w:val="520"/>
        </w:trPr>
        <w:tc>
          <w:tcPr>
            <w:tcW w:w="1500" w:type="dxa"/>
            <w:vAlign w:val="center"/>
          </w:tcPr>
          <w:p w14:paraId="0454E736" w14:textId="77777777" w:rsidR="006C71B5" w:rsidRPr="004C1386" w:rsidRDefault="006C71B5" w:rsidP="006C71B5">
            <w:pPr>
              <w:spacing w:line="260" w:lineRule="exact"/>
              <w:jc w:val="center"/>
              <w:rPr>
                <w:rFonts w:ascii="ＭＳ ゴシック" w:eastAsia="ＭＳ ゴシック" w:hAnsi="ＭＳ ゴシック"/>
                <w:sz w:val="24"/>
                <w:szCs w:val="24"/>
              </w:rPr>
            </w:pPr>
          </w:p>
        </w:tc>
        <w:tc>
          <w:tcPr>
            <w:tcW w:w="1928" w:type="dxa"/>
            <w:vAlign w:val="center"/>
          </w:tcPr>
          <w:p w14:paraId="28B47EC9" w14:textId="77777777" w:rsidR="006C71B5" w:rsidRPr="004C1386" w:rsidRDefault="006C71B5" w:rsidP="006C71B5">
            <w:pPr>
              <w:spacing w:line="260" w:lineRule="exact"/>
              <w:jc w:val="distribute"/>
              <w:rPr>
                <w:rFonts w:ascii="ＭＳ ゴシック" w:eastAsia="ＭＳ ゴシック" w:hAnsi="ＭＳ ゴシック"/>
                <w:sz w:val="20"/>
                <w:szCs w:val="20"/>
              </w:rPr>
            </w:pPr>
            <w:r w:rsidRPr="00655B44">
              <w:rPr>
                <w:rFonts w:ascii="ＭＳ ゴシック" w:eastAsia="ＭＳ ゴシック" w:hAnsi="ＭＳ ゴシック" w:hint="eastAsia"/>
                <w:sz w:val="20"/>
                <w:szCs w:val="20"/>
              </w:rPr>
              <w:t>平成28～令和7年</w:t>
            </w:r>
          </w:p>
          <w:p w14:paraId="75CF2A12" w14:textId="2F70B9EA" w:rsidR="006C71B5" w:rsidRPr="004C1386" w:rsidRDefault="006C71B5" w:rsidP="006C71B5">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(2016～2025年)</w:t>
            </w:r>
          </w:p>
        </w:tc>
        <w:tc>
          <w:tcPr>
            <w:tcW w:w="1928" w:type="dxa"/>
            <w:vAlign w:val="center"/>
          </w:tcPr>
          <w:p w14:paraId="163F86D4" w14:textId="77777777" w:rsidR="006C71B5" w:rsidRPr="004C1386" w:rsidRDefault="006C71B5" w:rsidP="006C71B5">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w:t>
            </w:r>
            <w:r w:rsidRPr="004C1386">
              <w:rPr>
                <w:rFonts w:ascii="ＭＳ ゴシック" w:eastAsia="ＭＳ ゴシック" w:hAnsi="ＭＳ ゴシック" w:hint="eastAsia"/>
                <w:sz w:val="20"/>
                <w:szCs w:val="20"/>
              </w:rPr>
              <w:t>8～</w:t>
            </w:r>
            <w:r>
              <w:rPr>
                <w:rFonts w:ascii="ＭＳ ゴシック" w:eastAsia="ＭＳ ゴシック" w:hAnsi="ＭＳ ゴシック" w:hint="eastAsia"/>
                <w:sz w:val="20"/>
                <w:szCs w:val="20"/>
              </w:rPr>
              <w:t>17</w:t>
            </w:r>
            <w:r w:rsidRPr="004C1386">
              <w:rPr>
                <w:rFonts w:ascii="ＭＳ ゴシック" w:eastAsia="ＭＳ ゴシック" w:hAnsi="ＭＳ ゴシック" w:hint="eastAsia"/>
                <w:sz w:val="20"/>
                <w:szCs w:val="20"/>
              </w:rPr>
              <w:t>年</w:t>
            </w:r>
          </w:p>
          <w:p w14:paraId="08697770" w14:textId="1E242884" w:rsidR="006C71B5" w:rsidRPr="004C1386" w:rsidRDefault="006C71B5" w:rsidP="006C71B5">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(2026～2035年)</w:t>
            </w:r>
          </w:p>
        </w:tc>
        <w:tc>
          <w:tcPr>
            <w:tcW w:w="1928" w:type="dxa"/>
            <w:vAlign w:val="center"/>
          </w:tcPr>
          <w:p w14:paraId="0010F6DB" w14:textId="77777777" w:rsidR="006C71B5" w:rsidRPr="004C1386" w:rsidRDefault="006C71B5" w:rsidP="006C71B5">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令和1</w:t>
            </w:r>
            <w:r w:rsidRPr="004C1386">
              <w:rPr>
                <w:rFonts w:ascii="ＭＳ ゴシック" w:eastAsia="ＭＳ ゴシック" w:hAnsi="ＭＳ ゴシック" w:hint="eastAsia"/>
                <w:sz w:val="20"/>
                <w:szCs w:val="20"/>
              </w:rPr>
              <w:t>8～</w:t>
            </w:r>
            <w:r>
              <w:rPr>
                <w:rFonts w:ascii="ＭＳ ゴシック" w:eastAsia="ＭＳ ゴシック" w:hAnsi="ＭＳ ゴシック" w:hint="eastAsia"/>
                <w:sz w:val="20"/>
                <w:szCs w:val="20"/>
              </w:rPr>
              <w:t>2</w:t>
            </w:r>
            <w:r w:rsidRPr="004C1386">
              <w:rPr>
                <w:rFonts w:ascii="ＭＳ ゴシック" w:eastAsia="ＭＳ ゴシック" w:hAnsi="ＭＳ ゴシック" w:hint="eastAsia"/>
                <w:sz w:val="20"/>
                <w:szCs w:val="20"/>
              </w:rPr>
              <w:t>7年</w:t>
            </w:r>
          </w:p>
          <w:p w14:paraId="14DAC371" w14:textId="25DAE18A" w:rsidR="006C71B5" w:rsidRPr="004C1386" w:rsidRDefault="006C71B5" w:rsidP="006C71B5">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(2036～2045年)</w:t>
            </w:r>
          </w:p>
        </w:tc>
        <w:tc>
          <w:tcPr>
            <w:tcW w:w="1929" w:type="dxa"/>
            <w:vAlign w:val="center"/>
          </w:tcPr>
          <w:p w14:paraId="1B853BC4" w14:textId="77777777" w:rsidR="006C71B5" w:rsidRPr="004C1386" w:rsidRDefault="006C71B5" w:rsidP="006C71B5">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令和2</w:t>
            </w:r>
            <w:r w:rsidRPr="004C1386">
              <w:rPr>
                <w:rFonts w:ascii="ＭＳ ゴシック" w:eastAsia="ＭＳ ゴシック" w:hAnsi="ＭＳ ゴシック" w:hint="eastAsia"/>
                <w:sz w:val="20"/>
                <w:szCs w:val="20"/>
              </w:rPr>
              <w:t>8～</w:t>
            </w:r>
            <w:r>
              <w:rPr>
                <w:rFonts w:ascii="ＭＳ ゴシック" w:eastAsia="ＭＳ ゴシック" w:hAnsi="ＭＳ ゴシック" w:hint="eastAsia"/>
                <w:sz w:val="20"/>
                <w:szCs w:val="20"/>
              </w:rPr>
              <w:t>37</w:t>
            </w:r>
            <w:r w:rsidRPr="004C1386">
              <w:rPr>
                <w:rFonts w:ascii="ＭＳ ゴシック" w:eastAsia="ＭＳ ゴシック" w:hAnsi="ＭＳ ゴシック" w:hint="eastAsia"/>
                <w:sz w:val="20"/>
                <w:szCs w:val="20"/>
              </w:rPr>
              <w:t>年</w:t>
            </w:r>
          </w:p>
          <w:p w14:paraId="3CD2BD60" w14:textId="6152972E" w:rsidR="006C71B5" w:rsidRPr="004C1386" w:rsidRDefault="006C71B5" w:rsidP="006C71B5">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(2046～2055年)</w:t>
            </w:r>
          </w:p>
        </w:tc>
      </w:tr>
      <w:tr w:rsidR="004C1386" w:rsidRPr="004C1386" w14:paraId="4A949AF5" w14:textId="77777777" w:rsidTr="006228A4">
        <w:trPr>
          <w:trHeight w:val="520"/>
        </w:trPr>
        <w:tc>
          <w:tcPr>
            <w:tcW w:w="1500" w:type="dxa"/>
            <w:vAlign w:val="center"/>
          </w:tcPr>
          <w:p w14:paraId="32913DAD" w14:textId="7777777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10年平均</w:t>
            </w:r>
          </w:p>
        </w:tc>
        <w:tc>
          <w:tcPr>
            <w:tcW w:w="1928" w:type="dxa"/>
            <w:vAlign w:val="center"/>
          </w:tcPr>
          <w:p w14:paraId="08F7EB92" w14:textId="2F3EBE73"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約752億円/年</w:t>
            </w:r>
          </w:p>
        </w:tc>
        <w:tc>
          <w:tcPr>
            <w:tcW w:w="1928" w:type="dxa"/>
            <w:vAlign w:val="center"/>
          </w:tcPr>
          <w:p w14:paraId="2A14EBB9" w14:textId="151D055E"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約207億円/年</w:t>
            </w:r>
          </w:p>
        </w:tc>
        <w:tc>
          <w:tcPr>
            <w:tcW w:w="1928" w:type="dxa"/>
            <w:vAlign w:val="center"/>
          </w:tcPr>
          <w:p w14:paraId="7FA3EE12" w14:textId="1563947C"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約180億円/年</w:t>
            </w:r>
          </w:p>
        </w:tc>
        <w:tc>
          <w:tcPr>
            <w:tcW w:w="1929" w:type="dxa"/>
            <w:vAlign w:val="center"/>
          </w:tcPr>
          <w:p w14:paraId="4EF12EE3" w14:textId="2844086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約285億円/年</w:t>
            </w:r>
          </w:p>
        </w:tc>
      </w:tr>
      <w:tr w:rsidR="004C1386" w:rsidRPr="004C1386" w14:paraId="12654AD8" w14:textId="77777777" w:rsidTr="006228A4">
        <w:trPr>
          <w:trHeight w:val="520"/>
        </w:trPr>
        <w:tc>
          <w:tcPr>
            <w:tcW w:w="1500" w:type="dxa"/>
            <w:vAlign w:val="center"/>
          </w:tcPr>
          <w:p w14:paraId="420991D4" w14:textId="7777777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20年平均</w:t>
            </w:r>
          </w:p>
        </w:tc>
        <w:tc>
          <w:tcPr>
            <w:tcW w:w="3856" w:type="dxa"/>
            <w:gridSpan w:val="2"/>
            <w:vAlign w:val="center"/>
          </w:tcPr>
          <w:p w14:paraId="042C5048" w14:textId="5503297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約480億円/年</w:t>
            </w:r>
          </w:p>
        </w:tc>
        <w:tc>
          <w:tcPr>
            <w:tcW w:w="3857" w:type="dxa"/>
            <w:gridSpan w:val="2"/>
            <w:vAlign w:val="center"/>
          </w:tcPr>
          <w:p w14:paraId="33107A9A" w14:textId="755A9018"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約232億円/年</w:t>
            </w:r>
          </w:p>
        </w:tc>
      </w:tr>
      <w:tr w:rsidR="004C1386" w:rsidRPr="004C1386" w14:paraId="2A17D5D6" w14:textId="77777777" w:rsidTr="006228A4">
        <w:trPr>
          <w:trHeight w:val="520"/>
        </w:trPr>
        <w:tc>
          <w:tcPr>
            <w:tcW w:w="1500" w:type="dxa"/>
            <w:tcBorders>
              <w:bottom w:val="single" w:sz="4" w:space="0" w:color="auto"/>
            </w:tcBorders>
            <w:vAlign w:val="center"/>
          </w:tcPr>
          <w:p w14:paraId="52F4FC43" w14:textId="7777777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40年平均</w:t>
            </w:r>
          </w:p>
        </w:tc>
        <w:tc>
          <w:tcPr>
            <w:tcW w:w="7713" w:type="dxa"/>
            <w:gridSpan w:val="4"/>
            <w:tcBorders>
              <w:bottom w:val="single" w:sz="4" w:space="0" w:color="auto"/>
            </w:tcBorders>
            <w:vAlign w:val="center"/>
          </w:tcPr>
          <w:p w14:paraId="1B7E6E3C" w14:textId="2E56EF11"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約356億円/年</w:t>
            </w:r>
          </w:p>
        </w:tc>
      </w:tr>
    </w:tbl>
    <w:p w14:paraId="3C52BF8E" w14:textId="3DEAF2E8" w:rsidR="006228A4" w:rsidRDefault="006228A4" w:rsidP="006228A4">
      <w:pPr>
        <w:widowControl/>
        <w:jc w:val="left"/>
        <w:rPr>
          <w:rFonts w:ascii="ＭＳ ゴシック" w:eastAsia="ＭＳ ゴシック" w:hAnsi="ＭＳ ゴシック"/>
          <w:bCs/>
          <w:sz w:val="24"/>
          <w:szCs w:val="24"/>
        </w:rPr>
      </w:pPr>
    </w:p>
    <w:p w14:paraId="79400CFB" w14:textId="4B8A3207" w:rsidR="00645BBC" w:rsidRPr="004C1386" w:rsidRDefault="00645BBC" w:rsidP="006228A4">
      <w:pPr>
        <w:widowControl/>
        <w:ind w:firstLineChars="100" w:firstLine="240"/>
        <w:jc w:val="left"/>
        <w:rPr>
          <w:rFonts w:ascii="ＭＳ ゴシック" w:eastAsia="ＭＳ ゴシック" w:hAnsi="ＭＳ ゴシック"/>
          <w:sz w:val="24"/>
          <w:szCs w:val="24"/>
        </w:rPr>
      </w:pPr>
      <w:r w:rsidRPr="004C1386">
        <w:rPr>
          <w:rFonts w:ascii="ＭＳ ゴシック" w:eastAsia="ＭＳ ゴシック" w:hAnsi="ＭＳ ゴシック" w:hint="eastAsia"/>
          <w:sz w:val="24"/>
          <w:szCs w:val="24"/>
        </w:rPr>
        <w:t>（７０年更新試算との差額）</w:t>
      </w:r>
    </w:p>
    <w:tbl>
      <w:tblPr>
        <w:tblW w:w="9213"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Caption w:val="現年度予算と70年更新試算との差額を示した表"/>
      </w:tblPr>
      <w:tblGrid>
        <w:gridCol w:w="1500"/>
        <w:gridCol w:w="1928"/>
        <w:gridCol w:w="1928"/>
        <w:gridCol w:w="1928"/>
        <w:gridCol w:w="1929"/>
      </w:tblGrid>
      <w:tr w:rsidR="006C71B5" w:rsidRPr="004C1386" w14:paraId="695E49BB" w14:textId="77777777" w:rsidTr="006228A4">
        <w:trPr>
          <w:trHeight w:val="520"/>
        </w:trPr>
        <w:tc>
          <w:tcPr>
            <w:tcW w:w="1500" w:type="dxa"/>
            <w:vAlign w:val="center"/>
          </w:tcPr>
          <w:p w14:paraId="293EF771" w14:textId="77777777" w:rsidR="006C71B5" w:rsidRPr="004C1386" w:rsidRDefault="006C71B5" w:rsidP="006C71B5">
            <w:pPr>
              <w:spacing w:line="260" w:lineRule="exact"/>
              <w:jc w:val="center"/>
              <w:rPr>
                <w:rFonts w:ascii="ＭＳ ゴシック" w:eastAsia="ＭＳ ゴシック" w:hAnsi="ＭＳ ゴシック"/>
                <w:sz w:val="24"/>
                <w:szCs w:val="24"/>
              </w:rPr>
            </w:pPr>
          </w:p>
        </w:tc>
        <w:tc>
          <w:tcPr>
            <w:tcW w:w="1928" w:type="dxa"/>
            <w:vAlign w:val="center"/>
          </w:tcPr>
          <w:p w14:paraId="475ADB6D" w14:textId="77777777" w:rsidR="006C71B5" w:rsidRPr="004C1386" w:rsidRDefault="006C71B5" w:rsidP="006C71B5">
            <w:pPr>
              <w:spacing w:line="260" w:lineRule="exact"/>
              <w:jc w:val="distribute"/>
              <w:rPr>
                <w:rFonts w:ascii="ＭＳ ゴシック" w:eastAsia="ＭＳ ゴシック" w:hAnsi="ＭＳ ゴシック"/>
                <w:sz w:val="20"/>
                <w:szCs w:val="20"/>
              </w:rPr>
            </w:pPr>
            <w:r w:rsidRPr="00655B44">
              <w:rPr>
                <w:rFonts w:ascii="ＭＳ ゴシック" w:eastAsia="ＭＳ ゴシック" w:hAnsi="ＭＳ ゴシック" w:hint="eastAsia"/>
                <w:sz w:val="20"/>
                <w:szCs w:val="20"/>
              </w:rPr>
              <w:t>平成28～令和7年</w:t>
            </w:r>
          </w:p>
          <w:p w14:paraId="031D9152" w14:textId="03A0B872" w:rsidR="006C71B5" w:rsidRPr="004C1386" w:rsidRDefault="006C71B5" w:rsidP="006C71B5">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(2016～2025年)</w:t>
            </w:r>
          </w:p>
        </w:tc>
        <w:tc>
          <w:tcPr>
            <w:tcW w:w="1928" w:type="dxa"/>
            <w:vAlign w:val="center"/>
          </w:tcPr>
          <w:p w14:paraId="2B31AB8F" w14:textId="77777777" w:rsidR="006C71B5" w:rsidRPr="004C1386" w:rsidRDefault="006C71B5" w:rsidP="006C71B5">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w:t>
            </w:r>
            <w:r w:rsidRPr="004C1386">
              <w:rPr>
                <w:rFonts w:ascii="ＭＳ ゴシック" w:eastAsia="ＭＳ ゴシック" w:hAnsi="ＭＳ ゴシック" w:hint="eastAsia"/>
                <w:sz w:val="20"/>
                <w:szCs w:val="20"/>
              </w:rPr>
              <w:t>8～</w:t>
            </w:r>
            <w:r>
              <w:rPr>
                <w:rFonts w:ascii="ＭＳ ゴシック" w:eastAsia="ＭＳ ゴシック" w:hAnsi="ＭＳ ゴシック" w:hint="eastAsia"/>
                <w:sz w:val="20"/>
                <w:szCs w:val="20"/>
              </w:rPr>
              <w:t>17</w:t>
            </w:r>
            <w:r w:rsidRPr="004C1386">
              <w:rPr>
                <w:rFonts w:ascii="ＭＳ ゴシック" w:eastAsia="ＭＳ ゴシック" w:hAnsi="ＭＳ ゴシック" w:hint="eastAsia"/>
                <w:sz w:val="20"/>
                <w:szCs w:val="20"/>
              </w:rPr>
              <w:t>年</w:t>
            </w:r>
          </w:p>
          <w:p w14:paraId="1FEB2E23" w14:textId="2B8F6391" w:rsidR="006C71B5" w:rsidRPr="004C1386" w:rsidRDefault="006C71B5" w:rsidP="006C71B5">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(2026～2035年)</w:t>
            </w:r>
          </w:p>
        </w:tc>
        <w:tc>
          <w:tcPr>
            <w:tcW w:w="1928" w:type="dxa"/>
            <w:vAlign w:val="center"/>
          </w:tcPr>
          <w:p w14:paraId="05319A2E" w14:textId="77777777" w:rsidR="006C71B5" w:rsidRPr="004C1386" w:rsidRDefault="006C71B5" w:rsidP="006C71B5">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令和1</w:t>
            </w:r>
            <w:r w:rsidRPr="004C1386">
              <w:rPr>
                <w:rFonts w:ascii="ＭＳ ゴシック" w:eastAsia="ＭＳ ゴシック" w:hAnsi="ＭＳ ゴシック" w:hint="eastAsia"/>
                <w:sz w:val="20"/>
                <w:szCs w:val="20"/>
              </w:rPr>
              <w:t>8～</w:t>
            </w:r>
            <w:r>
              <w:rPr>
                <w:rFonts w:ascii="ＭＳ ゴシック" w:eastAsia="ＭＳ ゴシック" w:hAnsi="ＭＳ ゴシック" w:hint="eastAsia"/>
                <w:sz w:val="20"/>
                <w:szCs w:val="20"/>
              </w:rPr>
              <w:t>2</w:t>
            </w:r>
            <w:r w:rsidRPr="004C1386">
              <w:rPr>
                <w:rFonts w:ascii="ＭＳ ゴシック" w:eastAsia="ＭＳ ゴシック" w:hAnsi="ＭＳ ゴシック" w:hint="eastAsia"/>
                <w:sz w:val="20"/>
                <w:szCs w:val="20"/>
              </w:rPr>
              <w:t>7年</w:t>
            </w:r>
          </w:p>
          <w:p w14:paraId="1DC60A1A" w14:textId="5AF494D3" w:rsidR="006C71B5" w:rsidRPr="004C1386" w:rsidRDefault="006C71B5" w:rsidP="006C71B5">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(2036～2045年)</w:t>
            </w:r>
          </w:p>
        </w:tc>
        <w:tc>
          <w:tcPr>
            <w:tcW w:w="1929" w:type="dxa"/>
            <w:vAlign w:val="center"/>
          </w:tcPr>
          <w:p w14:paraId="7EB93908" w14:textId="77777777" w:rsidR="006C71B5" w:rsidRPr="004C1386" w:rsidRDefault="006C71B5" w:rsidP="006C71B5">
            <w:pPr>
              <w:spacing w:line="26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令和2</w:t>
            </w:r>
            <w:r w:rsidRPr="004C1386">
              <w:rPr>
                <w:rFonts w:ascii="ＭＳ ゴシック" w:eastAsia="ＭＳ ゴシック" w:hAnsi="ＭＳ ゴシック" w:hint="eastAsia"/>
                <w:sz w:val="20"/>
                <w:szCs w:val="20"/>
              </w:rPr>
              <w:t>8～</w:t>
            </w:r>
            <w:r>
              <w:rPr>
                <w:rFonts w:ascii="ＭＳ ゴシック" w:eastAsia="ＭＳ ゴシック" w:hAnsi="ＭＳ ゴシック" w:hint="eastAsia"/>
                <w:sz w:val="20"/>
                <w:szCs w:val="20"/>
              </w:rPr>
              <w:t>37</w:t>
            </w:r>
            <w:r w:rsidRPr="004C1386">
              <w:rPr>
                <w:rFonts w:ascii="ＭＳ ゴシック" w:eastAsia="ＭＳ ゴシック" w:hAnsi="ＭＳ ゴシック" w:hint="eastAsia"/>
                <w:sz w:val="20"/>
                <w:szCs w:val="20"/>
              </w:rPr>
              <w:t>年</w:t>
            </w:r>
          </w:p>
          <w:p w14:paraId="77A0A81D" w14:textId="22CDEB68" w:rsidR="006C71B5" w:rsidRPr="004C1386" w:rsidRDefault="006C71B5" w:rsidP="006C71B5">
            <w:pPr>
              <w:spacing w:line="260" w:lineRule="exact"/>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(2046～2055年)</w:t>
            </w:r>
          </w:p>
        </w:tc>
      </w:tr>
      <w:tr w:rsidR="004C1386" w:rsidRPr="004C1386" w14:paraId="68F29B48" w14:textId="77777777" w:rsidTr="006228A4">
        <w:trPr>
          <w:trHeight w:val="520"/>
        </w:trPr>
        <w:tc>
          <w:tcPr>
            <w:tcW w:w="1500" w:type="dxa"/>
            <w:vAlign w:val="center"/>
          </w:tcPr>
          <w:p w14:paraId="613F8C09" w14:textId="7777777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10年平均</w:t>
            </w:r>
          </w:p>
        </w:tc>
        <w:tc>
          <w:tcPr>
            <w:tcW w:w="1928" w:type="dxa"/>
            <w:vAlign w:val="center"/>
          </w:tcPr>
          <w:p w14:paraId="5DEC0DD5" w14:textId="6C92095E"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約131億円/年</w:t>
            </w:r>
          </w:p>
        </w:tc>
        <w:tc>
          <w:tcPr>
            <w:tcW w:w="1928" w:type="dxa"/>
            <w:vAlign w:val="center"/>
          </w:tcPr>
          <w:p w14:paraId="43DB990B" w14:textId="784A17D3"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w:t>
            </w:r>
            <w:r w:rsidR="006557A0" w:rsidRPr="004C1386">
              <w:rPr>
                <w:rFonts w:ascii="ＭＳ ゴシック" w:eastAsia="ＭＳ ゴシック" w:hAnsi="ＭＳ ゴシック" w:hint="eastAsia"/>
                <w:kern w:val="0"/>
                <w:sz w:val="20"/>
                <w:szCs w:val="20"/>
              </w:rPr>
              <w:t>▲</w:t>
            </w:r>
            <w:r w:rsidRPr="004C1386">
              <w:rPr>
                <w:rFonts w:ascii="ＭＳ ゴシック" w:eastAsia="ＭＳ ゴシック" w:hAnsi="ＭＳ ゴシック" w:hint="eastAsia"/>
                <w:kern w:val="0"/>
                <w:sz w:val="20"/>
                <w:szCs w:val="20"/>
              </w:rPr>
              <w:t>11億円/年</w:t>
            </w:r>
          </w:p>
        </w:tc>
        <w:tc>
          <w:tcPr>
            <w:tcW w:w="1928" w:type="dxa"/>
            <w:vAlign w:val="center"/>
          </w:tcPr>
          <w:p w14:paraId="5A8B0DB7" w14:textId="397E5E33"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約331億円/年</w:t>
            </w:r>
          </w:p>
        </w:tc>
        <w:tc>
          <w:tcPr>
            <w:tcW w:w="1929" w:type="dxa"/>
            <w:vAlign w:val="center"/>
          </w:tcPr>
          <w:p w14:paraId="239A13B4" w14:textId="3FF0988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約270億円/年</w:t>
            </w:r>
          </w:p>
        </w:tc>
      </w:tr>
      <w:tr w:rsidR="004C1386" w:rsidRPr="004C1386" w14:paraId="32D0A279" w14:textId="77777777" w:rsidTr="006228A4">
        <w:trPr>
          <w:trHeight w:val="520"/>
        </w:trPr>
        <w:tc>
          <w:tcPr>
            <w:tcW w:w="1500" w:type="dxa"/>
            <w:vAlign w:val="center"/>
          </w:tcPr>
          <w:p w14:paraId="3E3C1084" w14:textId="44F05E31"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20年平均</w:t>
            </w:r>
          </w:p>
        </w:tc>
        <w:tc>
          <w:tcPr>
            <w:tcW w:w="3856" w:type="dxa"/>
            <w:gridSpan w:val="2"/>
            <w:vAlign w:val="center"/>
          </w:tcPr>
          <w:p w14:paraId="21527F5B" w14:textId="4D2BB13D" w:rsidR="00645BBC" w:rsidRPr="004C1386" w:rsidRDefault="00645BBC" w:rsidP="001E5057">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w:t>
            </w:r>
            <w:r w:rsidR="001E5057" w:rsidRPr="004C1386">
              <w:rPr>
                <w:rFonts w:ascii="ＭＳ ゴシック" w:eastAsia="ＭＳ ゴシック" w:hAnsi="ＭＳ ゴシック" w:hint="eastAsia"/>
                <w:sz w:val="20"/>
                <w:szCs w:val="20"/>
              </w:rPr>
              <w:t>6</w:t>
            </w:r>
            <w:r w:rsidRPr="004C1386">
              <w:rPr>
                <w:rFonts w:ascii="ＭＳ ゴシック" w:eastAsia="ＭＳ ゴシック" w:hAnsi="ＭＳ ゴシック" w:hint="eastAsia"/>
                <w:sz w:val="20"/>
                <w:szCs w:val="20"/>
              </w:rPr>
              <w:t>0億円/年</w:t>
            </w:r>
          </w:p>
        </w:tc>
        <w:tc>
          <w:tcPr>
            <w:tcW w:w="3857" w:type="dxa"/>
            <w:gridSpan w:val="2"/>
            <w:vAlign w:val="center"/>
          </w:tcPr>
          <w:p w14:paraId="74EC9302" w14:textId="1BCBA5F5"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kern w:val="0"/>
                <w:sz w:val="20"/>
                <w:szCs w:val="20"/>
              </w:rPr>
              <w:t>約300億円/年</w:t>
            </w:r>
          </w:p>
        </w:tc>
      </w:tr>
      <w:tr w:rsidR="004C1386" w:rsidRPr="004C1386" w14:paraId="321483C9" w14:textId="77777777" w:rsidTr="006228A4">
        <w:trPr>
          <w:trHeight w:val="520"/>
        </w:trPr>
        <w:tc>
          <w:tcPr>
            <w:tcW w:w="1500" w:type="dxa"/>
            <w:tcBorders>
              <w:bottom w:val="single" w:sz="4" w:space="0" w:color="auto"/>
            </w:tcBorders>
            <w:vAlign w:val="center"/>
          </w:tcPr>
          <w:p w14:paraId="08F5C16B" w14:textId="77777777"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40年平均</w:t>
            </w:r>
          </w:p>
        </w:tc>
        <w:tc>
          <w:tcPr>
            <w:tcW w:w="7713" w:type="dxa"/>
            <w:gridSpan w:val="4"/>
            <w:tcBorders>
              <w:bottom w:val="single" w:sz="4" w:space="0" w:color="auto"/>
            </w:tcBorders>
            <w:vAlign w:val="center"/>
          </w:tcPr>
          <w:p w14:paraId="5709E7F5" w14:textId="443E1D9E" w:rsidR="00645BBC" w:rsidRPr="004C1386" w:rsidRDefault="00645BBC" w:rsidP="006557A0">
            <w:pPr>
              <w:jc w:val="center"/>
              <w:rPr>
                <w:rFonts w:ascii="ＭＳ ゴシック" w:eastAsia="ＭＳ ゴシック" w:hAnsi="ＭＳ ゴシック"/>
                <w:sz w:val="20"/>
                <w:szCs w:val="20"/>
              </w:rPr>
            </w:pPr>
            <w:r w:rsidRPr="004C1386">
              <w:rPr>
                <w:rFonts w:ascii="ＭＳ ゴシック" w:eastAsia="ＭＳ ゴシック" w:hAnsi="ＭＳ ゴシック" w:hint="eastAsia"/>
                <w:sz w:val="20"/>
                <w:szCs w:val="20"/>
              </w:rPr>
              <w:t>約180億円/年</w:t>
            </w:r>
          </w:p>
        </w:tc>
      </w:tr>
    </w:tbl>
    <w:p w14:paraId="5810916E" w14:textId="461A8008" w:rsidR="00645BBC" w:rsidRPr="004C1386" w:rsidRDefault="00493187" w:rsidP="00645BBC">
      <w:pPr>
        <w:rPr>
          <w:rFonts w:ascii="ＭＳ ゴシック" w:eastAsia="ＭＳ ゴシック" w:hAnsi="ＭＳ ゴシック"/>
          <w:bCs/>
          <w:sz w:val="24"/>
          <w:szCs w:val="24"/>
        </w:rPr>
      </w:pPr>
      <w:r w:rsidRPr="004C1386">
        <w:rPr>
          <w:rFonts w:ascii="ＭＳ ゴシック" w:eastAsia="ＭＳ ゴシック" w:hAnsi="ＭＳ ゴシック"/>
          <w:bCs/>
          <w:noProof/>
          <w:sz w:val="24"/>
          <w:szCs w:val="24"/>
        </w:rPr>
        <mc:AlternateContent>
          <mc:Choice Requires="wps">
            <w:drawing>
              <wp:anchor distT="0" distB="0" distL="114300" distR="114300" simplePos="0" relativeHeight="251608575" behindDoc="0" locked="0" layoutInCell="1" allowOverlap="1" wp14:anchorId="7C282F5E" wp14:editId="0A4CC742">
                <wp:simplePos x="0" y="0"/>
                <wp:positionH relativeFrom="column">
                  <wp:posOffset>280035</wp:posOffset>
                </wp:positionH>
                <wp:positionV relativeFrom="paragraph">
                  <wp:posOffset>175895</wp:posOffset>
                </wp:positionV>
                <wp:extent cx="5895975" cy="3305175"/>
                <wp:effectExtent l="0" t="0" r="28575" b="28575"/>
                <wp:wrapNone/>
                <wp:docPr id="10" name="角丸四角形 10"/>
                <wp:cNvGraphicFramePr/>
                <a:graphic xmlns:a="http://schemas.openxmlformats.org/drawingml/2006/main">
                  <a:graphicData uri="http://schemas.microsoft.com/office/word/2010/wordprocessingShape">
                    <wps:wsp>
                      <wps:cNvSpPr/>
                      <wps:spPr>
                        <a:xfrm>
                          <a:off x="0" y="0"/>
                          <a:ext cx="5895975" cy="3305175"/>
                        </a:xfrm>
                        <a:prstGeom prst="roundRect">
                          <a:avLst/>
                        </a:prstGeom>
                        <a:ln w="317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5C457F7C" w14:textId="0AB6B91A" w:rsidR="00104FF5" w:rsidRPr="0088778B" w:rsidRDefault="00104FF5" w:rsidP="0088778B">
                            <w:pPr>
                              <w:ind w:firstLineChars="100" w:firstLine="210"/>
                              <w:rPr>
                                <w:rFonts w:asciiTheme="majorEastAsia" w:eastAsiaTheme="majorEastAsia" w:hAnsiTheme="majorEastAsia"/>
                                <w:szCs w:val="21"/>
                                <w:u w:val="single"/>
                              </w:rPr>
                            </w:pPr>
                            <w:r w:rsidRPr="0088778B">
                              <w:rPr>
                                <w:rFonts w:asciiTheme="majorEastAsia" w:eastAsiaTheme="majorEastAsia" w:hAnsiTheme="majorEastAsia" w:hint="eastAsia"/>
                                <w:szCs w:val="21"/>
                                <w:u w:val="single"/>
                              </w:rPr>
                              <w:t>【参考】　「５０年更新」と「７０年更新」の試算の事例比較</w:t>
                            </w:r>
                          </w:p>
                          <w:p w14:paraId="08A262D5" w14:textId="431815E1"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（モデル）</w:t>
                            </w:r>
                          </w:p>
                          <w:p w14:paraId="196091A1" w14:textId="5059226E" w:rsidR="00104FF5" w:rsidRPr="008F4AC2" w:rsidRDefault="00104FF5"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建物類型　：事務所</w:t>
                            </w:r>
                          </w:p>
                          <w:p w14:paraId="60ABFBB9" w14:textId="068AC71B" w:rsidR="00104FF5" w:rsidRPr="008F4AC2" w:rsidRDefault="00104FF5"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建物価格　：１００億円</w:t>
                            </w:r>
                          </w:p>
                          <w:p w14:paraId="75F9629D" w14:textId="6ADCEC59" w:rsidR="00104FF5" w:rsidRPr="008F4AC2" w:rsidRDefault="00104FF5"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大規模改修：建物価格の６２．５</w:t>
                            </w:r>
                            <w:r>
                              <w:rPr>
                                <w:rFonts w:asciiTheme="majorEastAsia" w:eastAsiaTheme="majorEastAsia" w:hAnsiTheme="majorEastAsia" w:hint="eastAsia"/>
                                <w:sz w:val="20"/>
                                <w:szCs w:val="20"/>
                              </w:rPr>
                              <w:t>パーセント</w:t>
                            </w:r>
                          </w:p>
                          <w:p w14:paraId="74A6D76D" w14:textId="4F3B544C" w:rsidR="00104FF5" w:rsidRDefault="00104FF5" w:rsidP="00D1447B">
                            <w:pPr>
                              <w:rPr>
                                <w:rFonts w:asciiTheme="majorEastAsia" w:eastAsiaTheme="majorEastAsia" w:hAnsiTheme="majorEastAsia"/>
                              </w:rPr>
                            </w:pPr>
                          </w:p>
                          <w:p w14:paraId="2567EE24" w14:textId="77777777" w:rsidR="00104FF5" w:rsidRPr="008F4AC2" w:rsidRDefault="00104FF5" w:rsidP="00D1447B">
                            <w:pPr>
                              <w:rPr>
                                <w:rFonts w:asciiTheme="majorEastAsia" w:eastAsiaTheme="majorEastAsia" w:hAnsiTheme="majorEastAsia"/>
                              </w:rPr>
                            </w:pPr>
                          </w:p>
                          <w:p w14:paraId="231C6F91" w14:textId="77777777" w:rsidR="00104FF5" w:rsidRPr="008F4AC2" w:rsidRDefault="00104FF5" w:rsidP="00D1447B">
                            <w:pPr>
                              <w:rPr>
                                <w:rFonts w:asciiTheme="majorEastAsia" w:eastAsiaTheme="majorEastAsia" w:hAnsiTheme="majorEastAsia"/>
                              </w:rPr>
                            </w:pPr>
                          </w:p>
                          <w:p w14:paraId="6CEE1FE0" w14:textId="77777777" w:rsidR="00104FF5" w:rsidRDefault="00104FF5" w:rsidP="00D1447B">
                            <w:pPr>
                              <w:rPr>
                                <w:rFonts w:asciiTheme="majorEastAsia" w:eastAsiaTheme="majorEastAsia" w:hAnsiTheme="majorEastAsia"/>
                              </w:rPr>
                            </w:pPr>
                          </w:p>
                          <w:p w14:paraId="2E60BEE0" w14:textId="77777777" w:rsidR="00104FF5" w:rsidRDefault="00104FF5" w:rsidP="00D1447B">
                            <w:pPr>
                              <w:rPr>
                                <w:rFonts w:asciiTheme="majorEastAsia" w:eastAsiaTheme="majorEastAsia" w:hAnsiTheme="majorEastAsia"/>
                              </w:rPr>
                            </w:pPr>
                          </w:p>
                          <w:p w14:paraId="508758F0" w14:textId="77777777" w:rsidR="00104FF5" w:rsidRDefault="00104FF5" w:rsidP="00D1447B">
                            <w:pPr>
                              <w:rPr>
                                <w:rFonts w:asciiTheme="majorEastAsia" w:eastAsiaTheme="majorEastAsia" w:hAnsiTheme="majorEastAsia"/>
                              </w:rPr>
                            </w:pPr>
                          </w:p>
                          <w:p w14:paraId="736BC68D" w14:textId="77777777" w:rsidR="00104FF5" w:rsidRDefault="00104FF5" w:rsidP="00D1447B">
                            <w:pPr>
                              <w:rPr>
                                <w:rFonts w:asciiTheme="majorEastAsia" w:eastAsiaTheme="majorEastAsia" w:hAnsiTheme="majorEastAsia"/>
                              </w:rPr>
                            </w:pPr>
                          </w:p>
                          <w:p w14:paraId="08AD077C" w14:textId="77777777" w:rsidR="00104FF5" w:rsidRDefault="00104FF5" w:rsidP="00D1447B">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82F5E" id="角丸四角形 10" o:spid="_x0000_s1037" style="position:absolute;left:0;text-align:left;margin-left:22.05pt;margin-top:13.85pt;width:464.25pt;height:260.25pt;z-index:251608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" fillcolor="white [3201]" strokecolor="black [3213]" strokeweight=".25pt">
                <v:stroke dashstyle="dash"/>
                <v:textbox>
                  <w:txbxContent>
                    <w:p w14:paraId="5C457F7C" w14:textId="0AB6B91A" w:rsidR="00104FF5" w:rsidRPr="0088778B" w:rsidRDefault="00104FF5" w:rsidP="0088778B">
                      <w:pPr>
                        <w:ind w:firstLineChars="100" w:firstLine="210"/>
                        <w:rPr>
                          <w:rFonts w:asciiTheme="majorEastAsia" w:eastAsiaTheme="majorEastAsia" w:hAnsiTheme="majorEastAsia"/>
                          <w:szCs w:val="21"/>
                          <w:u w:val="single"/>
                        </w:rPr>
                      </w:pPr>
                      <w:r w:rsidRPr="0088778B">
                        <w:rPr>
                          <w:rFonts w:asciiTheme="majorEastAsia" w:eastAsiaTheme="majorEastAsia" w:hAnsiTheme="majorEastAsia" w:hint="eastAsia"/>
                          <w:szCs w:val="21"/>
                          <w:u w:val="single"/>
                        </w:rPr>
                        <w:t>【参考】　「５０年更新」と「７０年更新」の試算の事例比較</w:t>
                      </w:r>
                    </w:p>
                    <w:p w14:paraId="08A262D5" w14:textId="431815E1"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（モデル）</w:t>
                      </w:r>
                    </w:p>
                    <w:p w14:paraId="196091A1" w14:textId="5059226E" w:rsidR="00104FF5" w:rsidRPr="008F4AC2" w:rsidRDefault="00104FF5"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建物類型　：事務所</w:t>
                      </w:r>
                    </w:p>
                    <w:p w14:paraId="60ABFBB9" w14:textId="068AC71B" w:rsidR="00104FF5" w:rsidRPr="008F4AC2" w:rsidRDefault="00104FF5"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建物価格　：１００億円</w:t>
                      </w:r>
                    </w:p>
                    <w:p w14:paraId="75F9629D" w14:textId="6ADCEC59" w:rsidR="00104FF5" w:rsidRPr="008F4AC2" w:rsidRDefault="00104FF5" w:rsidP="0088778B">
                      <w:pPr>
                        <w:ind w:firstLineChars="300" w:firstLine="6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大規模改修：建物価格の６２．５</w:t>
                      </w:r>
                      <w:r>
                        <w:rPr>
                          <w:rFonts w:asciiTheme="majorEastAsia" w:eastAsiaTheme="majorEastAsia" w:hAnsiTheme="majorEastAsia" w:hint="eastAsia"/>
                          <w:sz w:val="20"/>
                          <w:szCs w:val="20"/>
                        </w:rPr>
                        <w:t>パーセント</w:t>
                      </w:r>
                    </w:p>
                    <w:p w14:paraId="74A6D76D" w14:textId="4F3B544C" w:rsidR="00104FF5" w:rsidRDefault="00104FF5" w:rsidP="00D1447B">
                      <w:pPr>
                        <w:rPr>
                          <w:rFonts w:asciiTheme="majorEastAsia" w:eastAsiaTheme="majorEastAsia" w:hAnsiTheme="majorEastAsia"/>
                        </w:rPr>
                      </w:pPr>
                    </w:p>
                    <w:p w14:paraId="2567EE24" w14:textId="77777777" w:rsidR="00104FF5" w:rsidRPr="008F4AC2" w:rsidRDefault="00104FF5" w:rsidP="00D1447B">
                      <w:pPr>
                        <w:rPr>
                          <w:rFonts w:asciiTheme="majorEastAsia" w:eastAsiaTheme="majorEastAsia" w:hAnsiTheme="majorEastAsia"/>
                        </w:rPr>
                      </w:pPr>
                    </w:p>
                    <w:p w14:paraId="231C6F91" w14:textId="77777777" w:rsidR="00104FF5" w:rsidRPr="008F4AC2" w:rsidRDefault="00104FF5" w:rsidP="00D1447B">
                      <w:pPr>
                        <w:rPr>
                          <w:rFonts w:asciiTheme="majorEastAsia" w:eastAsiaTheme="majorEastAsia" w:hAnsiTheme="majorEastAsia"/>
                        </w:rPr>
                      </w:pPr>
                    </w:p>
                    <w:p w14:paraId="6CEE1FE0" w14:textId="77777777" w:rsidR="00104FF5" w:rsidRDefault="00104FF5" w:rsidP="00D1447B">
                      <w:pPr>
                        <w:rPr>
                          <w:rFonts w:asciiTheme="majorEastAsia" w:eastAsiaTheme="majorEastAsia" w:hAnsiTheme="majorEastAsia"/>
                        </w:rPr>
                      </w:pPr>
                    </w:p>
                    <w:p w14:paraId="2E60BEE0" w14:textId="77777777" w:rsidR="00104FF5" w:rsidRDefault="00104FF5" w:rsidP="00D1447B">
                      <w:pPr>
                        <w:rPr>
                          <w:rFonts w:asciiTheme="majorEastAsia" w:eastAsiaTheme="majorEastAsia" w:hAnsiTheme="majorEastAsia"/>
                        </w:rPr>
                      </w:pPr>
                    </w:p>
                    <w:p w14:paraId="508758F0" w14:textId="77777777" w:rsidR="00104FF5" w:rsidRDefault="00104FF5" w:rsidP="00D1447B">
                      <w:pPr>
                        <w:rPr>
                          <w:rFonts w:asciiTheme="majorEastAsia" w:eastAsiaTheme="majorEastAsia" w:hAnsiTheme="majorEastAsia"/>
                        </w:rPr>
                      </w:pPr>
                    </w:p>
                    <w:p w14:paraId="736BC68D" w14:textId="77777777" w:rsidR="00104FF5" w:rsidRDefault="00104FF5" w:rsidP="00D1447B">
                      <w:pPr>
                        <w:rPr>
                          <w:rFonts w:asciiTheme="majorEastAsia" w:eastAsiaTheme="majorEastAsia" w:hAnsiTheme="majorEastAsia"/>
                        </w:rPr>
                      </w:pPr>
                    </w:p>
                    <w:p w14:paraId="08AD077C" w14:textId="77777777" w:rsidR="00104FF5" w:rsidRDefault="00104FF5" w:rsidP="00D1447B">
                      <w:pPr>
                        <w:rPr>
                          <w:rFonts w:asciiTheme="majorEastAsia" w:eastAsiaTheme="majorEastAsia" w:hAnsiTheme="majorEastAsia"/>
                        </w:rPr>
                      </w:pPr>
                    </w:p>
                  </w:txbxContent>
                </v:textbox>
              </v:roundrect>
            </w:pict>
          </mc:Fallback>
        </mc:AlternateContent>
      </w:r>
    </w:p>
    <w:p w14:paraId="0EA819E2" w14:textId="05A10BAB" w:rsidR="00645BBC" w:rsidRPr="004C1386" w:rsidRDefault="00645BBC" w:rsidP="00645BBC">
      <w:pPr>
        <w:rPr>
          <w:rFonts w:ascii="ＭＳ ゴシック" w:eastAsia="ＭＳ ゴシック" w:hAnsi="ＭＳ ゴシック"/>
          <w:bCs/>
          <w:sz w:val="24"/>
          <w:szCs w:val="24"/>
        </w:rPr>
      </w:pPr>
    </w:p>
    <w:p w14:paraId="61F59C4F" w14:textId="14CA0374" w:rsidR="00645BBC" w:rsidRPr="004C1386" w:rsidRDefault="00645BBC" w:rsidP="00645BBC">
      <w:pPr>
        <w:rPr>
          <w:rFonts w:ascii="ＭＳ ゴシック" w:eastAsia="ＭＳ ゴシック" w:hAnsi="ＭＳ ゴシック"/>
          <w:bCs/>
          <w:sz w:val="24"/>
          <w:szCs w:val="24"/>
        </w:rPr>
      </w:pPr>
    </w:p>
    <w:p w14:paraId="53A7310B" w14:textId="4E901E57" w:rsidR="00645BBC" w:rsidRPr="004C1386" w:rsidRDefault="006228A4" w:rsidP="00AF6E5A">
      <w:pPr>
        <w:rPr>
          <w:rFonts w:ascii="ＭＳ ゴシック" w:eastAsia="ＭＳ ゴシック" w:hAnsi="ＭＳ ゴシック"/>
          <w:bCs/>
          <w:sz w:val="24"/>
          <w:szCs w:val="24"/>
        </w:rPr>
      </w:pPr>
      <w:r w:rsidRPr="004C1386">
        <w:rPr>
          <w:rFonts w:ascii="ＭＳ ゴシック" w:eastAsia="ＭＳ ゴシック" w:hAnsi="ＭＳ ゴシック"/>
          <w:bCs/>
          <w:noProof/>
          <w:sz w:val="24"/>
          <w:szCs w:val="24"/>
        </w:rPr>
        <mc:AlternateContent>
          <mc:Choice Requires="wps">
            <w:drawing>
              <wp:anchor distT="0" distB="0" distL="114300" distR="114300" simplePos="0" relativeHeight="251652096" behindDoc="0" locked="0" layoutInCell="1" allowOverlap="1" wp14:anchorId="1C8DC8BA" wp14:editId="3E84E526">
                <wp:simplePos x="0" y="0"/>
                <wp:positionH relativeFrom="column">
                  <wp:posOffset>3375661</wp:posOffset>
                </wp:positionH>
                <wp:positionV relativeFrom="paragraph">
                  <wp:posOffset>871220</wp:posOffset>
                </wp:positionV>
                <wp:extent cx="2571750" cy="169545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2571750" cy="1695450"/>
                        </a:xfrm>
                        <a:prstGeom prst="rect">
                          <a:avLst/>
                        </a:prstGeom>
                        <a:solidFill>
                          <a:sysClr val="window" lastClr="FFFFFF"/>
                        </a:solidFill>
                        <a:ln w="3175" cap="flat" cmpd="sng" algn="ctr">
                          <a:solidFill>
                            <a:schemeClr val="tx1"/>
                          </a:solidFill>
                          <a:prstDash val="dash"/>
                        </a:ln>
                        <a:effectLst/>
                      </wps:spPr>
                      <wps:txbx>
                        <w:txbxContent>
                          <w:p w14:paraId="1F123D64" w14:textId="24319D32"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７０年更新の場合</w:t>
                            </w:r>
                          </w:p>
                          <w:p w14:paraId="19C9EC23" w14:textId="03C6BD15"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・大規模改修費(1/3)　　　20.8億円</w:t>
                            </w:r>
                          </w:p>
                          <w:p w14:paraId="6C87DFC7" w14:textId="67471763"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・大規模改修費(2/3)　　　41.7億円</w:t>
                            </w:r>
                          </w:p>
                          <w:p w14:paraId="7274C724" w14:textId="4D82D683"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・修繕費(0.7</w:t>
                            </w:r>
                            <w:r>
                              <w:rPr>
                                <w:rFonts w:asciiTheme="majorEastAsia" w:eastAsiaTheme="majorEastAsia" w:hAnsiTheme="majorEastAsia" w:hint="eastAsia"/>
                                <w:sz w:val="20"/>
                                <w:szCs w:val="20"/>
                              </w:rPr>
                              <w:t>%</w:t>
                            </w:r>
                            <w:r w:rsidRPr="008F4AC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 xml:space="preserve">　　　　</w:t>
                            </w:r>
                            <w:r w:rsidRPr="008F4AC2">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49</w:t>
                            </w:r>
                            <w:r w:rsidRPr="008F4AC2">
                              <w:rPr>
                                <w:rFonts w:asciiTheme="majorEastAsia" w:eastAsiaTheme="majorEastAsia" w:hAnsiTheme="majorEastAsia" w:hint="eastAsia"/>
                                <w:sz w:val="20"/>
                                <w:szCs w:val="20"/>
                              </w:rPr>
                              <w:t>.0億円</w:t>
                            </w:r>
                          </w:p>
                          <w:p w14:paraId="05089469" w14:textId="4825989A"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・更新費　　　　 　     100.0億円</w:t>
                            </w:r>
                          </w:p>
                          <w:p w14:paraId="35323C03" w14:textId="387D7CC8"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総コスト</w:t>
                            </w:r>
                            <w:r>
                              <w:rPr>
                                <w:rFonts w:asciiTheme="majorEastAsia" w:eastAsiaTheme="majorEastAsia" w:hAnsiTheme="majorEastAsia" w:hint="eastAsia"/>
                                <w:sz w:val="20"/>
                                <w:szCs w:val="20"/>
                              </w:rPr>
                              <w:t xml:space="preserve">(70年間)  </w:t>
                            </w:r>
                            <w:r w:rsidRPr="008F4AC2">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211</w:t>
                            </w:r>
                            <w:r w:rsidRPr="008F4AC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5</w:t>
                            </w:r>
                            <w:r w:rsidRPr="008F4AC2">
                              <w:rPr>
                                <w:rFonts w:asciiTheme="majorEastAsia" w:eastAsiaTheme="majorEastAsia" w:hAnsiTheme="majorEastAsia" w:hint="eastAsia"/>
                                <w:sz w:val="20"/>
                                <w:szCs w:val="20"/>
                              </w:rPr>
                              <w:t>億円</w:t>
                            </w:r>
                          </w:p>
                          <w:p w14:paraId="63351DF2" w14:textId="5F9EBEDA"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年平均　     　　　　　　 3.</w:t>
                            </w:r>
                            <w:r>
                              <w:rPr>
                                <w:rFonts w:asciiTheme="majorEastAsia" w:eastAsiaTheme="majorEastAsia" w:hAnsiTheme="majorEastAsia" w:hint="eastAsia"/>
                                <w:sz w:val="20"/>
                                <w:szCs w:val="20"/>
                              </w:rPr>
                              <w:t>0</w:t>
                            </w:r>
                            <w:r w:rsidRPr="008F4AC2">
                              <w:rPr>
                                <w:rFonts w:asciiTheme="majorEastAsia" w:eastAsiaTheme="majorEastAsia" w:hAnsiTheme="majorEastAsia" w:hint="eastAsia"/>
                                <w:sz w:val="20"/>
                                <w:szCs w:val="20"/>
                              </w:rPr>
                              <w:t>億円</w:t>
                            </w:r>
                          </w:p>
                          <w:p w14:paraId="07CACB79" w14:textId="77777777" w:rsidR="00104FF5" w:rsidRPr="008F4AC2" w:rsidRDefault="00104FF5" w:rsidP="004E60AA">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DC8BA" id="正方形/長方形 26" o:spid="_x0000_s1038" style="position:absolute;left:0;text-align:left;margin-left:265.8pt;margin-top:68.6pt;width:202.5pt;height:13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" fillcolor="window" strokecolor="black [3213]" strokeweight=".25pt">
                <v:stroke dashstyle="dash"/>
                <v:textbox>
                  <w:txbxContent>
                    <w:p w14:paraId="1F123D64" w14:textId="24319D32"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７０年更新の場合</w:t>
                      </w:r>
                    </w:p>
                    <w:p w14:paraId="19C9EC23" w14:textId="03C6BD15"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・大規模改修費(1/3)　　　20.8億円</w:t>
                      </w:r>
                    </w:p>
                    <w:p w14:paraId="6C87DFC7" w14:textId="67471763"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・大規模改修費(2/3)　　　41.7億円</w:t>
                      </w:r>
                    </w:p>
                    <w:p w14:paraId="7274C724" w14:textId="4D82D683"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・修繕費(0.7</w:t>
                      </w:r>
                      <w:r>
                        <w:rPr>
                          <w:rFonts w:asciiTheme="majorEastAsia" w:eastAsiaTheme="majorEastAsia" w:hAnsiTheme="majorEastAsia" w:hint="eastAsia"/>
                          <w:sz w:val="20"/>
                          <w:szCs w:val="20"/>
                        </w:rPr>
                        <w:t>%</w:t>
                      </w:r>
                      <w:r w:rsidRPr="008F4AC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 xml:space="preserve">　　　　</w:t>
                      </w:r>
                      <w:r w:rsidRPr="008F4AC2">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49</w:t>
                      </w:r>
                      <w:r w:rsidRPr="008F4AC2">
                        <w:rPr>
                          <w:rFonts w:asciiTheme="majorEastAsia" w:eastAsiaTheme="majorEastAsia" w:hAnsiTheme="majorEastAsia" w:hint="eastAsia"/>
                          <w:sz w:val="20"/>
                          <w:szCs w:val="20"/>
                        </w:rPr>
                        <w:t>.0億円</w:t>
                      </w:r>
                    </w:p>
                    <w:p w14:paraId="05089469" w14:textId="4825989A"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・更新費　　　　 　     100.0億円</w:t>
                      </w:r>
                    </w:p>
                    <w:p w14:paraId="35323C03" w14:textId="387D7CC8"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総コスト</w:t>
                      </w:r>
                      <w:r>
                        <w:rPr>
                          <w:rFonts w:asciiTheme="majorEastAsia" w:eastAsiaTheme="majorEastAsia" w:hAnsiTheme="majorEastAsia" w:hint="eastAsia"/>
                          <w:sz w:val="20"/>
                          <w:szCs w:val="20"/>
                        </w:rPr>
                        <w:t xml:space="preserve">(70年間)  </w:t>
                      </w:r>
                      <w:r w:rsidRPr="008F4AC2">
                        <w:rPr>
                          <w:rFonts w:asciiTheme="majorEastAsia" w:eastAsiaTheme="majorEastAsia" w:hAnsiTheme="majorEastAsia" w:hint="eastAsia"/>
                          <w:sz w:val="20"/>
                          <w:szCs w:val="20"/>
                        </w:rPr>
                        <w:t xml:space="preserve">　　</w:t>
                      </w:r>
                      <w:r>
                        <w:rPr>
                          <w:rFonts w:asciiTheme="majorEastAsia" w:eastAsiaTheme="majorEastAsia" w:hAnsiTheme="majorEastAsia" w:hint="eastAsia"/>
                          <w:sz w:val="20"/>
                          <w:szCs w:val="20"/>
                        </w:rPr>
                        <w:t xml:space="preserve"> 211</w:t>
                      </w:r>
                      <w:r w:rsidRPr="008F4AC2">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5</w:t>
                      </w:r>
                      <w:r w:rsidRPr="008F4AC2">
                        <w:rPr>
                          <w:rFonts w:asciiTheme="majorEastAsia" w:eastAsiaTheme="majorEastAsia" w:hAnsiTheme="majorEastAsia" w:hint="eastAsia"/>
                          <w:sz w:val="20"/>
                          <w:szCs w:val="20"/>
                        </w:rPr>
                        <w:t>億円</w:t>
                      </w:r>
                    </w:p>
                    <w:p w14:paraId="63351DF2" w14:textId="5F9EBEDA"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年平均　     　　　　　　 3.</w:t>
                      </w:r>
                      <w:r>
                        <w:rPr>
                          <w:rFonts w:asciiTheme="majorEastAsia" w:eastAsiaTheme="majorEastAsia" w:hAnsiTheme="majorEastAsia" w:hint="eastAsia"/>
                          <w:sz w:val="20"/>
                          <w:szCs w:val="20"/>
                        </w:rPr>
                        <w:t>0</w:t>
                      </w:r>
                      <w:r w:rsidRPr="008F4AC2">
                        <w:rPr>
                          <w:rFonts w:asciiTheme="majorEastAsia" w:eastAsiaTheme="majorEastAsia" w:hAnsiTheme="majorEastAsia" w:hint="eastAsia"/>
                          <w:sz w:val="20"/>
                          <w:szCs w:val="20"/>
                        </w:rPr>
                        <w:t>億円</w:t>
                      </w:r>
                    </w:p>
                    <w:p w14:paraId="07CACB79" w14:textId="77777777" w:rsidR="00104FF5" w:rsidRPr="008F4AC2" w:rsidRDefault="00104FF5" w:rsidP="004E60AA">
                      <w:pPr>
                        <w:rPr>
                          <w:sz w:val="20"/>
                          <w:szCs w:val="20"/>
                        </w:rPr>
                      </w:pPr>
                    </w:p>
                  </w:txbxContent>
                </v:textbox>
              </v:rect>
            </w:pict>
          </mc:Fallback>
        </mc:AlternateContent>
      </w:r>
      <w:r w:rsidRPr="004C1386">
        <w:rPr>
          <w:rFonts w:ascii="ＭＳ ゴシック" w:eastAsia="ＭＳ ゴシック" w:hAnsi="ＭＳ ゴシック"/>
          <w:bCs/>
          <w:noProof/>
          <w:sz w:val="24"/>
          <w:szCs w:val="24"/>
        </w:rPr>
        <mc:AlternateContent>
          <mc:Choice Requires="wps">
            <w:drawing>
              <wp:anchor distT="0" distB="0" distL="114300" distR="114300" simplePos="0" relativeHeight="251644928" behindDoc="0" locked="0" layoutInCell="1" allowOverlap="1" wp14:anchorId="3B7DF053" wp14:editId="0B57C929">
                <wp:simplePos x="0" y="0"/>
                <wp:positionH relativeFrom="column">
                  <wp:posOffset>518160</wp:posOffset>
                </wp:positionH>
                <wp:positionV relativeFrom="paragraph">
                  <wp:posOffset>871220</wp:posOffset>
                </wp:positionV>
                <wp:extent cx="2581275" cy="16954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2581275" cy="1695450"/>
                        </a:xfrm>
                        <a:prstGeom prst="rect">
                          <a:avLst/>
                        </a:prstGeom>
                        <a:ln w="3175">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2E11FAC0" w14:textId="77777777"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５０年更新の場合</w:t>
                            </w:r>
                          </w:p>
                          <w:p w14:paraId="02CD5F76" w14:textId="01BE378B"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　　　 　 62.5億円</w:t>
                            </w:r>
                          </w:p>
                          <w:p w14:paraId="1BD3DED4" w14:textId="097831D0"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・修繕費(0.2</w:t>
                            </w: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 xml:space="preserve">　　　　</w:t>
                            </w:r>
                            <w:r w:rsidRPr="008F4AC2">
                              <w:rPr>
                                <w:rFonts w:asciiTheme="majorEastAsia" w:eastAsiaTheme="majorEastAsia" w:hAnsiTheme="majorEastAsia" w:hint="eastAsia"/>
                                <w:sz w:val="20"/>
                                <w:szCs w:val="20"/>
                              </w:rPr>
                              <w:t>10.0億円</w:t>
                            </w:r>
                          </w:p>
                          <w:p w14:paraId="2A181DE5" w14:textId="480AA8DD"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・更新費　　　　 　　　100.0億円</w:t>
                            </w:r>
                          </w:p>
                          <w:p w14:paraId="1C2E5A6A" w14:textId="77777777" w:rsidR="00104FF5" w:rsidRPr="008F4AC2" w:rsidRDefault="00104FF5" w:rsidP="00653960">
                            <w:pPr>
                              <w:rPr>
                                <w:rFonts w:asciiTheme="majorEastAsia" w:eastAsiaTheme="majorEastAsia" w:hAnsiTheme="majorEastAsia"/>
                                <w:sz w:val="20"/>
                                <w:szCs w:val="20"/>
                              </w:rPr>
                            </w:pPr>
                          </w:p>
                          <w:p w14:paraId="7A3FB17B" w14:textId="30FEB20B"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総コスト</w:t>
                            </w:r>
                            <w:r>
                              <w:rPr>
                                <w:rFonts w:asciiTheme="majorEastAsia" w:eastAsiaTheme="majorEastAsia" w:hAnsiTheme="majorEastAsia" w:hint="eastAsia"/>
                                <w:sz w:val="20"/>
                                <w:szCs w:val="20"/>
                              </w:rPr>
                              <w:t xml:space="preserve">(50年間) </w:t>
                            </w:r>
                            <w:r w:rsidRPr="008F4AC2">
                              <w:rPr>
                                <w:rFonts w:asciiTheme="majorEastAsia" w:eastAsiaTheme="majorEastAsia" w:hAnsiTheme="majorEastAsia" w:hint="eastAsia"/>
                                <w:sz w:val="20"/>
                                <w:szCs w:val="20"/>
                              </w:rPr>
                              <w:t xml:space="preserve">　 　172.5億円</w:t>
                            </w:r>
                          </w:p>
                          <w:p w14:paraId="7888ACF9" w14:textId="119378FA"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年平均　　　　　　　　 　3.5億円</w:t>
                            </w:r>
                          </w:p>
                          <w:p w14:paraId="25EFC3C1" w14:textId="77777777" w:rsidR="00104FF5" w:rsidRPr="008F4AC2" w:rsidRDefault="00104FF5" w:rsidP="004E60A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DF053" id="正方形/長方形 23" o:spid="_x0000_s1039" style="position:absolute;left:0;text-align:left;margin-left:40.8pt;margin-top:68.6pt;width:203.25pt;height:13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" fillcolor="white [3201]" strokecolor="black [3213]" strokeweight=".25pt">
                <v:stroke dashstyle="dash"/>
                <v:textbox>
                  <w:txbxContent>
                    <w:p w14:paraId="2E11FAC0" w14:textId="77777777"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５０年更新の場合</w:t>
                      </w:r>
                    </w:p>
                    <w:p w14:paraId="02CD5F76" w14:textId="01BE378B"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・大規模改修費　　　 　 62.5億円</w:t>
                      </w:r>
                    </w:p>
                    <w:p w14:paraId="1BD3DED4" w14:textId="097831D0"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・修繕費(0.2</w:t>
                      </w:r>
                      <w:r>
                        <w:rPr>
                          <w:rFonts w:asciiTheme="majorEastAsia" w:eastAsiaTheme="majorEastAsia" w:hAnsiTheme="majorEastAsia" w:hint="eastAsia"/>
                          <w:sz w:val="20"/>
                          <w:szCs w:val="20"/>
                        </w:rPr>
                        <w:t xml:space="preserve">%)　</w:t>
                      </w:r>
                      <w:r>
                        <w:rPr>
                          <w:rFonts w:asciiTheme="majorEastAsia" w:eastAsiaTheme="majorEastAsia" w:hAnsiTheme="majorEastAsia"/>
                          <w:sz w:val="20"/>
                          <w:szCs w:val="20"/>
                        </w:rPr>
                        <w:t xml:space="preserve">　　　　</w:t>
                      </w:r>
                      <w:r w:rsidRPr="008F4AC2">
                        <w:rPr>
                          <w:rFonts w:asciiTheme="majorEastAsia" w:eastAsiaTheme="majorEastAsia" w:hAnsiTheme="majorEastAsia" w:hint="eastAsia"/>
                          <w:sz w:val="20"/>
                          <w:szCs w:val="20"/>
                        </w:rPr>
                        <w:t>10.0億円</w:t>
                      </w:r>
                    </w:p>
                    <w:p w14:paraId="2A181DE5" w14:textId="480AA8DD" w:rsidR="00104FF5" w:rsidRPr="008F4AC2" w:rsidRDefault="00104FF5" w:rsidP="004E60AA">
                      <w:pPr>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 xml:space="preserve">　・更新費　　　　 　　　100.0億円</w:t>
                      </w:r>
                    </w:p>
                    <w:p w14:paraId="1C2E5A6A" w14:textId="77777777" w:rsidR="00104FF5" w:rsidRPr="008F4AC2" w:rsidRDefault="00104FF5" w:rsidP="00653960">
                      <w:pPr>
                        <w:rPr>
                          <w:rFonts w:asciiTheme="majorEastAsia" w:eastAsiaTheme="majorEastAsia" w:hAnsiTheme="majorEastAsia"/>
                          <w:sz w:val="20"/>
                          <w:szCs w:val="20"/>
                        </w:rPr>
                      </w:pPr>
                    </w:p>
                    <w:p w14:paraId="7A3FB17B" w14:textId="30FEB20B"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総コスト</w:t>
                      </w:r>
                      <w:r>
                        <w:rPr>
                          <w:rFonts w:asciiTheme="majorEastAsia" w:eastAsiaTheme="majorEastAsia" w:hAnsiTheme="majorEastAsia" w:hint="eastAsia"/>
                          <w:sz w:val="20"/>
                          <w:szCs w:val="20"/>
                        </w:rPr>
                        <w:t xml:space="preserve">(50年間) </w:t>
                      </w:r>
                      <w:r w:rsidRPr="008F4AC2">
                        <w:rPr>
                          <w:rFonts w:asciiTheme="majorEastAsia" w:eastAsiaTheme="majorEastAsia" w:hAnsiTheme="majorEastAsia" w:hint="eastAsia"/>
                          <w:sz w:val="20"/>
                          <w:szCs w:val="20"/>
                        </w:rPr>
                        <w:t xml:space="preserve">　 　172.5億円</w:t>
                      </w:r>
                    </w:p>
                    <w:p w14:paraId="7888ACF9" w14:textId="119378FA" w:rsidR="00104FF5" w:rsidRPr="008F4AC2" w:rsidRDefault="00104FF5" w:rsidP="008F4AC2">
                      <w:pPr>
                        <w:ind w:firstLineChars="100" w:firstLine="200"/>
                        <w:rPr>
                          <w:rFonts w:asciiTheme="majorEastAsia" w:eastAsiaTheme="majorEastAsia" w:hAnsiTheme="majorEastAsia"/>
                          <w:sz w:val="20"/>
                          <w:szCs w:val="20"/>
                        </w:rPr>
                      </w:pPr>
                      <w:r w:rsidRPr="008F4AC2">
                        <w:rPr>
                          <w:rFonts w:asciiTheme="majorEastAsia" w:eastAsiaTheme="majorEastAsia" w:hAnsiTheme="majorEastAsia" w:hint="eastAsia"/>
                          <w:sz w:val="20"/>
                          <w:szCs w:val="20"/>
                        </w:rPr>
                        <w:t>年平均　　　　　　　　 　3.5億円</w:t>
                      </w:r>
                    </w:p>
                    <w:p w14:paraId="25EFC3C1" w14:textId="77777777" w:rsidR="00104FF5" w:rsidRPr="008F4AC2" w:rsidRDefault="00104FF5" w:rsidP="004E60AA"/>
                  </w:txbxContent>
                </v:textbox>
              </v:rect>
            </w:pict>
          </mc:Fallback>
        </mc:AlternateContent>
      </w:r>
      <w:r w:rsidR="00C81059" w:rsidRPr="004C1386">
        <w:rPr>
          <w:rFonts w:ascii="ＭＳ ゴシック" w:eastAsia="ＭＳ ゴシック" w:hAnsi="ＭＳ ゴシック"/>
          <w:bCs/>
          <w:noProof/>
          <w:sz w:val="24"/>
          <w:szCs w:val="24"/>
        </w:rPr>
        <mc:AlternateContent>
          <mc:Choice Requires="wps">
            <w:drawing>
              <wp:anchor distT="0" distB="0" distL="114300" distR="114300" simplePos="0" relativeHeight="251646976" behindDoc="0" locked="0" layoutInCell="1" allowOverlap="1" wp14:anchorId="32466C34" wp14:editId="41CCE204">
                <wp:simplePos x="0" y="0"/>
                <wp:positionH relativeFrom="column">
                  <wp:posOffset>609600</wp:posOffset>
                </wp:positionH>
                <wp:positionV relativeFrom="paragraph">
                  <wp:posOffset>2047875</wp:posOffset>
                </wp:positionV>
                <wp:extent cx="2371725" cy="0"/>
                <wp:effectExtent l="0" t="0" r="9525" b="19050"/>
                <wp:wrapNone/>
                <wp:docPr id="24" name="直線コネクタ 24"/>
                <wp:cNvGraphicFramePr/>
                <a:graphic xmlns:a="http://schemas.openxmlformats.org/drawingml/2006/main">
                  <a:graphicData uri="http://schemas.microsoft.com/office/word/2010/wordprocessingShape">
                    <wps:wsp>
                      <wps:cNvCnPr/>
                      <wps:spPr>
                        <a:xfrm>
                          <a:off x="0" y="0"/>
                          <a:ext cx="237172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544FA" id="直線コネクタ 24"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61.25pt" to="234.7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" strokecolor="black [3040]" strokeweight="1pt"/>
            </w:pict>
          </mc:Fallback>
        </mc:AlternateContent>
      </w:r>
      <w:r w:rsidR="00C81059" w:rsidRPr="004C1386">
        <w:rPr>
          <w:rFonts w:ascii="ＭＳ ゴシック" w:eastAsia="ＭＳ ゴシック" w:hAnsi="ＭＳ ゴシック"/>
          <w:bCs/>
          <w:noProof/>
          <w:sz w:val="24"/>
          <w:szCs w:val="24"/>
        </w:rPr>
        <mc:AlternateContent>
          <mc:Choice Requires="wps">
            <w:drawing>
              <wp:anchor distT="0" distB="0" distL="114300" distR="114300" simplePos="0" relativeHeight="251654144" behindDoc="0" locked="0" layoutInCell="1" allowOverlap="1" wp14:anchorId="0BBFFE1A" wp14:editId="6C078F2A">
                <wp:simplePos x="0" y="0"/>
                <wp:positionH relativeFrom="column">
                  <wp:posOffset>3486150</wp:posOffset>
                </wp:positionH>
                <wp:positionV relativeFrom="paragraph">
                  <wp:posOffset>2047875</wp:posOffset>
                </wp:positionV>
                <wp:extent cx="2343150" cy="0"/>
                <wp:effectExtent l="0" t="0" r="19050" b="19050"/>
                <wp:wrapNone/>
                <wp:docPr id="31" name="直線コネクタ 31"/>
                <wp:cNvGraphicFramePr/>
                <a:graphic xmlns:a="http://schemas.openxmlformats.org/drawingml/2006/main">
                  <a:graphicData uri="http://schemas.microsoft.com/office/word/2010/wordprocessingShape">
                    <wps:wsp>
                      <wps:cNvCnPr/>
                      <wps:spPr>
                        <a:xfrm>
                          <a:off x="0" y="0"/>
                          <a:ext cx="23431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3064CC" id="直線コネクタ 31"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5pt,161.25pt" to="459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" strokecolor="black [3213]" strokeweight="1pt"/>
            </w:pict>
          </mc:Fallback>
        </mc:AlternateContent>
      </w:r>
    </w:p>
    <w:sectPr w:rsidR="00645BBC" w:rsidRPr="004C1386" w:rsidSect="000E2340">
      <w:footerReference w:type="default" r:id="rId32"/>
      <w:pgSz w:w="11906" w:h="16838" w:code="9"/>
      <w:pgMar w:top="1418" w:right="1134" w:bottom="851" w:left="1134" w:header="851" w:footer="454"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DE62F0" w14:textId="77777777" w:rsidR="007B03FC" w:rsidRDefault="007B03FC" w:rsidP="004A1F5A">
      <w:r>
        <w:separator/>
      </w:r>
    </w:p>
  </w:endnote>
  <w:endnote w:type="continuationSeparator" w:id="0">
    <w:p w14:paraId="163735AA" w14:textId="77777777" w:rsidR="007B03FC" w:rsidRDefault="007B03FC" w:rsidP="004A1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7685674"/>
      <w:docPartObj>
        <w:docPartGallery w:val="Page Numbers (Bottom of Page)"/>
        <w:docPartUnique/>
      </w:docPartObj>
    </w:sdtPr>
    <w:sdtContent>
      <w:p w14:paraId="2CFC2732" w14:textId="14E86438" w:rsidR="00104FF5" w:rsidRDefault="00104FF5" w:rsidP="001F364B">
        <w:pPr>
          <w:pStyle w:val="a5"/>
          <w:jc w:val="center"/>
        </w:pPr>
        <w:r>
          <w:fldChar w:fldCharType="begin"/>
        </w:r>
        <w:r>
          <w:instrText>PAGE   \* MERGEFORMAT</w:instrText>
        </w:r>
        <w:r>
          <w:fldChar w:fldCharType="separate"/>
        </w:r>
        <w:r w:rsidR="00F51BF8" w:rsidRPr="00F51BF8">
          <w:rPr>
            <w:noProof/>
            <w:lang w:val="ja-JP"/>
          </w:rPr>
          <w:t>-</w:t>
        </w:r>
        <w:r w:rsidR="00F51BF8">
          <w:rPr>
            <w:noProof/>
          </w:rPr>
          <w:t xml:space="preserve"> 11 -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9205717"/>
      <w:docPartObj>
        <w:docPartGallery w:val="Page Numbers (Bottom of Page)"/>
        <w:docPartUnique/>
      </w:docPartObj>
    </w:sdtPr>
    <w:sdtContent>
      <w:p w14:paraId="0680F8C2" w14:textId="42B659CC" w:rsidR="00104FF5" w:rsidRDefault="00104FF5" w:rsidP="000054CF">
        <w:pPr>
          <w:pStyle w:val="a5"/>
          <w:jc w:val="center"/>
        </w:pPr>
        <w:r>
          <w:fldChar w:fldCharType="begin"/>
        </w:r>
        <w:r>
          <w:instrText>PAGE   \* MERGEFORMAT</w:instrText>
        </w:r>
        <w:r>
          <w:fldChar w:fldCharType="separate"/>
        </w:r>
        <w:r w:rsidR="00F51BF8" w:rsidRPr="00F51BF8">
          <w:rPr>
            <w:noProof/>
            <w:lang w:val="ja-JP"/>
          </w:rPr>
          <w:t>-</w:t>
        </w:r>
        <w:r w:rsidR="00F51BF8">
          <w:rPr>
            <w:noProof/>
          </w:rPr>
          <w:t xml:space="preserve"> 15 -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855CB3" w14:textId="77777777" w:rsidR="007B03FC" w:rsidRDefault="007B03FC" w:rsidP="004A1F5A">
      <w:r>
        <w:separator/>
      </w:r>
    </w:p>
  </w:footnote>
  <w:footnote w:type="continuationSeparator" w:id="0">
    <w:p w14:paraId="674638F0" w14:textId="77777777" w:rsidR="007B03FC" w:rsidRDefault="007B03FC" w:rsidP="004A1F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0D27"/>
    <w:multiLevelType w:val="hybridMultilevel"/>
    <w:tmpl w:val="A8F66380"/>
    <w:lvl w:ilvl="0" w:tplc="5CB62706">
      <w:start w:val="5"/>
      <w:numFmt w:val="decimalFullWidth"/>
      <w:lvlText w:val="（%1）"/>
      <w:lvlJc w:val="left"/>
      <w:pPr>
        <w:ind w:left="960" w:hanging="720"/>
      </w:pPr>
      <w:rPr>
        <w:rFonts w:hint="default"/>
      </w:rPr>
    </w:lvl>
    <w:lvl w:ilvl="1" w:tplc="4B903194">
      <w:start w:val="1"/>
      <w:numFmt w:val="decimalEnclosedCircle"/>
      <w:lvlText w:val="%2"/>
      <w:lvlJc w:val="left"/>
      <w:pPr>
        <w:ind w:left="1020" w:hanging="360"/>
      </w:pPr>
      <w:rPr>
        <w:rFonts w:hint="default"/>
      </w:rPr>
    </w:lvl>
    <w:lvl w:ilvl="2" w:tplc="C576F6D0">
      <w:start w:val="1"/>
      <w:numFmt w:val="bullet"/>
      <w:lvlText w:val="○"/>
      <w:lvlJc w:val="left"/>
      <w:pPr>
        <w:ind w:left="1440" w:hanging="360"/>
      </w:pPr>
      <w:rPr>
        <w:rFonts w:ascii="ＭＳ ゴシック" w:eastAsia="ＭＳ ゴシック" w:hAnsi="ＭＳ ゴシック" w:cstheme="minorBidi" w:hint="eastAsia"/>
      </w:r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13B53C98"/>
    <w:multiLevelType w:val="hybridMultilevel"/>
    <w:tmpl w:val="D9DEABC4"/>
    <w:lvl w:ilvl="0" w:tplc="8E304AB8">
      <w:numFmt w:val="bullet"/>
      <w:lvlText w:val="※"/>
      <w:lvlJc w:val="left"/>
      <w:pPr>
        <w:ind w:left="560" w:hanging="360"/>
      </w:pPr>
      <w:rPr>
        <w:rFonts w:ascii="ＭＳ ゴシック" w:eastAsia="ＭＳ ゴシック" w:hAnsi="ＭＳ ゴシック"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 w15:restartNumberingAfterBreak="0">
    <w:nsid w:val="198832AD"/>
    <w:multiLevelType w:val="hybridMultilevel"/>
    <w:tmpl w:val="D50E0DFE"/>
    <w:lvl w:ilvl="0" w:tplc="7EFE799C">
      <w:start w:val="1"/>
      <w:numFmt w:val="decimalEnclosedCircle"/>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3" w15:restartNumberingAfterBreak="0">
    <w:nsid w:val="1C3E237B"/>
    <w:multiLevelType w:val="hybridMultilevel"/>
    <w:tmpl w:val="E9261038"/>
    <w:lvl w:ilvl="0" w:tplc="8722C0C8">
      <w:start w:val="1"/>
      <w:numFmt w:val="decimalFullWidth"/>
      <w:lvlText w:val="（%1）"/>
      <w:lvlJc w:val="left"/>
      <w:pPr>
        <w:ind w:left="1200" w:hanging="960"/>
      </w:pPr>
      <w:rPr>
        <w:rFonts w:hint="default"/>
      </w:rPr>
    </w:lvl>
    <w:lvl w:ilvl="1" w:tplc="81E24242">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20046070"/>
    <w:multiLevelType w:val="hybridMultilevel"/>
    <w:tmpl w:val="FBE63278"/>
    <w:lvl w:ilvl="0" w:tplc="D9C85834">
      <w:start w:val="1"/>
      <w:numFmt w:val="decimalFullWidth"/>
      <w:lvlText w:val="（%1）"/>
      <w:lvlJc w:val="left"/>
      <w:pPr>
        <w:ind w:left="960" w:hanging="720"/>
      </w:pPr>
      <w:rPr>
        <w:rFonts w:hint="default"/>
      </w:rPr>
    </w:lvl>
    <w:lvl w:ilvl="1" w:tplc="7E3C5A10">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206615DC"/>
    <w:multiLevelType w:val="hybridMultilevel"/>
    <w:tmpl w:val="0D5CCBFA"/>
    <w:lvl w:ilvl="0" w:tplc="5C6CF852">
      <w:numFmt w:val="bullet"/>
      <w:lvlText w:val="※"/>
      <w:lvlJc w:val="left"/>
      <w:pPr>
        <w:ind w:left="990" w:hanging="360"/>
      </w:pPr>
      <w:rPr>
        <w:rFonts w:ascii="ＭＳ ゴシック" w:eastAsia="ＭＳ ゴシック" w:hAnsi="ＭＳ ゴシック"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15:restartNumberingAfterBreak="0">
    <w:nsid w:val="23C03EB2"/>
    <w:multiLevelType w:val="hybridMultilevel"/>
    <w:tmpl w:val="557AA73E"/>
    <w:lvl w:ilvl="0" w:tplc="3B02104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7C61F2A"/>
    <w:multiLevelType w:val="hybridMultilevel"/>
    <w:tmpl w:val="6B587B22"/>
    <w:lvl w:ilvl="0" w:tplc="69BA7FEE">
      <w:start w:val="3"/>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F371276"/>
    <w:multiLevelType w:val="hybridMultilevel"/>
    <w:tmpl w:val="C6DA180A"/>
    <w:lvl w:ilvl="0" w:tplc="82D6A9CA">
      <w:start w:val="1"/>
      <w:numFmt w:val="bullet"/>
      <w:lvlText w:val=""/>
      <w:lvlJc w:val="left"/>
      <w:pPr>
        <w:tabs>
          <w:tab w:val="num" w:pos="927"/>
        </w:tabs>
        <w:ind w:left="927" w:hanging="360"/>
      </w:pPr>
      <w:rPr>
        <w:rFonts w:ascii="Wingdings" w:hAnsi="Wingdings" w:hint="default"/>
      </w:rPr>
    </w:lvl>
    <w:lvl w:ilvl="1" w:tplc="311A1B32" w:tentative="1">
      <w:start w:val="1"/>
      <w:numFmt w:val="bullet"/>
      <w:lvlText w:val=""/>
      <w:lvlJc w:val="left"/>
      <w:pPr>
        <w:tabs>
          <w:tab w:val="num" w:pos="1647"/>
        </w:tabs>
        <w:ind w:left="1647" w:hanging="360"/>
      </w:pPr>
      <w:rPr>
        <w:rFonts w:ascii="Wingdings" w:hAnsi="Wingdings" w:hint="default"/>
      </w:rPr>
    </w:lvl>
    <w:lvl w:ilvl="2" w:tplc="CA70AE34" w:tentative="1">
      <w:start w:val="1"/>
      <w:numFmt w:val="bullet"/>
      <w:lvlText w:val=""/>
      <w:lvlJc w:val="left"/>
      <w:pPr>
        <w:tabs>
          <w:tab w:val="num" w:pos="2367"/>
        </w:tabs>
        <w:ind w:left="2367" w:hanging="360"/>
      </w:pPr>
      <w:rPr>
        <w:rFonts w:ascii="Wingdings" w:hAnsi="Wingdings" w:hint="default"/>
      </w:rPr>
    </w:lvl>
    <w:lvl w:ilvl="3" w:tplc="74AC5742" w:tentative="1">
      <w:start w:val="1"/>
      <w:numFmt w:val="bullet"/>
      <w:lvlText w:val=""/>
      <w:lvlJc w:val="left"/>
      <w:pPr>
        <w:tabs>
          <w:tab w:val="num" w:pos="3087"/>
        </w:tabs>
        <w:ind w:left="3087" w:hanging="360"/>
      </w:pPr>
      <w:rPr>
        <w:rFonts w:ascii="Wingdings" w:hAnsi="Wingdings" w:hint="default"/>
      </w:rPr>
    </w:lvl>
    <w:lvl w:ilvl="4" w:tplc="0D4C64FA" w:tentative="1">
      <w:start w:val="1"/>
      <w:numFmt w:val="bullet"/>
      <w:lvlText w:val=""/>
      <w:lvlJc w:val="left"/>
      <w:pPr>
        <w:tabs>
          <w:tab w:val="num" w:pos="3807"/>
        </w:tabs>
        <w:ind w:left="3807" w:hanging="360"/>
      </w:pPr>
      <w:rPr>
        <w:rFonts w:ascii="Wingdings" w:hAnsi="Wingdings" w:hint="default"/>
      </w:rPr>
    </w:lvl>
    <w:lvl w:ilvl="5" w:tplc="28440020" w:tentative="1">
      <w:start w:val="1"/>
      <w:numFmt w:val="bullet"/>
      <w:lvlText w:val=""/>
      <w:lvlJc w:val="left"/>
      <w:pPr>
        <w:tabs>
          <w:tab w:val="num" w:pos="4527"/>
        </w:tabs>
        <w:ind w:left="4527" w:hanging="360"/>
      </w:pPr>
      <w:rPr>
        <w:rFonts w:ascii="Wingdings" w:hAnsi="Wingdings" w:hint="default"/>
      </w:rPr>
    </w:lvl>
    <w:lvl w:ilvl="6" w:tplc="0A3AB0AC" w:tentative="1">
      <w:start w:val="1"/>
      <w:numFmt w:val="bullet"/>
      <w:lvlText w:val=""/>
      <w:lvlJc w:val="left"/>
      <w:pPr>
        <w:tabs>
          <w:tab w:val="num" w:pos="5247"/>
        </w:tabs>
        <w:ind w:left="5247" w:hanging="360"/>
      </w:pPr>
      <w:rPr>
        <w:rFonts w:ascii="Wingdings" w:hAnsi="Wingdings" w:hint="default"/>
      </w:rPr>
    </w:lvl>
    <w:lvl w:ilvl="7" w:tplc="66AAF0B0" w:tentative="1">
      <w:start w:val="1"/>
      <w:numFmt w:val="bullet"/>
      <w:lvlText w:val=""/>
      <w:lvlJc w:val="left"/>
      <w:pPr>
        <w:tabs>
          <w:tab w:val="num" w:pos="5967"/>
        </w:tabs>
        <w:ind w:left="5967" w:hanging="360"/>
      </w:pPr>
      <w:rPr>
        <w:rFonts w:ascii="Wingdings" w:hAnsi="Wingdings" w:hint="default"/>
      </w:rPr>
    </w:lvl>
    <w:lvl w:ilvl="8" w:tplc="3BD027F6" w:tentative="1">
      <w:start w:val="1"/>
      <w:numFmt w:val="bullet"/>
      <w:lvlText w:val=""/>
      <w:lvlJc w:val="left"/>
      <w:pPr>
        <w:tabs>
          <w:tab w:val="num" w:pos="6687"/>
        </w:tabs>
        <w:ind w:left="6687" w:hanging="360"/>
      </w:pPr>
      <w:rPr>
        <w:rFonts w:ascii="Wingdings" w:hAnsi="Wingdings" w:hint="default"/>
      </w:rPr>
    </w:lvl>
  </w:abstractNum>
  <w:abstractNum w:abstractNumId="9" w15:restartNumberingAfterBreak="0">
    <w:nsid w:val="30776F19"/>
    <w:multiLevelType w:val="hybridMultilevel"/>
    <w:tmpl w:val="9418F9A8"/>
    <w:lvl w:ilvl="0" w:tplc="F51CC73A">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19A26F1"/>
    <w:multiLevelType w:val="hybridMultilevel"/>
    <w:tmpl w:val="A862274E"/>
    <w:lvl w:ilvl="0" w:tplc="0FEADE24">
      <w:numFmt w:val="bullet"/>
      <w:lvlText w:val="・"/>
      <w:lvlJc w:val="left"/>
      <w:pPr>
        <w:ind w:left="840" w:hanging="360"/>
      </w:pPr>
      <w:rPr>
        <w:rFonts w:ascii="ＭＳ ゴシック" w:eastAsia="ＭＳ ゴシック" w:hAnsi="ＭＳ ゴシック"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1" w15:restartNumberingAfterBreak="0">
    <w:nsid w:val="372F5570"/>
    <w:multiLevelType w:val="hybridMultilevel"/>
    <w:tmpl w:val="190E843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81657C6"/>
    <w:multiLevelType w:val="hybridMultilevel"/>
    <w:tmpl w:val="1A069C5C"/>
    <w:lvl w:ilvl="0" w:tplc="0409000B">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421B4793"/>
    <w:multiLevelType w:val="hybridMultilevel"/>
    <w:tmpl w:val="7CA41AC6"/>
    <w:lvl w:ilvl="0" w:tplc="0409000B">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449D6FC4"/>
    <w:multiLevelType w:val="hybridMultilevel"/>
    <w:tmpl w:val="29C48B02"/>
    <w:lvl w:ilvl="0" w:tplc="F266ED3E">
      <w:numFmt w:val="bullet"/>
      <w:lvlText w:val="※"/>
      <w:lvlJc w:val="left"/>
      <w:pPr>
        <w:ind w:left="560" w:hanging="360"/>
      </w:pPr>
      <w:rPr>
        <w:rFonts w:ascii="ＭＳ ゴシック" w:eastAsia="ＭＳ ゴシック" w:hAnsi="ＭＳ ゴシック" w:cstheme="minorBidi"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5" w15:restartNumberingAfterBreak="0">
    <w:nsid w:val="45D84281"/>
    <w:multiLevelType w:val="hybridMultilevel"/>
    <w:tmpl w:val="37807EB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E8C15E6"/>
    <w:multiLevelType w:val="hybridMultilevel"/>
    <w:tmpl w:val="9BF8E512"/>
    <w:lvl w:ilvl="0" w:tplc="8378F076">
      <w:start w:val="1"/>
      <w:numFmt w:val="bullet"/>
      <w:lvlText w:val=""/>
      <w:lvlJc w:val="left"/>
      <w:pPr>
        <w:tabs>
          <w:tab w:val="num" w:pos="720"/>
        </w:tabs>
        <w:ind w:left="720" w:hanging="360"/>
      </w:pPr>
      <w:rPr>
        <w:rFonts w:ascii="Wingdings" w:hAnsi="Wingdings" w:hint="default"/>
      </w:rPr>
    </w:lvl>
    <w:lvl w:ilvl="1" w:tplc="9C0A9BE6" w:tentative="1">
      <w:start w:val="1"/>
      <w:numFmt w:val="bullet"/>
      <w:lvlText w:val=""/>
      <w:lvlJc w:val="left"/>
      <w:pPr>
        <w:tabs>
          <w:tab w:val="num" w:pos="1440"/>
        </w:tabs>
        <w:ind w:left="1440" w:hanging="360"/>
      </w:pPr>
      <w:rPr>
        <w:rFonts w:ascii="Wingdings" w:hAnsi="Wingdings" w:hint="default"/>
      </w:rPr>
    </w:lvl>
    <w:lvl w:ilvl="2" w:tplc="32148F62" w:tentative="1">
      <w:start w:val="1"/>
      <w:numFmt w:val="bullet"/>
      <w:lvlText w:val=""/>
      <w:lvlJc w:val="left"/>
      <w:pPr>
        <w:tabs>
          <w:tab w:val="num" w:pos="2160"/>
        </w:tabs>
        <w:ind w:left="2160" w:hanging="360"/>
      </w:pPr>
      <w:rPr>
        <w:rFonts w:ascii="Wingdings" w:hAnsi="Wingdings" w:hint="default"/>
      </w:rPr>
    </w:lvl>
    <w:lvl w:ilvl="3" w:tplc="29620A6E" w:tentative="1">
      <w:start w:val="1"/>
      <w:numFmt w:val="bullet"/>
      <w:lvlText w:val=""/>
      <w:lvlJc w:val="left"/>
      <w:pPr>
        <w:tabs>
          <w:tab w:val="num" w:pos="2880"/>
        </w:tabs>
        <w:ind w:left="2880" w:hanging="360"/>
      </w:pPr>
      <w:rPr>
        <w:rFonts w:ascii="Wingdings" w:hAnsi="Wingdings" w:hint="default"/>
      </w:rPr>
    </w:lvl>
    <w:lvl w:ilvl="4" w:tplc="76A28C26" w:tentative="1">
      <w:start w:val="1"/>
      <w:numFmt w:val="bullet"/>
      <w:lvlText w:val=""/>
      <w:lvlJc w:val="left"/>
      <w:pPr>
        <w:tabs>
          <w:tab w:val="num" w:pos="3600"/>
        </w:tabs>
        <w:ind w:left="3600" w:hanging="360"/>
      </w:pPr>
      <w:rPr>
        <w:rFonts w:ascii="Wingdings" w:hAnsi="Wingdings" w:hint="default"/>
      </w:rPr>
    </w:lvl>
    <w:lvl w:ilvl="5" w:tplc="2B9E90DE" w:tentative="1">
      <w:start w:val="1"/>
      <w:numFmt w:val="bullet"/>
      <w:lvlText w:val=""/>
      <w:lvlJc w:val="left"/>
      <w:pPr>
        <w:tabs>
          <w:tab w:val="num" w:pos="4320"/>
        </w:tabs>
        <w:ind w:left="4320" w:hanging="360"/>
      </w:pPr>
      <w:rPr>
        <w:rFonts w:ascii="Wingdings" w:hAnsi="Wingdings" w:hint="default"/>
      </w:rPr>
    </w:lvl>
    <w:lvl w:ilvl="6" w:tplc="0A2ED62A" w:tentative="1">
      <w:start w:val="1"/>
      <w:numFmt w:val="bullet"/>
      <w:lvlText w:val=""/>
      <w:lvlJc w:val="left"/>
      <w:pPr>
        <w:tabs>
          <w:tab w:val="num" w:pos="5040"/>
        </w:tabs>
        <w:ind w:left="5040" w:hanging="360"/>
      </w:pPr>
      <w:rPr>
        <w:rFonts w:ascii="Wingdings" w:hAnsi="Wingdings" w:hint="default"/>
      </w:rPr>
    </w:lvl>
    <w:lvl w:ilvl="7" w:tplc="B726B47A" w:tentative="1">
      <w:start w:val="1"/>
      <w:numFmt w:val="bullet"/>
      <w:lvlText w:val=""/>
      <w:lvlJc w:val="left"/>
      <w:pPr>
        <w:tabs>
          <w:tab w:val="num" w:pos="5760"/>
        </w:tabs>
        <w:ind w:left="5760" w:hanging="360"/>
      </w:pPr>
      <w:rPr>
        <w:rFonts w:ascii="Wingdings" w:hAnsi="Wingdings" w:hint="default"/>
      </w:rPr>
    </w:lvl>
    <w:lvl w:ilvl="8" w:tplc="1966E18E"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1E06D5"/>
    <w:multiLevelType w:val="hybridMultilevel"/>
    <w:tmpl w:val="F50E9F2A"/>
    <w:lvl w:ilvl="0" w:tplc="A4C6DE2C">
      <w:start w:val="1"/>
      <w:numFmt w:val="decimalFullWidth"/>
      <w:lvlText w:val="（%1）"/>
      <w:lvlJc w:val="left"/>
      <w:pPr>
        <w:ind w:left="1200" w:hanging="960"/>
      </w:pPr>
      <w:rPr>
        <w:rFonts w:hint="default"/>
        <w:lang w:val="en-US"/>
      </w:rPr>
    </w:lvl>
    <w:lvl w:ilvl="1" w:tplc="81E24242">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4F6A5430"/>
    <w:multiLevelType w:val="hybridMultilevel"/>
    <w:tmpl w:val="0116072E"/>
    <w:lvl w:ilvl="0" w:tplc="CD722582">
      <w:start w:val="1"/>
      <w:numFmt w:val="bullet"/>
      <w:lvlText w:val=""/>
      <w:lvlJc w:val="left"/>
      <w:pPr>
        <w:tabs>
          <w:tab w:val="num" w:pos="720"/>
        </w:tabs>
        <w:ind w:left="720" w:hanging="360"/>
      </w:pPr>
      <w:rPr>
        <w:rFonts w:ascii="Wingdings" w:hAnsi="Wingdings" w:hint="default"/>
      </w:rPr>
    </w:lvl>
    <w:lvl w:ilvl="1" w:tplc="35A2EE9C" w:tentative="1">
      <w:start w:val="1"/>
      <w:numFmt w:val="bullet"/>
      <w:lvlText w:val=""/>
      <w:lvlJc w:val="left"/>
      <w:pPr>
        <w:tabs>
          <w:tab w:val="num" w:pos="1440"/>
        </w:tabs>
        <w:ind w:left="1440" w:hanging="360"/>
      </w:pPr>
      <w:rPr>
        <w:rFonts w:ascii="Wingdings" w:hAnsi="Wingdings" w:hint="default"/>
      </w:rPr>
    </w:lvl>
    <w:lvl w:ilvl="2" w:tplc="8646AEB0" w:tentative="1">
      <w:start w:val="1"/>
      <w:numFmt w:val="bullet"/>
      <w:lvlText w:val=""/>
      <w:lvlJc w:val="left"/>
      <w:pPr>
        <w:tabs>
          <w:tab w:val="num" w:pos="2160"/>
        </w:tabs>
        <w:ind w:left="2160" w:hanging="360"/>
      </w:pPr>
      <w:rPr>
        <w:rFonts w:ascii="Wingdings" w:hAnsi="Wingdings" w:hint="default"/>
      </w:rPr>
    </w:lvl>
    <w:lvl w:ilvl="3" w:tplc="14CAD63A" w:tentative="1">
      <w:start w:val="1"/>
      <w:numFmt w:val="bullet"/>
      <w:lvlText w:val=""/>
      <w:lvlJc w:val="left"/>
      <w:pPr>
        <w:tabs>
          <w:tab w:val="num" w:pos="2880"/>
        </w:tabs>
        <w:ind w:left="2880" w:hanging="360"/>
      </w:pPr>
      <w:rPr>
        <w:rFonts w:ascii="Wingdings" w:hAnsi="Wingdings" w:hint="default"/>
      </w:rPr>
    </w:lvl>
    <w:lvl w:ilvl="4" w:tplc="18D87D8A" w:tentative="1">
      <w:start w:val="1"/>
      <w:numFmt w:val="bullet"/>
      <w:lvlText w:val=""/>
      <w:lvlJc w:val="left"/>
      <w:pPr>
        <w:tabs>
          <w:tab w:val="num" w:pos="3600"/>
        </w:tabs>
        <w:ind w:left="3600" w:hanging="360"/>
      </w:pPr>
      <w:rPr>
        <w:rFonts w:ascii="Wingdings" w:hAnsi="Wingdings" w:hint="default"/>
      </w:rPr>
    </w:lvl>
    <w:lvl w:ilvl="5" w:tplc="9DC0528E" w:tentative="1">
      <w:start w:val="1"/>
      <w:numFmt w:val="bullet"/>
      <w:lvlText w:val=""/>
      <w:lvlJc w:val="left"/>
      <w:pPr>
        <w:tabs>
          <w:tab w:val="num" w:pos="4320"/>
        </w:tabs>
        <w:ind w:left="4320" w:hanging="360"/>
      </w:pPr>
      <w:rPr>
        <w:rFonts w:ascii="Wingdings" w:hAnsi="Wingdings" w:hint="default"/>
      </w:rPr>
    </w:lvl>
    <w:lvl w:ilvl="6" w:tplc="9E8869A8" w:tentative="1">
      <w:start w:val="1"/>
      <w:numFmt w:val="bullet"/>
      <w:lvlText w:val=""/>
      <w:lvlJc w:val="left"/>
      <w:pPr>
        <w:tabs>
          <w:tab w:val="num" w:pos="5040"/>
        </w:tabs>
        <w:ind w:left="5040" w:hanging="360"/>
      </w:pPr>
      <w:rPr>
        <w:rFonts w:ascii="Wingdings" w:hAnsi="Wingdings" w:hint="default"/>
      </w:rPr>
    </w:lvl>
    <w:lvl w:ilvl="7" w:tplc="DFAAFB02" w:tentative="1">
      <w:start w:val="1"/>
      <w:numFmt w:val="bullet"/>
      <w:lvlText w:val=""/>
      <w:lvlJc w:val="left"/>
      <w:pPr>
        <w:tabs>
          <w:tab w:val="num" w:pos="5760"/>
        </w:tabs>
        <w:ind w:left="5760" w:hanging="360"/>
      </w:pPr>
      <w:rPr>
        <w:rFonts w:ascii="Wingdings" w:hAnsi="Wingdings" w:hint="default"/>
      </w:rPr>
    </w:lvl>
    <w:lvl w:ilvl="8" w:tplc="3CEEF2E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8D2B31"/>
    <w:multiLevelType w:val="hybridMultilevel"/>
    <w:tmpl w:val="78D62AEC"/>
    <w:lvl w:ilvl="0" w:tplc="18B2B2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73D7BD3"/>
    <w:multiLevelType w:val="hybridMultilevel"/>
    <w:tmpl w:val="8C9A7EE8"/>
    <w:lvl w:ilvl="0" w:tplc="B0064F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8432A78"/>
    <w:multiLevelType w:val="hybridMultilevel"/>
    <w:tmpl w:val="03DA2300"/>
    <w:lvl w:ilvl="0" w:tplc="DC58AE5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6A1D36FF"/>
    <w:multiLevelType w:val="hybridMultilevel"/>
    <w:tmpl w:val="373E9A26"/>
    <w:lvl w:ilvl="0" w:tplc="8C34272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C0B410C"/>
    <w:multiLevelType w:val="hybridMultilevel"/>
    <w:tmpl w:val="7186B5C8"/>
    <w:lvl w:ilvl="0" w:tplc="0380BEF6">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4" w15:restartNumberingAfterBreak="0">
    <w:nsid w:val="70C17B9E"/>
    <w:multiLevelType w:val="hybridMultilevel"/>
    <w:tmpl w:val="F32EF672"/>
    <w:lvl w:ilvl="0" w:tplc="58AE8370">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15:restartNumberingAfterBreak="0">
    <w:nsid w:val="733C1267"/>
    <w:multiLevelType w:val="hybridMultilevel"/>
    <w:tmpl w:val="EE3C2442"/>
    <w:lvl w:ilvl="0" w:tplc="7CA688B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8923FE9"/>
    <w:multiLevelType w:val="hybridMultilevel"/>
    <w:tmpl w:val="733E70AE"/>
    <w:lvl w:ilvl="0" w:tplc="D59E9E2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9FA2C5F"/>
    <w:multiLevelType w:val="hybridMultilevel"/>
    <w:tmpl w:val="069CEE56"/>
    <w:lvl w:ilvl="0" w:tplc="B1245E02">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8" w15:restartNumberingAfterBreak="0">
    <w:nsid w:val="7A7A6A9A"/>
    <w:multiLevelType w:val="hybridMultilevel"/>
    <w:tmpl w:val="837EE6B4"/>
    <w:lvl w:ilvl="0" w:tplc="3C62FC9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9" w15:restartNumberingAfterBreak="0">
    <w:nsid w:val="7D0175B6"/>
    <w:multiLevelType w:val="hybridMultilevel"/>
    <w:tmpl w:val="CCA21E7A"/>
    <w:lvl w:ilvl="0" w:tplc="BF804580">
      <w:start w:val="4"/>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E2E6EA7"/>
    <w:multiLevelType w:val="hybridMultilevel"/>
    <w:tmpl w:val="29888AB8"/>
    <w:lvl w:ilvl="0" w:tplc="CDC48D10">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abstractNumId w:val="5"/>
  </w:num>
  <w:num w:numId="2">
    <w:abstractNumId w:val="10"/>
  </w:num>
  <w:num w:numId="3">
    <w:abstractNumId w:val="8"/>
  </w:num>
  <w:num w:numId="4">
    <w:abstractNumId w:val="11"/>
  </w:num>
  <w:num w:numId="5">
    <w:abstractNumId w:val="16"/>
  </w:num>
  <w:num w:numId="6">
    <w:abstractNumId w:val="18"/>
  </w:num>
  <w:num w:numId="7">
    <w:abstractNumId w:val="13"/>
  </w:num>
  <w:num w:numId="8">
    <w:abstractNumId w:val="12"/>
  </w:num>
  <w:num w:numId="9">
    <w:abstractNumId w:val="15"/>
  </w:num>
  <w:num w:numId="10">
    <w:abstractNumId w:val="4"/>
  </w:num>
  <w:num w:numId="11">
    <w:abstractNumId w:val="20"/>
  </w:num>
  <w:num w:numId="12">
    <w:abstractNumId w:val="26"/>
  </w:num>
  <w:num w:numId="13">
    <w:abstractNumId w:val="17"/>
  </w:num>
  <w:num w:numId="14">
    <w:abstractNumId w:val="0"/>
  </w:num>
  <w:num w:numId="15">
    <w:abstractNumId w:val="2"/>
  </w:num>
  <w:num w:numId="16">
    <w:abstractNumId w:val="23"/>
  </w:num>
  <w:num w:numId="17">
    <w:abstractNumId w:val="27"/>
  </w:num>
  <w:num w:numId="18">
    <w:abstractNumId w:val="3"/>
  </w:num>
  <w:num w:numId="19">
    <w:abstractNumId w:val="9"/>
  </w:num>
  <w:num w:numId="20">
    <w:abstractNumId w:val="29"/>
  </w:num>
  <w:num w:numId="21">
    <w:abstractNumId w:val="30"/>
  </w:num>
  <w:num w:numId="22">
    <w:abstractNumId w:val="24"/>
  </w:num>
  <w:num w:numId="23">
    <w:abstractNumId w:val="1"/>
  </w:num>
  <w:num w:numId="24">
    <w:abstractNumId w:val="14"/>
  </w:num>
  <w:num w:numId="25">
    <w:abstractNumId w:val="22"/>
  </w:num>
  <w:num w:numId="26">
    <w:abstractNumId w:val="6"/>
  </w:num>
  <w:num w:numId="27">
    <w:abstractNumId w:val="21"/>
  </w:num>
  <w:num w:numId="28">
    <w:abstractNumId w:val="25"/>
  </w:num>
  <w:num w:numId="29">
    <w:abstractNumId w:val="19"/>
  </w:num>
  <w:num w:numId="30">
    <w:abstractNumId w:val="28"/>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bordersDoNotSurroundHeader/>
  <w:bordersDoNotSurroundFooter/>
  <w:defaultTabStop w:val="126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B83"/>
    <w:rsid w:val="00001CB0"/>
    <w:rsid w:val="000041BE"/>
    <w:rsid w:val="00004A95"/>
    <w:rsid w:val="00004DA2"/>
    <w:rsid w:val="000054CF"/>
    <w:rsid w:val="00007BA6"/>
    <w:rsid w:val="00010A57"/>
    <w:rsid w:val="00010E64"/>
    <w:rsid w:val="00010EE4"/>
    <w:rsid w:val="00011BB2"/>
    <w:rsid w:val="00016A5B"/>
    <w:rsid w:val="00017535"/>
    <w:rsid w:val="00022EC4"/>
    <w:rsid w:val="00023E1D"/>
    <w:rsid w:val="000332DD"/>
    <w:rsid w:val="000361A4"/>
    <w:rsid w:val="0004213B"/>
    <w:rsid w:val="00043CCF"/>
    <w:rsid w:val="00043DFC"/>
    <w:rsid w:val="0004570F"/>
    <w:rsid w:val="0005007B"/>
    <w:rsid w:val="00050758"/>
    <w:rsid w:val="0005079C"/>
    <w:rsid w:val="00055784"/>
    <w:rsid w:val="00057F7E"/>
    <w:rsid w:val="0006305C"/>
    <w:rsid w:val="00066179"/>
    <w:rsid w:val="0007143D"/>
    <w:rsid w:val="000746C1"/>
    <w:rsid w:val="00080765"/>
    <w:rsid w:val="00080996"/>
    <w:rsid w:val="000814D6"/>
    <w:rsid w:val="00085F62"/>
    <w:rsid w:val="000878BE"/>
    <w:rsid w:val="00093244"/>
    <w:rsid w:val="00094F08"/>
    <w:rsid w:val="0009553A"/>
    <w:rsid w:val="00095A6A"/>
    <w:rsid w:val="00096662"/>
    <w:rsid w:val="000969FC"/>
    <w:rsid w:val="00096CD1"/>
    <w:rsid w:val="00097E33"/>
    <w:rsid w:val="000A3C5B"/>
    <w:rsid w:val="000A79C1"/>
    <w:rsid w:val="000A7E70"/>
    <w:rsid w:val="000B24E3"/>
    <w:rsid w:val="000B4410"/>
    <w:rsid w:val="000B584B"/>
    <w:rsid w:val="000C07C8"/>
    <w:rsid w:val="000C5347"/>
    <w:rsid w:val="000C74B6"/>
    <w:rsid w:val="000D3058"/>
    <w:rsid w:val="000D4F52"/>
    <w:rsid w:val="000D6FAC"/>
    <w:rsid w:val="000E2340"/>
    <w:rsid w:val="000E2EF9"/>
    <w:rsid w:val="000F74E0"/>
    <w:rsid w:val="00104FF5"/>
    <w:rsid w:val="00105CA6"/>
    <w:rsid w:val="00107460"/>
    <w:rsid w:val="00107F51"/>
    <w:rsid w:val="001108EF"/>
    <w:rsid w:val="00113A47"/>
    <w:rsid w:val="00113BDC"/>
    <w:rsid w:val="00123751"/>
    <w:rsid w:val="00125605"/>
    <w:rsid w:val="00127B83"/>
    <w:rsid w:val="00130AB7"/>
    <w:rsid w:val="0013226C"/>
    <w:rsid w:val="001361A9"/>
    <w:rsid w:val="00137A7A"/>
    <w:rsid w:val="00141917"/>
    <w:rsid w:val="00142DB5"/>
    <w:rsid w:val="00144677"/>
    <w:rsid w:val="00147CF2"/>
    <w:rsid w:val="0015028D"/>
    <w:rsid w:val="001519D7"/>
    <w:rsid w:val="0015369D"/>
    <w:rsid w:val="0016084A"/>
    <w:rsid w:val="00161B0C"/>
    <w:rsid w:val="001645A2"/>
    <w:rsid w:val="0016570D"/>
    <w:rsid w:val="00172B50"/>
    <w:rsid w:val="00177E96"/>
    <w:rsid w:val="001803ED"/>
    <w:rsid w:val="00180759"/>
    <w:rsid w:val="00191757"/>
    <w:rsid w:val="00195062"/>
    <w:rsid w:val="001A29A6"/>
    <w:rsid w:val="001A362E"/>
    <w:rsid w:val="001A5247"/>
    <w:rsid w:val="001A538A"/>
    <w:rsid w:val="001A7002"/>
    <w:rsid w:val="001B1E9D"/>
    <w:rsid w:val="001B4FE2"/>
    <w:rsid w:val="001B64B1"/>
    <w:rsid w:val="001C2C55"/>
    <w:rsid w:val="001C5E8A"/>
    <w:rsid w:val="001D24FC"/>
    <w:rsid w:val="001D4839"/>
    <w:rsid w:val="001E5057"/>
    <w:rsid w:val="001E75C2"/>
    <w:rsid w:val="001F04F4"/>
    <w:rsid w:val="001F1A53"/>
    <w:rsid w:val="001F364B"/>
    <w:rsid w:val="001F45D7"/>
    <w:rsid w:val="001F45FF"/>
    <w:rsid w:val="001F5965"/>
    <w:rsid w:val="001F5AFE"/>
    <w:rsid w:val="001F5C01"/>
    <w:rsid w:val="001F67C0"/>
    <w:rsid w:val="001F7657"/>
    <w:rsid w:val="0020526E"/>
    <w:rsid w:val="002132EC"/>
    <w:rsid w:val="00214505"/>
    <w:rsid w:val="00217A53"/>
    <w:rsid w:val="00222D63"/>
    <w:rsid w:val="002269BE"/>
    <w:rsid w:val="00234411"/>
    <w:rsid w:val="002363ED"/>
    <w:rsid w:val="00240AEB"/>
    <w:rsid w:val="002415AB"/>
    <w:rsid w:val="00241AEA"/>
    <w:rsid w:val="00244849"/>
    <w:rsid w:val="00244CF8"/>
    <w:rsid w:val="00251CE4"/>
    <w:rsid w:val="00255A07"/>
    <w:rsid w:val="00256422"/>
    <w:rsid w:val="002565E2"/>
    <w:rsid w:val="00256A50"/>
    <w:rsid w:val="00257596"/>
    <w:rsid w:val="00260160"/>
    <w:rsid w:val="0026032A"/>
    <w:rsid w:val="002607E2"/>
    <w:rsid w:val="00264DC7"/>
    <w:rsid w:val="002655BB"/>
    <w:rsid w:val="00276AB2"/>
    <w:rsid w:val="00282D76"/>
    <w:rsid w:val="00286548"/>
    <w:rsid w:val="002913CE"/>
    <w:rsid w:val="002913D3"/>
    <w:rsid w:val="00291D41"/>
    <w:rsid w:val="002A4BEB"/>
    <w:rsid w:val="002A556E"/>
    <w:rsid w:val="002A57ED"/>
    <w:rsid w:val="002A6269"/>
    <w:rsid w:val="002A7DFF"/>
    <w:rsid w:val="002B11DF"/>
    <w:rsid w:val="002B1F4C"/>
    <w:rsid w:val="002B22AC"/>
    <w:rsid w:val="002B51C8"/>
    <w:rsid w:val="002B5370"/>
    <w:rsid w:val="002C0E5A"/>
    <w:rsid w:val="002C18FC"/>
    <w:rsid w:val="002C2D0F"/>
    <w:rsid w:val="002D4CC4"/>
    <w:rsid w:val="002D60B7"/>
    <w:rsid w:val="002E4C70"/>
    <w:rsid w:val="002E5AC6"/>
    <w:rsid w:val="002F40C3"/>
    <w:rsid w:val="002F43FB"/>
    <w:rsid w:val="002F47D0"/>
    <w:rsid w:val="003000E7"/>
    <w:rsid w:val="003050DF"/>
    <w:rsid w:val="00305C59"/>
    <w:rsid w:val="003164B1"/>
    <w:rsid w:val="003164B2"/>
    <w:rsid w:val="003165FB"/>
    <w:rsid w:val="00317C9B"/>
    <w:rsid w:val="0032394A"/>
    <w:rsid w:val="0033200D"/>
    <w:rsid w:val="00337D3E"/>
    <w:rsid w:val="003418F2"/>
    <w:rsid w:val="00344510"/>
    <w:rsid w:val="00347CDA"/>
    <w:rsid w:val="003500C7"/>
    <w:rsid w:val="00351D90"/>
    <w:rsid w:val="00355FD3"/>
    <w:rsid w:val="00360C55"/>
    <w:rsid w:val="00366E06"/>
    <w:rsid w:val="00372388"/>
    <w:rsid w:val="00377C04"/>
    <w:rsid w:val="003807D0"/>
    <w:rsid w:val="00385853"/>
    <w:rsid w:val="00386EC0"/>
    <w:rsid w:val="00391400"/>
    <w:rsid w:val="00396355"/>
    <w:rsid w:val="003A1FB4"/>
    <w:rsid w:val="003A4524"/>
    <w:rsid w:val="003A578B"/>
    <w:rsid w:val="003A5B90"/>
    <w:rsid w:val="003B20EE"/>
    <w:rsid w:val="003B6A8B"/>
    <w:rsid w:val="003C1C35"/>
    <w:rsid w:val="003C3ED3"/>
    <w:rsid w:val="003C4AAE"/>
    <w:rsid w:val="003C6FDB"/>
    <w:rsid w:val="003D3289"/>
    <w:rsid w:val="003E3C67"/>
    <w:rsid w:val="003E4350"/>
    <w:rsid w:val="003E5E1E"/>
    <w:rsid w:val="003E6F9C"/>
    <w:rsid w:val="003F1AD5"/>
    <w:rsid w:val="003F7AAA"/>
    <w:rsid w:val="003F7EB4"/>
    <w:rsid w:val="00400C4E"/>
    <w:rsid w:val="0040388D"/>
    <w:rsid w:val="0040547A"/>
    <w:rsid w:val="00406BFD"/>
    <w:rsid w:val="004079ED"/>
    <w:rsid w:val="004116ED"/>
    <w:rsid w:val="00411792"/>
    <w:rsid w:val="00411D8A"/>
    <w:rsid w:val="00414DD7"/>
    <w:rsid w:val="004171BF"/>
    <w:rsid w:val="00417FBD"/>
    <w:rsid w:val="004244C6"/>
    <w:rsid w:val="00426A60"/>
    <w:rsid w:val="0043108F"/>
    <w:rsid w:val="00433BC9"/>
    <w:rsid w:val="00441BFB"/>
    <w:rsid w:val="004426B8"/>
    <w:rsid w:val="00444FAF"/>
    <w:rsid w:val="0044725D"/>
    <w:rsid w:val="00452ADA"/>
    <w:rsid w:val="00457CC7"/>
    <w:rsid w:val="004652AE"/>
    <w:rsid w:val="00466F31"/>
    <w:rsid w:val="00474333"/>
    <w:rsid w:val="00474E74"/>
    <w:rsid w:val="0047583F"/>
    <w:rsid w:val="00475E89"/>
    <w:rsid w:val="0047654D"/>
    <w:rsid w:val="00476B23"/>
    <w:rsid w:val="004823CA"/>
    <w:rsid w:val="004863C9"/>
    <w:rsid w:val="00491CCE"/>
    <w:rsid w:val="00493187"/>
    <w:rsid w:val="0049404E"/>
    <w:rsid w:val="004A17C2"/>
    <w:rsid w:val="004A1E8F"/>
    <w:rsid w:val="004A1F5A"/>
    <w:rsid w:val="004B1AA5"/>
    <w:rsid w:val="004B3710"/>
    <w:rsid w:val="004B4947"/>
    <w:rsid w:val="004B4A0F"/>
    <w:rsid w:val="004B6459"/>
    <w:rsid w:val="004C1386"/>
    <w:rsid w:val="004C5C21"/>
    <w:rsid w:val="004C5E1D"/>
    <w:rsid w:val="004D0462"/>
    <w:rsid w:val="004D255B"/>
    <w:rsid w:val="004D2965"/>
    <w:rsid w:val="004D546C"/>
    <w:rsid w:val="004D57DA"/>
    <w:rsid w:val="004E23F7"/>
    <w:rsid w:val="004E24CE"/>
    <w:rsid w:val="004E60AA"/>
    <w:rsid w:val="004E7C5D"/>
    <w:rsid w:val="004F6D2C"/>
    <w:rsid w:val="004F6E58"/>
    <w:rsid w:val="00501338"/>
    <w:rsid w:val="0050300A"/>
    <w:rsid w:val="00507749"/>
    <w:rsid w:val="00510113"/>
    <w:rsid w:val="00514E57"/>
    <w:rsid w:val="00515C98"/>
    <w:rsid w:val="00516517"/>
    <w:rsid w:val="00520FC7"/>
    <w:rsid w:val="005304A5"/>
    <w:rsid w:val="00530E99"/>
    <w:rsid w:val="00535584"/>
    <w:rsid w:val="00541AF7"/>
    <w:rsid w:val="005479F0"/>
    <w:rsid w:val="00553611"/>
    <w:rsid w:val="00553965"/>
    <w:rsid w:val="00557462"/>
    <w:rsid w:val="00557517"/>
    <w:rsid w:val="00562C55"/>
    <w:rsid w:val="0056542F"/>
    <w:rsid w:val="00570B09"/>
    <w:rsid w:val="0057154D"/>
    <w:rsid w:val="00576B92"/>
    <w:rsid w:val="00583F0F"/>
    <w:rsid w:val="00584443"/>
    <w:rsid w:val="005853D2"/>
    <w:rsid w:val="0058598A"/>
    <w:rsid w:val="0058746C"/>
    <w:rsid w:val="005903C2"/>
    <w:rsid w:val="005931BF"/>
    <w:rsid w:val="005952ED"/>
    <w:rsid w:val="005A006A"/>
    <w:rsid w:val="005A72C1"/>
    <w:rsid w:val="005C5D1A"/>
    <w:rsid w:val="005D11C9"/>
    <w:rsid w:val="005D1EA6"/>
    <w:rsid w:val="005D2363"/>
    <w:rsid w:val="005D3A54"/>
    <w:rsid w:val="005D443A"/>
    <w:rsid w:val="005E42A2"/>
    <w:rsid w:val="005E6088"/>
    <w:rsid w:val="005F0641"/>
    <w:rsid w:val="005F6B4A"/>
    <w:rsid w:val="005F74A2"/>
    <w:rsid w:val="00602781"/>
    <w:rsid w:val="00604C49"/>
    <w:rsid w:val="006067C1"/>
    <w:rsid w:val="00611F60"/>
    <w:rsid w:val="00614928"/>
    <w:rsid w:val="00621ABE"/>
    <w:rsid w:val="00621DFD"/>
    <w:rsid w:val="006228A4"/>
    <w:rsid w:val="006265B5"/>
    <w:rsid w:val="006275DE"/>
    <w:rsid w:val="0063064A"/>
    <w:rsid w:val="00631D56"/>
    <w:rsid w:val="00633A3E"/>
    <w:rsid w:val="00635989"/>
    <w:rsid w:val="0064309B"/>
    <w:rsid w:val="00645BBC"/>
    <w:rsid w:val="00647645"/>
    <w:rsid w:val="00653960"/>
    <w:rsid w:val="0065412E"/>
    <w:rsid w:val="006557A0"/>
    <w:rsid w:val="00655B44"/>
    <w:rsid w:val="00656818"/>
    <w:rsid w:val="00660665"/>
    <w:rsid w:val="00661430"/>
    <w:rsid w:val="00670781"/>
    <w:rsid w:val="00670B28"/>
    <w:rsid w:val="006734A2"/>
    <w:rsid w:val="00674DAE"/>
    <w:rsid w:val="00676A3E"/>
    <w:rsid w:val="0068334B"/>
    <w:rsid w:val="00683401"/>
    <w:rsid w:val="006847A6"/>
    <w:rsid w:val="006921BF"/>
    <w:rsid w:val="006940F6"/>
    <w:rsid w:val="00694C93"/>
    <w:rsid w:val="0069685D"/>
    <w:rsid w:val="006A1790"/>
    <w:rsid w:val="006A2758"/>
    <w:rsid w:val="006A50EE"/>
    <w:rsid w:val="006A553C"/>
    <w:rsid w:val="006A5B21"/>
    <w:rsid w:val="006B0ABF"/>
    <w:rsid w:val="006B0C2A"/>
    <w:rsid w:val="006B2ABB"/>
    <w:rsid w:val="006B651A"/>
    <w:rsid w:val="006B7491"/>
    <w:rsid w:val="006C267F"/>
    <w:rsid w:val="006C4E99"/>
    <w:rsid w:val="006C5A64"/>
    <w:rsid w:val="006C71B5"/>
    <w:rsid w:val="006D17A1"/>
    <w:rsid w:val="006D2F7F"/>
    <w:rsid w:val="006D53E8"/>
    <w:rsid w:val="006D5F9C"/>
    <w:rsid w:val="006D6B63"/>
    <w:rsid w:val="006E3A2A"/>
    <w:rsid w:val="006E418B"/>
    <w:rsid w:val="006E5237"/>
    <w:rsid w:val="006E5A0B"/>
    <w:rsid w:val="006E6794"/>
    <w:rsid w:val="006F0D49"/>
    <w:rsid w:val="006F0E73"/>
    <w:rsid w:val="006F373F"/>
    <w:rsid w:val="006F437B"/>
    <w:rsid w:val="006F4C4B"/>
    <w:rsid w:val="0070438C"/>
    <w:rsid w:val="007058D6"/>
    <w:rsid w:val="0070676D"/>
    <w:rsid w:val="007103B6"/>
    <w:rsid w:val="00711AAC"/>
    <w:rsid w:val="007121AD"/>
    <w:rsid w:val="00727CC1"/>
    <w:rsid w:val="00730625"/>
    <w:rsid w:val="00730649"/>
    <w:rsid w:val="00731B51"/>
    <w:rsid w:val="007338AD"/>
    <w:rsid w:val="00740134"/>
    <w:rsid w:val="007404EC"/>
    <w:rsid w:val="00742836"/>
    <w:rsid w:val="00744A74"/>
    <w:rsid w:val="007475D9"/>
    <w:rsid w:val="00750A65"/>
    <w:rsid w:val="00751D85"/>
    <w:rsid w:val="0076118B"/>
    <w:rsid w:val="0076488F"/>
    <w:rsid w:val="00764C66"/>
    <w:rsid w:val="00782867"/>
    <w:rsid w:val="0078375A"/>
    <w:rsid w:val="00783BAE"/>
    <w:rsid w:val="00783D61"/>
    <w:rsid w:val="0078694A"/>
    <w:rsid w:val="00791F51"/>
    <w:rsid w:val="00793A81"/>
    <w:rsid w:val="00797FFA"/>
    <w:rsid w:val="007A4711"/>
    <w:rsid w:val="007A4FF8"/>
    <w:rsid w:val="007B03FC"/>
    <w:rsid w:val="007B16A2"/>
    <w:rsid w:val="007B6ADB"/>
    <w:rsid w:val="007C13FD"/>
    <w:rsid w:val="007C4C85"/>
    <w:rsid w:val="007C4E9A"/>
    <w:rsid w:val="007C5B36"/>
    <w:rsid w:val="007C655B"/>
    <w:rsid w:val="007C6F58"/>
    <w:rsid w:val="007D0A58"/>
    <w:rsid w:val="007D26CB"/>
    <w:rsid w:val="007D6D26"/>
    <w:rsid w:val="007E21EF"/>
    <w:rsid w:val="007E5EF6"/>
    <w:rsid w:val="007F2D9B"/>
    <w:rsid w:val="0080221B"/>
    <w:rsid w:val="0080491E"/>
    <w:rsid w:val="00806973"/>
    <w:rsid w:val="00811041"/>
    <w:rsid w:val="00812543"/>
    <w:rsid w:val="00812E11"/>
    <w:rsid w:val="00814FC2"/>
    <w:rsid w:val="00816F05"/>
    <w:rsid w:val="00820070"/>
    <w:rsid w:val="0082107A"/>
    <w:rsid w:val="008277D8"/>
    <w:rsid w:val="00830867"/>
    <w:rsid w:val="008345B9"/>
    <w:rsid w:val="008349A8"/>
    <w:rsid w:val="00834EE3"/>
    <w:rsid w:val="00841071"/>
    <w:rsid w:val="00845F2F"/>
    <w:rsid w:val="00854184"/>
    <w:rsid w:val="00860559"/>
    <w:rsid w:val="00863898"/>
    <w:rsid w:val="008660D1"/>
    <w:rsid w:val="008723F2"/>
    <w:rsid w:val="0087421E"/>
    <w:rsid w:val="00880C51"/>
    <w:rsid w:val="008819FC"/>
    <w:rsid w:val="00886C9B"/>
    <w:rsid w:val="0088778B"/>
    <w:rsid w:val="00892FFD"/>
    <w:rsid w:val="00895B6C"/>
    <w:rsid w:val="008962D3"/>
    <w:rsid w:val="008967DD"/>
    <w:rsid w:val="008A3482"/>
    <w:rsid w:val="008B28F9"/>
    <w:rsid w:val="008B65C3"/>
    <w:rsid w:val="008B78D0"/>
    <w:rsid w:val="008C02D6"/>
    <w:rsid w:val="008C4E07"/>
    <w:rsid w:val="008C788B"/>
    <w:rsid w:val="008D2288"/>
    <w:rsid w:val="008D4150"/>
    <w:rsid w:val="008D5497"/>
    <w:rsid w:val="008D54DC"/>
    <w:rsid w:val="008D798A"/>
    <w:rsid w:val="008E454D"/>
    <w:rsid w:val="008F0743"/>
    <w:rsid w:val="008F0BD5"/>
    <w:rsid w:val="008F1B30"/>
    <w:rsid w:val="008F1CBB"/>
    <w:rsid w:val="008F393C"/>
    <w:rsid w:val="008F4AC2"/>
    <w:rsid w:val="008F4C03"/>
    <w:rsid w:val="008F55B1"/>
    <w:rsid w:val="008F6364"/>
    <w:rsid w:val="008F70A3"/>
    <w:rsid w:val="008F7E6C"/>
    <w:rsid w:val="00904EE7"/>
    <w:rsid w:val="009054C1"/>
    <w:rsid w:val="00906F55"/>
    <w:rsid w:val="0091105F"/>
    <w:rsid w:val="00916154"/>
    <w:rsid w:val="0091793E"/>
    <w:rsid w:val="00924919"/>
    <w:rsid w:val="00924CCA"/>
    <w:rsid w:val="00931E61"/>
    <w:rsid w:val="009320D5"/>
    <w:rsid w:val="00934AE9"/>
    <w:rsid w:val="009363FC"/>
    <w:rsid w:val="00940B7E"/>
    <w:rsid w:val="00947482"/>
    <w:rsid w:val="009475BB"/>
    <w:rsid w:val="009545D4"/>
    <w:rsid w:val="009551B5"/>
    <w:rsid w:val="0095622A"/>
    <w:rsid w:val="00956F2B"/>
    <w:rsid w:val="0095768A"/>
    <w:rsid w:val="00963172"/>
    <w:rsid w:val="00971351"/>
    <w:rsid w:val="00971B82"/>
    <w:rsid w:val="00972E86"/>
    <w:rsid w:val="00974EBC"/>
    <w:rsid w:val="0098176E"/>
    <w:rsid w:val="00984D7E"/>
    <w:rsid w:val="009868D6"/>
    <w:rsid w:val="00986AFE"/>
    <w:rsid w:val="00987E88"/>
    <w:rsid w:val="00991262"/>
    <w:rsid w:val="00992CCD"/>
    <w:rsid w:val="009944B1"/>
    <w:rsid w:val="009A157A"/>
    <w:rsid w:val="009A489F"/>
    <w:rsid w:val="009A4A19"/>
    <w:rsid w:val="009A58FC"/>
    <w:rsid w:val="009B02A7"/>
    <w:rsid w:val="009C1975"/>
    <w:rsid w:val="009C58B3"/>
    <w:rsid w:val="009C7369"/>
    <w:rsid w:val="009D0F6F"/>
    <w:rsid w:val="009D4046"/>
    <w:rsid w:val="009D4886"/>
    <w:rsid w:val="009D5E61"/>
    <w:rsid w:val="009E08FA"/>
    <w:rsid w:val="00A0216F"/>
    <w:rsid w:val="00A0336C"/>
    <w:rsid w:val="00A108AC"/>
    <w:rsid w:val="00A12491"/>
    <w:rsid w:val="00A128DC"/>
    <w:rsid w:val="00A12FA1"/>
    <w:rsid w:val="00A15107"/>
    <w:rsid w:val="00A175CE"/>
    <w:rsid w:val="00A175DA"/>
    <w:rsid w:val="00A17E21"/>
    <w:rsid w:val="00A17E78"/>
    <w:rsid w:val="00A22A92"/>
    <w:rsid w:val="00A2605F"/>
    <w:rsid w:val="00A26E51"/>
    <w:rsid w:val="00A32A89"/>
    <w:rsid w:val="00A370FF"/>
    <w:rsid w:val="00A375FC"/>
    <w:rsid w:val="00A42757"/>
    <w:rsid w:val="00A42A59"/>
    <w:rsid w:val="00A42DB9"/>
    <w:rsid w:val="00A432B6"/>
    <w:rsid w:val="00A45333"/>
    <w:rsid w:val="00A554AE"/>
    <w:rsid w:val="00A57945"/>
    <w:rsid w:val="00A60AEF"/>
    <w:rsid w:val="00A70144"/>
    <w:rsid w:val="00A72366"/>
    <w:rsid w:val="00A731F4"/>
    <w:rsid w:val="00A76879"/>
    <w:rsid w:val="00A774FE"/>
    <w:rsid w:val="00A81394"/>
    <w:rsid w:val="00A86DD4"/>
    <w:rsid w:val="00A86E0E"/>
    <w:rsid w:val="00A93BDC"/>
    <w:rsid w:val="00A93DD8"/>
    <w:rsid w:val="00A96A29"/>
    <w:rsid w:val="00AB0BBD"/>
    <w:rsid w:val="00AB2A2F"/>
    <w:rsid w:val="00AB70DD"/>
    <w:rsid w:val="00AC006C"/>
    <w:rsid w:val="00AC254D"/>
    <w:rsid w:val="00AC6707"/>
    <w:rsid w:val="00AD16C0"/>
    <w:rsid w:val="00AD3DD4"/>
    <w:rsid w:val="00AD4E84"/>
    <w:rsid w:val="00AD7891"/>
    <w:rsid w:val="00AE0D1D"/>
    <w:rsid w:val="00AE2136"/>
    <w:rsid w:val="00AF48D3"/>
    <w:rsid w:val="00AF5BE5"/>
    <w:rsid w:val="00AF6E5A"/>
    <w:rsid w:val="00B05F6B"/>
    <w:rsid w:val="00B11096"/>
    <w:rsid w:val="00B11B13"/>
    <w:rsid w:val="00B12B83"/>
    <w:rsid w:val="00B13EAD"/>
    <w:rsid w:val="00B1771F"/>
    <w:rsid w:val="00B223E5"/>
    <w:rsid w:val="00B236F3"/>
    <w:rsid w:val="00B31936"/>
    <w:rsid w:val="00B330D4"/>
    <w:rsid w:val="00B3779B"/>
    <w:rsid w:val="00B415FD"/>
    <w:rsid w:val="00B417FB"/>
    <w:rsid w:val="00B436BC"/>
    <w:rsid w:val="00B43DA1"/>
    <w:rsid w:val="00B47001"/>
    <w:rsid w:val="00B472B3"/>
    <w:rsid w:val="00B504F6"/>
    <w:rsid w:val="00B50669"/>
    <w:rsid w:val="00B51C11"/>
    <w:rsid w:val="00B51EF4"/>
    <w:rsid w:val="00B56F49"/>
    <w:rsid w:val="00B56FC5"/>
    <w:rsid w:val="00B6181B"/>
    <w:rsid w:val="00B63931"/>
    <w:rsid w:val="00B64F72"/>
    <w:rsid w:val="00B65971"/>
    <w:rsid w:val="00B672AA"/>
    <w:rsid w:val="00B71513"/>
    <w:rsid w:val="00B72EE8"/>
    <w:rsid w:val="00B730AF"/>
    <w:rsid w:val="00B822F4"/>
    <w:rsid w:val="00B82ADB"/>
    <w:rsid w:val="00B84A35"/>
    <w:rsid w:val="00B85C68"/>
    <w:rsid w:val="00B85CC8"/>
    <w:rsid w:val="00B86BAB"/>
    <w:rsid w:val="00B87521"/>
    <w:rsid w:val="00B90C00"/>
    <w:rsid w:val="00B933BF"/>
    <w:rsid w:val="00B962B7"/>
    <w:rsid w:val="00B97691"/>
    <w:rsid w:val="00BA351F"/>
    <w:rsid w:val="00BB093E"/>
    <w:rsid w:val="00BB1E08"/>
    <w:rsid w:val="00BB7BC2"/>
    <w:rsid w:val="00BC5234"/>
    <w:rsid w:val="00BC5B48"/>
    <w:rsid w:val="00BD720B"/>
    <w:rsid w:val="00BE1505"/>
    <w:rsid w:val="00C0123F"/>
    <w:rsid w:val="00C03B9C"/>
    <w:rsid w:val="00C064D1"/>
    <w:rsid w:val="00C074F3"/>
    <w:rsid w:val="00C10798"/>
    <w:rsid w:val="00C11121"/>
    <w:rsid w:val="00C12ACE"/>
    <w:rsid w:val="00C13622"/>
    <w:rsid w:val="00C16013"/>
    <w:rsid w:val="00C21C14"/>
    <w:rsid w:val="00C260EC"/>
    <w:rsid w:val="00C270ED"/>
    <w:rsid w:val="00C34F7E"/>
    <w:rsid w:val="00C376EA"/>
    <w:rsid w:val="00C40166"/>
    <w:rsid w:val="00C43725"/>
    <w:rsid w:val="00C448E9"/>
    <w:rsid w:val="00C459DB"/>
    <w:rsid w:val="00C47B5F"/>
    <w:rsid w:val="00C524AA"/>
    <w:rsid w:val="00C525E8"/>
    <w:rsid w:val="00C55999"/>
    <w:rsid w:val="00C56296"/>
    <w:rsid w:val="00C56BF6"/>
    <w:rsid w:val="00C60641"/>
    <w:rsid w:val="00C632F7"/>
    <w:rsid w:val="00C63F7C"/>
    <w:rsid w:val="00C762E8"/>
    <w:rsid w:val="00C81059"/>
    <w:rsid w:val="00C828A1"/>
    <w:rsid w:val="00C865E2"/>
    <w:rsid w:val="00C87817"/>
    <w:rsid w:val="00C90273"/>
    <w:rsid w:val="00C92693"/>
    <w:rsid w:val="00C926E2"/>
    <w:rsid w:val="00C934CA"/>
    <w:rsid w:val="00CA30C3"/>
    <w:rsid w:val="00CA3439"/>
    <w:rsid w:val="00CA62A5"/>
    <w:rsid w:val="00CB1722"/>
    <w:rsid w:val="00CC2884"/>
    <w:rsid w:val="00CD3789"/>
    <w:rsid w:val="00CD3D82"/>
    <w:rsid w:val="00CD4F6A"/>
    <w:rsid w:val="00CE34A1"/>
    <w:rsid w:val="00CE5AB6"/>
    <w:rsid w:val="00CE626D"/>
    <w:rsid w:val="00CE6E69"/>
    <w:rsid w:val="00D02A1E"/>
    <w:rsid w:val="00D06295"/>
    <w:rsid w:val="00D0797F"/>
    <w:rsid w:val="00D1447B"/>
    <w:rsid w:val="00D26BE1"/>
    <w:rsid w:val="00D40243"/>
    <w:rsid w:val="00D42348"/>
    <w:rsid w:val="00D424CA"/>
    <w:rsid w:val="00D503B6"/>
    <w:rsid w:val="00D50662"/>
    <w:rsid w:val="00D535D7"/>
    <w:rsid w:val="00D57D7B"/>
    <w:rsid w:val="00D60777"/>
    <w:rsid w:val="00D64EB9"/>
    <w:rsid w:val="00D65B64"/>
    <w:rsid w:val="00D66E6E"/>
    <w:rsid w:val="00D67659"/>
    <w:rsid w:val="00D70338"/>
    <w:rsid w:val="00D712F2"/>
    <w:rsid w:val="00D71CB7"/>
    <w:rsid w:val="00D73E7C"/>
    <w:rsid w:val="00D73FD4"/>
    <w:rsid w:val="00D7538C"/>
    <w:rsid w:val="00D8561B"/>
    <w:rsid w:val="00D910CD"/>
    <w:rsid w:val="00D973A3"/>
    <w:rsid w:val="00DA60B3"/>
    <w:rsid w:val="00DA62E4"/>
    <w:rsid w:val="00DB4B8A"/>
    <w:rsid w:val="00DB51CD"/>
    <w:rsid w:val="00DB78CE"/>
    <w:rsid w:val="00DD0B2F"/>
    <w:rsid w:val="00DE2C90"/>
    <w:rsid w:val="00DF5B76"/>
    <w:rsid w:val="00DF66AF"/>
    <w:rsid w:val="00DF7E59"/>
    <w:rsid w:val="00E14094"/>
    <w:rsid w:val="00E21882"/>
    <w:rsid w:val="00E24449"/>
    <w:rsid w:val="00E267F7"/>
    <w:rsid w:val="00E27673"/>
    <w:rsid w:val="00E31556"/>
    <w:rsid w:val="00E33C4C"/>
    <w:rsid w:val="00E37351"/>
    <w:rsid w:val="00E42AC3"/>
    <w:rsid w:val="00E441B3"/>
    <w:rsid w:val="00E44F8A"/>
    <w:rsid w:val="00E51323"/>
    <w:rsid w:val="00E52497"/>
    <w:rsid w:val="00E53C3F"/>
    <w:rsid w:val="00E600F3"/>
    <w:rsid w:val="00E63644"/>
    <w:rsid w:val="00E64C12"/>
    <w:rsid w:val="00E82A73"/>
    <w:rsid w:val="00E9122C"/>
    <w:rsid w:val="00EA2F77"/>
    <w:rsid w:val="00EA3326"/>
    <w:rsid w:val="00EA3737"/>
    <w:rsid w:val="00EA54E8"/>
    <w:rsid w:val="00EB3870"/>
    <w:rsid w:val="00EB4845"/>
    <w:rsid w:val="00EB49D3"/>
    <w:rsid w:val="00EB723A"/>
    <w:rsid w:val="00EC4578"/>
    <w:rsid w:val="00EC510F"/>
    <w:rsid w:val="00ED1610"/>
    <w:rsid w:val="00ED1806"/>
    <w:rsid w:val="00ED44AD"/>
    <w:rsid w:val="00ED6B07"/>
    <w:rsid w:val="00ED6E58"/>
    <w:rsid w:val="00ED7326"/>
    <w:rsid w:val="00EE0B7D"/>
    <w:rsid w:val="00EE2592"/>
    <w:rsid w:val="00EE2E5A"/>
    <w:rsid w:val="00EE373C"/>
    <w:rsid w:val="00EE3D53"/>
    <w:rsid w:val="00EE5E9B"/>
    <w:rsid w:val="00EF1D8A"/>
    <w:rsid w:val="00EF451D"/>
    <w:rsid w:val="00EF494D"/>
    <w:rsid w:val="00F00FC1"/>
    <w:rsid w:val="00F017EB"/>
    <w:rsid w:val="00F0187F"/>
    <w:rsid w:val="00F043A8"/>
    <w:rsid w:val="00F1406A"/>
    <w:rsid w:val="00F15229"/>
    <w:rsid w:val="00F16B00"/>
    <w:rsid w:val="00F17AFB"/>
    <w:rsid w:val="00F20A3B"/>
    <w:rsid w:val="00F2106C"/>
    <w:rsid w:val="00F249A6"/>
    <w:rsid w:val="00F25DDE"/>
    <w:rsid w:val="00F30B56"/>
    <w:rsid w:val="00F31CDB"/>
    <w:rsid w:val="00F34930"/>
    <w:rsid w:val="00F448BD"/>
    <w:rsid w:val="00F45BDA"/>
    <w:rsid w:val="00F45CBE"/>
    <w:rsid w:val="00F46CB7"/>
    <w:rsid w:val="00F46F9A"/>
    <w:rsid w:val="00F51BF8"/>
    <w:rsid w:val="00F56BD5"/>
    <w:rsid w:val="00F57654"/>
    <w:rsid w:val="00F57E81"/>
    <w:rsid w:val="00F606E5"/>
    <w:rsid w:val="00F634AF"/>
    <w:rsid w:val="00F64CF9"/>
    <w:rsid w:val="00F66FD3"/>
    <w:rsid w:val="00F702C6"/>
    <w:rsid w:val="00F759FA"/>
    <w:rsid w:val="00F76EBE"/>
    <w:rsid w:val="00F90361"/>
    <w:rsid w:val="00F91391"/>
    <w:rsid w:val="00F9150B"/>
    <w:rsid w:val="00FA2D32"/>
    <w:rsid w:val="00FA60D8"/>
    <w:rsid w:val="00FA7872"/>
    <w:rsid w:val="00FB04FA"/>
    <w:rsid w:val="00FB183A"/>
    <w:rsid w:val="00FB291A"/>
    <w:rsid w:val="00FB2B22"/>
    <w:rsid w:val="00FC142C"/>
    <w:rsid w:val="00FC1437"/>
    <w:rsid w:val="00FC3DC2"/>
    <w:rsid w:val="00FC49DB"/>
    <w:rsid w:val="00FC4CC4"/>
    <w:rsid w:val="00FC7374"/>
    <w:rsid w:val="00FD31B3"/>
    <w:rsid w:val="00FE0178"/>
    <w:rsid w:val="00FE12CB"/>
    <w:rsid w:val="00FE581B"/>
    <w:rsid w:val="00FE7823"/>
    <w:rsid w:val="00FF2081"/>
    <w:rsid w:val="00FF4B51"/>
    <w:rsid w:val="00FF77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76C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4E9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1F5A"/>
    <w:pPr>
      <w:tabs>
        <w:tab w:val="center" w:pos="4252"/>
        <w:tab w:val="right" w:pos="8504"/>
      </w:tabs>
      <w:snapToGrid w:val="0"/>
    </w:pPr>
  </w:style>
  <w:style w:type="character" w:customStyle="1" w:styleId="a4">
    <w:name w:val="ヘッダー (文字)"/>
    <w:basedOn w:val="a0"/>
    <w:link w:val="a3"/>
    <w:uiPriority w:val="99"/>
    <w:rsid w:val="004A1F5A"/>
  </w:style>
  <w:style w:type="paragraph" w:styleId="a5">
    <w:name w:val="footer"/>
    <w:basedOn w:val="a"/>
    <w:link w:val="a6"/>
    <w:uiPriority w:val="99"/>
    <w:unhideWhenUsed/>
    <w:rsid w:val="004A1F5A"/>
    <w:pPr>
      <w:tabs>
        <w:tab w:val="center" w:pos="4252"/>
        <w:tab w:val="right" w:pos="8504"/>
      </w:tabs>
      <w:snapToGrid w:val="0"/>
    </w:pPr>
  </w:style>
  <w:style w:type="character" w:customStyle="1" w:styleId="a6">
    <w:name w:val="フッター (文字)"/>
    <w:basedOn w:val="a0"/>
    <w:link w:val="a5"/>
    <w:uiPriority w:val="99"/>
    <w:rsid w:val="004A1F5A"/>
  </w:style>
  <w:style w:type="table" w:styleId="a7">
    <w:name w:val="Table Grid"/>
    <w:basedOn w:val="a1"/>
    <w:uiPriority w:val="59"/>
    <w:rsid w:val="00D06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47654D"/>
    <w:pPr>
      <w:ind w:leftChars="400" w:left="840"/>
    </w:pPr>
  </w:style>
  <w:style w:type="paragraph" w:styleId="Web">
    <w:name w:val="Normal (Web)"/>
    <w:basedOn w:val="a"/>
    <w:uiPriority w:val="99"/>
    <w:unhideWhenUsed/>
    <w:rsid w:val="00256A50"/>
    <w:rPr>
      <w:rFonts w:ascii="Times New Roman" w:hAnsi="Times New Roman" w:cs="Times New Roman"/>
      <w:sz w:val="24"/>
      <w:szCs w:val="24"/>
    </w:rPr>
  </w:style>
  <w:style w:type="table" w:customStyle="1" w:styleId="1">
    <w:name w:val="表 (格子)1"/>
    <w:basedOn w:val="a1"/>
    <w:next w:val="a7"/>
    <w:uiPriority w:val="59"/>
    <w:rsid w:val="00085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otnote reference"/>
    <w:semiHidden/>
    <w:rsid w:val="0069685D"/>
    <w:rPr>
      <w:vertAlign w:val="superscript"/>
    </w:rPr>
  </w:style>
  <w:style w:type="paragraph" w:styleId="aa">
    <w:name w:val="Balloon Text"/>
    <w:basedOn w:val="a"/>
    <w:link w:val="ab"/>
    <w:uiPriority w:val="99"/>
    <w:semiHidden/>
    <w:unhideWhenUsed/>
    <w:rsid w:val="0069685D"/>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9685D"/>
    <w:rPr>
      <w:rFonts w:asciiTheme="majorHAnsi" w:eastAsiaTheme="majorEastAsia" w:hAnsiTheme="majorHAnsi" w:cstheme="majorBidi"/>
      <w:sz w:val="18"/>
      <w:szCs w:val="18"/>
    </w:rPr>
  </w:style>
  <w:style w:type="paragraph" w:styleId="ac">
    <w:name w:val="endnote text"/>
    <w:basedOn w:val="a"/>
    <w:link w:val="ad"/>
    <w:uiPriority w:val="99"/>
    <w:semiHidden/>
    <w:unhideWhenUsed/>
    <w:rsid w:val="006734A2"/>
    <w:pPr>
      <w:snapToGrid w:val="0"/>
      <w:jc w:val="left"/>
    </w:pPr>
  </w:style>
  <w:style w:type="character" w:customStyle="1" w:styleId="ad">
    <w:name w:val="文末脚注文字列 (文字)"/>
    <w:basedOn w:val="a0"/>
    <w:link w:val="ac"/>
    <w:uiPriority w:val="99"/>
    <w:semiHidden/>
    <w:rsid w:val="006734A2"/>
  </w:style>
  <w:style w:type="character" w:styleId="ae">
    <w:name w:val="endnote reference"/>
    <w:basedOn w:val="a0"/>
    <w:uiPriority w:val="99"/>
    <w:semiHidden/>
    <w:unhideWhenUsed/>
    <w:rsid w:val="006734A2"/>
    <w:rPr>
      <w:vertAlign w:val="superscript"/>
    </w:rPr>
  </w:style>
  <w:style w:type="paragraph" w:styleId="af">
    <w:name w:val="footnote text"/>
    <w:basedOn w:val="a"/>
    <w:link w:val="af0"/>
    <w:semiHidden/>
    <w:unhideWhenUsed/>
    <w:rsid w:val="00783D61"/>
    <w:pPr>
      <w:snapToGrid w:val="0"/>
      <w:jc w:val="left"/>
    </w:pPr>
  </w:style>
  <w:style w:type="character" w:customStyle="1" w:styleId="af0">
    <w:name w:val="脚注文字列 (文字)"/>
    <w:basedOn w:val="a0"/>
    <w:link w:val="af"/>
    <w:semiHidden/>
    <w:rsid w:val="00783D61"/>
  </w:style>
  <w:style w:type="paragraph" w:styleId="af1">
    <w:name w:val="caption"/>
    <w:basedOn w:val="a"/>
    <w:next w:val="a"/>
    <w:uiPriority w:val="35"/>
    <w:unhideWhenUsed/>
    <w:qFormat/>
    <w:rsid w:val="00B47001"/>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22126">
      <w:bodyDiv w:val="1"/>
      <w:marLeft w:val="0"/>
      <w:marRight w:val="0"/>
      <w:marTop w:val="0"/>
      <w:marBottom w:val="0"/>
      <w:divBdr>
        <w:top w:val="none" w:sz="0" w:space="0" w:color="auto"/>
        <w:left w:val="none" w:sz="0" w:space="0" w:color="auto"/>
        <w:bottom w:val="none" w:sz="0" w:space="0" w:color="auto"/>
        <w:right w:val="none" w:sz="0" w:space="0" w:color="auto"/>
      </w:divBdr>
    </w:div>
    <w:div w:id="169490337">
      <w:bodyDiv w:val="1"/>
      <w:marLeft w:val="0"/>
      <w:marRight w:val="0"/>
      <w:marTop w:val="0"/>
      <w:marBottom w:val="0"/>
      <w:divBdr>
        <w:top w:val="none" w:sz="0" w:space="0" w:color="auto"/>
        <w:left w:val="none" w:sz="0" w:space="0" w:color="auto"/>
        <w:bottom w:val="none" w:sz="0" w:space="0" w:color="auto"/>
        <w:right w:val="none" w:sz="0" w:space="0" w:color="auto"/>
      </w:divBdr>
    </w:div>
    <w:div w:id="277218995">
      <w:bodyDiv w:val="1"/>
      <w:marLeft w:val="0"/>
      <w:marRight w:val="0"/>
      <w:marTop w:val="0"/>
      <w:marBottom w:val="0"/>
      <w:divBdr>
        <w:top w:val="none" w:sz="0" w:space="0" w:color="auto"/>
        <w:left w:val="none" w:sz="0" w:space="0" w:color="auto"/>
        <w:bottom w:val="none" w:sz="0" w:space="0" w:color="auto"/>
        <w:right w:val="none" w:sz="0" w:space="0" w:color="auto"/>
      </w:divBdr>
    </w:div>
    <w:div w:id="294215444">
      <w:bodyDiv w:val="1"/>
      <w:marLeft w:val="0"/>
      <w:marRight w:val="0"/>
      <w:marTop w:val="0"/>
      <w:marBottom w:val="0"/>
      <w:divBdr>
        <w:top w:val="none" w:sz="0" w:space="0" w:color="auto"/>
        <w:left w:val="none" w:sz="0" w:space="0" w:color="auto"/>
        <w:bottom w:val="none" w:sz="0" w:space="0" w:color="auto"/>
        <w:right w:val="none" w:sz="0" w:space="0" w:color="auto"/>
      </w:divBdr>
    </w:div>
    <w:div w:id="326593662">
      <w:bodyDiv w:val="1"/>
      <w:marLeft w:val="0"/>
      <w:marRight w:val="0"/>
      <w:marTop w:val="0"/>
      <w:marBottom w:val="0"/>
      <w:divBdr>
        <w:top w:val="none" w:sz="0" w:space="0" w:color="auto"/>
        <w:left w:val="none" w:sz="0" w:space="0" w:color="auto"/>
        <w:bottom w:val="none" w:sz="0" w:space="0" w:color="auto"/>
        <w:right w:val="none" w:sz="0" w:space="0" w:color="auto"/>
      </w:divBdr>
    </w:div>
    <w:div w:id="327027031">
      <w:bodyDiv w:val="1"/>
      <w:marLeft w:val="0"/>
      <w:marRight w:val="0"/>
      <w:marTop w:val="0"/>
      <w:marBottom w:val="0"/>
      <w:divBdr>
        <w:top w:val="none" w:sz="0" w:space="0" w:color="auto"/>
        <w:left w:val="none" w:sz="0" w:space="0" w:color="auto"/>
        <w:bottom w:val="none" w:sz="0" w:space="0" w:color="auto"/>
        <w:right w:val="none" w:sz="0" w:space="0" w:color="auto"/>
      </w:divBdr>
    </w:div>
    <w:div w:id="492140019">
      <w:bodyDiv w:val="1"/>
      <w:marLeft w:val="0"/>
      <w:marRight w:val="0"/>
      <w:marTop w:val="0"/>
      <w:marBottom w:val="0"/>
      <w:divBdr>
        <w:top w:val="none" w:sz="0" w:space="0" w:color="auto"/>
        <w:left w:val="none" w:sz="0" w:space="0" w:color="auto"/>
        <w:bottom w:val="none" w:sz="0" w:space="0" w:color="auto"/>
        <w:right w:val="none" w:sz="0" w:space="0" w:color="auto"/>
      </w:divBdr>
    </w:div>
    <w:div w:id="515507038">
      <w:bodyDiv w:val="1"/>
      <w:marLeft w:val="0"/>
      <w:marRight w:val="0"/>
      <w:marTop w:val="0"/>
      <w:marBottom w:val="0"/>
      <w:divBdr>
        <w:top w:val="none" w:sz="0" w:space="0" w:color="auto"/>
        <w:left w:val="none" w:sz="0" w:space="0" w:color="auto"/>
        <w:bottom w:val="none" w:sz="0" w:space="0" w:color="auto"/>
        <w:right w:val="none" w:sz="0" w:space="0" w:color="auto"/>
      </w:divBdr>
    </w:div>
    <w:div w:id="525947637">
      <w:bodyDiv w:val="1"/>
      <w:marLeft w:val="0"/>
      <w:marRight w:val="0"/>
      <w:marTop w:val="0"/>
      <w:marBottom w:val="0"/>
      <w:divBdr>
        <w:top w:val="none" w:sz="0" w:space="0" w:color="auto"/>
        <w:left w:val="none" w:sz="0" w:space="0" w:color="auto"/>
        <w:bottom w:val="none" w:sz="0" w:space="0" w:color="auto"/>
        <w:right w:val="none" w:sz="0" w:space="0" w:color="auto"/>
      </w:divBdr>
    </w:div>
    <w:div w:id="654068418">
      <w:bodyDiv w:val="1"/>
      <w:marLeft w:val="0"/>
      <w:marRight w:val="0"/>
      <w:marTop w:val="0"/>
      <w:marBottom w:val="0"/>
      <w:divBdr>
        <w:top w:val="none" w:sz="0" w:space="0" w:color="auto"/>
        <w:left w:val="none" w:sz="0" w:space="0" w:color="auto"/>
        <w:bottom w:val="none" w:sz="0" w:space="0" w:color="auto"/>
        <w:right w:val="none" w:sz="0" w:space="0" w:color="auto"/>
      </w:divBdr>
    </w:div>
    <w:div w:id="662582215">
      <w:bodyDiv w:val="1"/>
      <w:marLeft w:val="0"/>
      <w:marRight w:val="0"/>
      <w:marTop w:val="0"/>
      <w:marBottom w:val="0"/>
      <w:divBdr>
        <w:top w:val="none" w:sz="0" w:space="0" w:color="auto"/>
        <w:left w:val="none" w:sz="0" w:space="0" w:color="auto"/>
        <w:bottom w:val="none" w:sz="0" w:space="0" w:color="auto"/>
        <w:right w:val="none" w:sz="0" w:space="0" w:color="auto"/>
      </w:divBdr>
    </w:div>
    <w:div w:id="858659767">
      <w:bodyDiv w:val="1"/>
      <w:marLeft w:val="0"/>
      <w:marRight w:val="0"/>
      <w:marTop w:val="0"/>
      <w:marBottom w:val="0"/>
      <w:divBdr>
        <w:top w:val="none" w:sz="0" w:space="0" w:color="auto"/>
        <w:left w:val="none" w:sz="0" w:space="0" w:color="auto"/>
        <w:bottom w:val="none" w:sz="0" w:space="0" w:color="auto"/>
        <w:right w:val="none" w:sz="0" w:space="0" w:color="auto"/>
      </w:divBdr>
    </w:div>
    <w:div w:id="925840490">
      <w:bodyDiv w:val="1"/>
      <w:marLeft w:val="0"/>
      <w:marRight w:val="0"/>
      <w:marTop w:val="0"/>
      <w:marBottom w:val="0"/>
      <w:divBdr>
        <w:top w:val="none" w:sz="0" w:space="0" w:color="auto"/>
        <w:left w:val="none" w:sz="0" w:space="0" w:color="auto"/>
        <w:bottom w:val="none" w:sz="0" w:space="0" w:color="auto"/>
        <w:right w:val="none" w:sz="0" w:space="0" w:color="auto"/>
      </w:divBdr>
      <w:divsChild>
        <w:div w:id="1831482089">
          <w:marLeft w:val="720"/>
          <w:marRight w:val="0"/>
          <w:marTop w:val="0"/>
          <w:marBottom w:val="0"/>
          <w:divBdr>
            <w:top w:val="none" w:sz="0" w:space="0" w:color="auto"/>
            <w:left w:val="none" w:sz="0" w:space="0" w:color="auto"/>
            <w:bottom w:val="none" w:sz="0" w:space="0" w:color="auto"/>
            <w:right w:val="none" w:sz="0" w:space="0" w:color="auto"/>
          </w:divBdr>
        </w:div>
      </w:divsChild>
    </w:div>
    <w:div w:id="995496682">
      <w:bodyDiv w:val="1"/>
      <w:marLeft w:val="0"/>
      <w:marRight w:val="0"/>
      <w:marTop w:val="0"/>
      <w:marBottom w:val="0"/>
      <w:divBdr>
        <w:top w:val="none" w:sz="0" w:space="0" w:color="auto"/>
        <w:left w:val="none" w:sz="0" w:space="0" w:color="auto"/>
        <w:bottom w:val="none" w:sz="0" w:space="0" w:color="auto"/>
        <w:right w:val="none" w:sz="0" w:space="0" w:color="auto"/>
      </w:divBdr>
    </w:div>
    <w:div w:id="1084567384">
      <w:bodyDiv w:val="1"/>
      <w:marLeft w:val="0"/>
      <w:marRight w:val="0"/>
      <w:marTop w:val="0"/>
      <w:marBottom w:val="0"/>
      <w:divBdr>
        <w:top w:val="none" w:sz="0" w:space="0" w:color="auto"/>
        <w:left w:val="none" w:sz="0" w:space="0" w:color="auto"/>
        <w:bottom w:val="none" w:sz="0" w:space="0" w:color="auto"/>
        <w:right w:val="none" w:sz="0" w:space="0" w:color="auto"/>
      </w:divBdr>
      <w:divsChild>
        <w:div w:id="1370911163">
          <w:marLeft w:val="720"/>
          <w:marRight w:val="0"/>
          <w:marTop w:val="0"/>
          <w:marBottom w:val="0"/>
          <w:divBdr>
            <w:top w:val="none" w:sz="0" w:space="0" w:color="auto"/>
            <w:left w:val="none" w:sz="0" w:space="0" w:color="auto"/>
            <w:bottom w:val="none" w:sz="0" w:space="0" w:color="auto"/>
            <w:right w:val="none" w:sz="0" w:space="0" w:color="auto"/>
          </w:divBdr>
        </w:div>
      </w:divsChild>
    </w:div>
    <w:div w:id="1094548622">
      <w:bodyDiv w:val="1"/>
      <w:marLeft w:val="0"/>
      <w:marRight w:val="0"/>
      <w:marTop w:val="0"/>
      <w:marBottom w:val="0"/>
      <w:divBdr>
        <w:top w:val="none" w:sz="0" w:space="0" w:color="auto"/>
        <w:left w:val="none" w:sz="0" w:space="0" w:color="auto"/>
        <w:bottom w:val="none" w:sz="0" w:space="0" w:color="auto"/>
        <w:right w:val="none" w:sz="0" w:space="0" w:color="auto"/>
      </w:divBdr>
    </w:div>
    <w:div w:id="1112019396">
      <w:bodyDiv w:val="1"/>
      <w:marLeft w:val="0"/>
      <w:marRight w:val="0"/>
      <w:marTop w:val="0"/>
      <w:marBottom w:val="0"/>
      <w:divBdr>
        <w:top w:val="none" w:sz="0" w:space="0" w:color="auto"/>
        <w:left w:val="none" w:sz="0" w:space="0" w:color="auto"/>
        <w:bottom w:val="none" w:sz="0" w:space="0" w:color="auto"/>
        <w:right w:val="none" w:sz="0" w:space="0" w:color="auto"/>
      </w:divBdr>
    </w:div>
    <w:div w:id="1170171317">
      <w:bodyDiv w:val="1"/>
      <w:marLeft w:val="0"/>
      <w:marRight w:val="0"/>
      <w:marTop w:val="0"/>
      <w:marBottom w:val="0"/>
      <w:divBdr>
        <w:top w:val="none" w:sz="0" w:space="0" w:color="auto"/>
        <w:left w:val="none" w:sz="0" w:space="0" w:color="auto"/>
        <w:bottom w:val="none" w:sz="0" w:space="0" w:color="auto"/>
        <w:right w:val="none" w:sz="0" w:space="0" w:color="auto"/>
      </w:divBdr>
    </w:div>
    <w:div w:id="1191916196">
      <w:bodyDiv w:val="1"/>
      <w:marLeft w:val="0"/>
      <w:marRight w:val="0"/>
      <w:marTop w:val="0"/>
      <w:marBottom w:val="0"/>
      <w:divBdr>
        <w:top w:val="none" w:sz="0" w:space="0" w:color="auto"/>
        <w:left w:val="none" w:sz="0" w:space="0" w:color="auto"/>
        <w:bottom w:val="none" w:sz="0" w:space="0" w:color="auto"/>
        <w:right w:val="none" w:sz="0" w:space="0" w:color="auto"/>
      </w:divBdr>
    </w:div>
    <w:div w:id="1230118037">
      <w:bodyDiv w:val="1"/>
      <w:marLeft w:val="0"/>
      <w:marRight w:val="0"/>
      <w:marTop w:val="0"/>
      <w:marBottom w:val="0"/>
      <w:divBdr>
        <w:top w:val="none" w:sz="0" w:space="0" w:color="auto"/>
        <w:left w:val="none" w:sz="0" w:space="0" w:color="auto"/>
        <w:bottom w:val="none" w:sz="0" w:space="0" w:color="auto"/>
        <w:right w:val="none" w:sz="0" w:space="0" w:color="auto"/>
      </w:divBdr>
    </w:div>
    <w:div w:id="1253314615">
      <w:bodyDiv w:val="1"/>
      <w:marLeft w:val="0"/>
      <w:marRight w:val="0"/>
      <w:marTop w:val="0"/>
      <w:marBottom w:val="0"/>
      <w:divBdr>
        <w:top w:val="none" w:sz="0" w:space="0" w:color="auto"/>
        <w:left w:val="none" w:sz="0" w:space="0" w:color="auto"/>
        <w:bottom w:val="none" w:sz="0" w:space="0" w:color="auto"/>
        <w:right w:val="none" w:sz="0" w:space="0" w:color="auto"/>
      </w:divBdr>
    </w:div>
    <w:div w:id="1332179696">
      <w:bodyDiv w:val="1"/>
      <w:marLeft w:val="0"/>
      <w:marRight w:val="0"/>
      <w:marTop w:val="0"/>
      <w:marBottom w:val="0"/>
      <w:divBdr>
        <w:top w:val="none" w:sz="0" w:space="0" w:color="auto"/>
        <w:left w:val="none" w:sz="0" w:space="0" w:color="auto"/>
        <w:bottom w:val="none" w:sz="0" w:space="0" w:color="auto"/>
        <w:right w:val="none" w:sz="0" w:space="0" w:color="auto"/>
      </w:divBdr>
    </w:div>
    <w:div w:id="1396511881">
      <w:bodyDiv w:val="1"/>
      <w:marLeft w:val="0"/>
      <w:marRight w:val="0"/>
      <w:marTop w:val="0"/>
      <w:marBottom w:val="0"/>
      <w:divBdr>
        <w:top w:val="none" w:sz="0" w:space="0" w:color="auto"/>
        <w:left w:val="none" w:sz="0" w:space="0" w:color="auto"/>
        <w:bottom w:val="none" w:sz="0" w:space="0" w:color="auto"/>
        <w:right w:val="none" w:sz="0" w:space="0" w:color="auto"/>
      </w:divBdr>
    </w:div>
    <w:div w:id="1483546100">
      <w:bodyDiv w:val="1"/>
      <w:marLeft w:val="0"/>
      <w:marRight w:val="0"/>
      <w:marTop w:val="0"/>
      <w:marBottom w:val="0"/>
      <w:divBdr>
        <w:top w:val="none" w:sz="0" w:space="0" w:color="auto"/>
        <w:left w:val="none" w:sz="0" w:space="0" w:color="auto"/>
        <w:bottom w:val="none" w:sz="0" w:space="0" w:color="auto"/>
        <w:right w:val="none" w:sz="0" w:space="0" w:color="auto"/>
      </w:divBdr>
    </w:div>
    <w:div w:id="1599291593">
      <w:bodyDiv w:val="1"/>
      <w:marLeft w:val="0"/>
      <w:marRight w:val="0"/>
      <w:marTop w:val="0"/>
      <w:marBottom w:val="0"/>
      <w:divBdr>
        <w:top w:val="none" w:sz="0" w:space="0" w:color="auto"/>
        <w:left w:val="none" w:sz="0" w:space="0" w:color="auto"/>
        <w:bottom w:val="none" w:sz="0" w:space="0" w:color="auto"/>
        <w:right w:val="none" w:sz="0" w:space="0" w:color="auto"/>
      </w:divBdr>
    </w:div>
    <w:div w:id="1611551927">
      <w:bodyDiv w:val="1"/>
      <w:marLeft w:val="0"/>
      <w:marRight w:val="0"/>
      <w:marTop w:val="0"/>
      <w:marBottom w:val="0"/>
      <w:divBdr>
        <w:top w:val="none" w:sz="0" w:space="0" w:color="auto"/>
        <w:left w:val="none" w:sz="0" w:space="0" w:color="auto"/>
        <w:bottom w:val="none" w:sz="0" w:space="0" w:color="auto"/>
        <w:right w:val="none" w:sz="0" w:space="0" w:color="auto"/>
      </w:divBdr>
    </w:div>
    <w:div w:id="1666742826">
      <w:bodyDiv w:val="1"/>
      <w:marLeft w:val="0"/>
      <w:marRight w:val="0"/>
      <w:marTop w:val="0"/>
      <w:marBottom w:val="0"/>
      <w:divBdr>
        <w:top w:val="none" w:sz="0" w:space="0" w:color="auto"/>
        <w:left w:val="none" w:sz="0" w:space="0" w:color="auto"/>
        <w:bottom w:val="none" w:sz="0" w:space="0" w:color="auto"/>
        <w:right w:val="none" w:sz="0" w:space="0" w:color="auto"/>
      </w:divBdr>
    </w:div>
    <w:div w:id="1905023230">
      <w:bodyDiv w:val="1"/>
      <w:marLeft w:val="0"/>
      <w:marRight w:val="0"/>
      <w:marTop w:val="0"/>
      <w:marBottom w:val="0"/>
      <w:divBdr>
        <w:top w:val="none" w:sz="0" w:space="0" w:color="auto"/>
        <w:left w:val="none" w:sz="0" w:space="0" w:color="auto"/>
        <w:bottom w:val="none" w:sz="0" w:space="0" w:color="auto"/>
        <w:right w:val="none" w:sz="0" w:space="0" w:color="auto"/>
      </w:divBdr>
    </w:div>
    <w:div w:id="2028169296">
      <w:bodyDiv w:val="1"/>
      <w:marLeft w:val="0"/>
      <w:marRight w:val="0"/>
      <w:marTop w:val="0"/>
      <w:marBottom w:val="0"/>
      <w:divBdr>
        <w:top w:val="none" w:sz="0" w:space="0" w:color="auto"/>
        <w:left w:val="none" w:sz="0" w:space="0" w:color="auto"/>
        <w:bottom w:val="none" w:sz="0" w:space="0" w:color="auto"/>
        <w:right w:val="none" w:sz="0" w:space="0" w:color="auto"/>
      </w:divBdr>
    </w:div>
    <w:div w:id="2084981596">
      <w:bodyDiv w:val="1"/>
      <w:marLeft w:val="0"/>
      <w:marRight w:val="0"/>
      <w:marTop w:val="0"/>
      <w:marBottom w:val="0"/>
      <w:divBdr>
        <w:top w:val="none" w:sz="0" w:space="0" w:color="auto"/>
        <w:left w:val="none" w:sz="0" w:space="0" w:color="auto"/>
        <w:bottom w:val="none" w:sz="0" w:space="0" w:color="auto"/>
        <w:right w:val="none" w:sz="0" w:space="0" w:color="auto"/>
      </w:divBdr>
      <w:divsChild>
        <w:div w:id="405885584">
          <w:marLeft w:val="720"/>
          <w:marRight w:val="0"/>
          <w:marTop w:val="0"/>
          <w:marBottom w:val="0"/>
          <w:divBdr>
            <w:top w:val="none" w:sz="0" w:space="0" w:color="auto"/>
            <w:left w:val="none" w:sz="0" w:space="0" w:color="auto"/>
            <w:bottom w:val="none" w:sz="0" w:space="0" w:color="auto"/>
            <w:right w:val="none" w:sz="0" w:space="0" w:color="auto"/>
          </w:divBdr>
        </w:div>
      </w:divsChild>
    </w:div>
    <w:div w:id="2091929441">
      <w:bodyDiv w:val="1"/>
      <w:marLeft w:val="0"/>
      <w:marRight w:val="0"/>
      <w:marTop w:val="0"/>
      <w:marBottom w:val="0"/>
      <w:divBdr>
        <w:top w:val="none" w:sz="0" w:space="0" w:color="auto"/>
        <w:left w:val="none" w:sz="0" w:space="0" w:color="auto"/>
        <w:bottom w:val="none" w:sz="0" w:space="0" w:color="auto"/>
        <w:right w:val="none" w:sz="0" w:space="0" w:color="auto"/>
      </w:divBdr>
    </w:div>
    <w:div w:id="211347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3.emf"/><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0.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6.png"/><Relationship Id="rId28" Type="http://schemas.openxmlformats.org/officeDocument/2006/relationships/image" Target="media/image10.gif"/><Relationship Id="rId10" Type="http://schemas.openxmlformats.org/officeDocument/2006/relationships/chart" Target="charts/chart3.xml"/><Relationship Id="rId19" Type="http://schemas.openxmlformats.org/officeDocument/2006/relationships/image" Target="media/image4.emf"/><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9.xml"/><Relationship Id="rId27" Type="http://schemas.openxmlformats.org/officeDocument/2006/relationships/image" Target="media/image9.gif"/><Relationship Id="rId30" Type="http://schemas.openxmlformats.org/officeDocument/2006/relationships/image" Target="media/image12.gif"/><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_____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1" Type="http://schemas.openxmlformats.org/officeDocument/2006/relationships/oleObject" Target="\LIB\&#9733;&#32076;&#21942;&#31649;&#29702;G&#20849;&#26377;\&#20225;&#30011;&#65319;&#25552;&#20379;&#12487;&#12540;&#12479;&#65288;&#35430;&#31639;&#12289;&#38754;&#31309;&#65289;\&#20844;&#26377;&#36001;&#29987;&#12398;&#29694;&#29366;&#12464;&#12521;&#12501;&#12304;&#31227;&#31649;&#24220;&#21942;&#20303;&#23429;&#25244;&#12305;&#12288;20150805.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3.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YoshimuraMit\AppData\Local\Microsoft\Windows\INetCache\Content.Outlook\4V21D0DW\(P.39)_&#32207;&#20154;&#21475;&#65288;&#22793;&#21270;&#12392;&#20154;&#21475;&#27083;&#25104;&#25512;&#31227;&#9315;&#65289;&#12304;&#12499;P8&#26356;&#26032;&#1230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ja-JP" sz="1600"/>
              <a:t>施設類型別施設数</a:t>
            </a:r>
          </a:p>
        </c:rich>
      </c:tx>
      <c:overlay val="0"/>
    </c:title>
    <c:autoTitleDeleted val="0"/>
    <c:plotArea>
      <c:layout>
        <c:manualLayout>
          <c:layoutTarget val="inner"/>
          <c:xMode val="edge"/>
          <c:yMode val="edge"/>
          <c:x val="7.9715989629303416E-2"/>
          <c:y val="0.13976727047050153"/>
          <c:w val="0.89031849553340781"/>
          <c:h val="0.70497872143584051"/>
        </c:manualLayout>
      </c:layout>
      <c:barChart>
        <c:barDir val="col"/>
        <c:grouping val="clustered"/>
        <c:varyColors val="0"/>
        <c:ser>
          <c:idx val="0"/>
          <c:order val="0"/>
          <c:tx>
            <c:strRef>
              <c:f>類型別グラフ!$D$27</c:f>
              <c:strCache>
                <c:ptCount val="1"/>
                <c:pt idx="0">
                  <c:v>施設数</c:v>
                </c:pt>
              </c:strCache>
            </c:strRef>
          </c:tx>
          <c:invertIfNegative val="0"/>
          <c:cat>
            <c:strRef>
              <c:f>類型別グラフ!$C$28:$C$33</c:f>
              <c:strCache>
                <c:ptCount val="6"/>
                <c:pt idx="0">
                  <c:v>本庁舎</c:v>
                </c:pt>
                <c:pt idx="1">
                  <c:v>警察施設</c:v>
                </c:pt>
                <c:pt idx="2">
                  <c:v>学校</c:v>
                </c:pt>
                <c:pt idx="3">
                  <c:v>府営住宅</c:v>
                </c:pt>
                <c:pt idx="4">
                  <c:v>市場施設</c:v>
                </c:pt>
                <c:pt idx="5">
                  <c:v>その他</c:v>
                </c:pt>
              </c:strCache>
            </c:strRef>
          </c:cat>
          <c:val>
            <c:numRef>
              <c:f>類型別グラフ!$D$28:$D$33</c:f>
              <c:numCache>
                <c:formatCode>#,##0_);[Red]\(#,##0\)</c:formatCode>
                <c:ptCount val="6"/>
                <c:pt idx="0">
                  <c:v>9</c:v>
                </c:pt>
                <c:pt idx="1">
                  <c:v>788</c:v>
                </c:pt>
                <c:pt idx="2">
                  <c:v>172</c:v>
                </c:pt>
                <c:pt idx="3">
                  <c:v>309</c:v>
                </c:pt>
                <c:pt idx="4">
                  <c:v>1</c:v>
                </c:pt>
                <c:pt idx="5">
                  <c:v>482</c:v>
                </c:pt>
              </c:numCache>
            </c:numRef>
          </c:val>
          <c:extLst>
            <c:ext xmlns:c16="http://schemas.microsoft.com/office/drawing/2014/chart" uri="{C3380CC4-5D6E-409C-BE32-E72D297353CC}">
              <c16:uniqueId val="{00000000-763C-4FB2-9FEC-44B28A3833C4}"/>
            </c:ext>
          </c:extLst>
        </c:ser>
        <c:dLbls>
          <c:showLegendKey val="0"/>
          <c:showVal val="0"/>
          <c:showCatName val="0"/>
          <c:showSerName val="0"/>
          <c:showPercent val="0"/>
          <c:showBubbleSize val="0"/>
        </c:dLbls>
        <c:gapWidth val="150"/>
        <c:axId val="238408704"/>
        <c:axId val="222935232"/>
      </c:barChart>
      <c:catAx>
        <c:axId val="238408704"/>
        <c:scaling>
          <c:orientation val="minMax"/>
        </c:scaling>
        <c:delete val="0"/>
        <c:axPos val="b"/>
        <c:numFmt formatCode="General" sourceLinked="0"/>
        <c:majorTickMark val="out"/>
        <c:minorTickMark val="none"/>
        <c:tickLblPos val="nextTo"/>
        <c:txPr>
          <a:bodyPr rot="0" vert="eaVert"/>
          <a:lstStyle/>
          <a:p>
            <a:pPr>
              <a:defRPr/>
            </a:pPr>
            <a:endParaRPr lang="ja-JP"/>
          </a:p>
        </c:txPr>
        <c:crossAx val="222935232"/>
        <c:crosses val="autoZero"/>
        <c:auto val="1"/>
        <c:lblAlgn val="ctr"/>
        <c:lblOffset val="100"/>
        <c:noMultiLvlLbl val="0"/>
      </c:catAx>
      <c:valAx>
        <c:axId val="222935232"/>
        <c:scaling>
          <c:orientation val="minMax"/>
        </c:scaling>
        <c:delete val="0"/>
        <c:axPos val="l"/>
        <c:majorGridlines/>
        <c:title>
          <c:tx>
            <c:rich>
              <a:bodyPr rot="0" vert="horz"/>
              <a:lstStyle/>
              <a:p>
                <a:pPr>
                  <a:defRPr sz="800" b="0"/>
                </a:pPr>
                <a:r>
                  <a:rPr lang="ja-JP" sz="800" b="0"/>
                  <a:t>（施設数）</a:t>
                </a:r>
              </a:p>
            </c:rich>
          </c:tx>
          <c:layout>
            <c:manualLayout>
              <c:xMode val="edge"/>
              <c:yMode val="edge"/>
              <c:x val="1.9280982210710128E-2"/>
              <c:y val="4.5710148300427966E-2"/>
            </c:manualLayout>
          </c:layout>
          <c:overlay val="0"/>
        </c:title>
        <c:numFmt formatCode="#,##0_);[Red]\(#,##0\)" sourceLinked="1"/>
        <c:majorTickMark val="out"/>
        <c:minorTickMark val="none"/>
        <c:tickLblPos val="nextTo"/>
        <c:crossAx val="238408704"/>
        <c:crosses val="autoZero"/>
        <c:crossBetween val="between"/>
      </c:valAx>
    </c:plotArea>
    <c:plotVisOnly val="1"/>
    <c:dispBlanksAs val="gap"/>
    <c:showDLblsOverMax val="0"/>
  </c:chart>
  <c:spPr>
    <a:ln>
      <a:noFill/>
    </a:ln>
  </c:spPr>
  <c:txPr>
    <a:bodyPr/>
    <a:lstStyle/>
    <a:p>
      <a:pPr>
        <a:defRPr>
          <a:latin typeface="ＭＳ ゴシック" panose="020B0609070205080204" pitchFamily="49" charset="-128"/>
          <a:ea typeface="ＭＳ ゴシック" panose="020B0609070205080204" pitchFamily="49" charset="-128"/>
          <a:cs typeface="Meiryo UI" panose="020B0604030504040204" pitchFamily="50" charset="-128"/>
        </a:defRPr>
      </a:pPr>
      <a:endParaRPr lang="ja-JP"/>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ja-JP" altLang="en-US" sz="900" b="1">
                <a:latin typeface="+mj-ea"/>
                <a:ea typeface="+mj-ea"/>
              </a:rPr>
              <a:t>大阪府の世代別人口の構成比の推移と将来推計（</a:t>
            </a:r>
            <a:r>
              <a:rPr lang="en-US" altLang="ja-JP" sz="900" b="1">
                <a:latin typeface="+mj-ea"/>
                <a:ea typeface="+mj-ea"/>
              </a:rPr>
              <a:t>1965(S40)</a:t>
            </a:r>
            <a:r>
              <a:rPr lang="ja-JP" altLang="en-US" sz="900" b="1">
                <a:latin typeface="+mj-ea"/>
                <a:ea typeface="+mj-ea"/>
              </a:rPr>
              <a:t>～</a:t>
            </a:r>
            <a:r>
              <a:rPr lang="en-US" altLang="ja-JP" sz="900" b="1">
                <a:latin typeface="+mj-ea"/>
                <a:ea typeface="+mj-ea"/>
              </a:rPr>
              <a:t>2045(R27)</a:t>
            </a:r>
            <a:r>
              <a:rPr lang="ja-JP" altLang="en-US" sz="900" b="1">
                <a:latin typeface="+mj-ea"/>
                <a:ea typeface="+mj-ea"/>
              </a:rPr>
              <a:t>）</a:t>
            </a:r>
          </a:p>
        </c:rich>
      </c:tx>
      <c:layout>
        <c:manualLayout>
          <c:xMode val="edge"/>
          <c:yMode val="edge"/>
          <c:x val="0.18835160149622157"/>
          <c:y val="5.0936095434422632E-3"/>
        </c:manualLayout>
      </c:layout>
      <c:overlay val="0"/>
    </c:title>
    <c:autoTitleDeleted val="0"/>
    <c:plotArea>
      <c:layout>
        <c:manualLayout>
          <c:layoutTarget val="inner"/>
          <c:xMode val="edge"/>
          <c:yMode val="edge"/>
          <c:x val="5.982499920161817E-2"/>
          <c:y val="0.11952536244128283"/>
          <c:w val="0.9027988021671256"/>
          <c:h val="0.65909601400009554"/>
        </c:manualLayout>
      </c:layout>
      <c:barChart>
        <c:barDir val="col"/>
        <c:grouping val="percentStacked"/>
        <c:varyColors val="0"/>
        <c:ser>
          <c:idx val="0"/>
          <c:order val="0"/>
          <c:tx>
            <c:strRef>
              <c:f>P.6!$C$3</c:f>
              <c:strCache>
                <c:ptCount val="1"/>
                <c:pt idx="0">
                  <c:v>0～14歳</c:v>
                </c:pt>
              </c:strCache>
            </c:strRef>
          </c:tx>
          <c:spPr>
            <a:solidFill>
              <a:srgbClr val="FFFF99"/>
            </a:solidFill>
            <a:ln>
              <a:solidFill>
                <a:schemeClr val="tx1"/>
              </a:solidFill>
            </a:ln>
          </c:spPr>
          <c:invertIfNegative val="0"/>
          <c:dPt>
            <c:idx val="10"/>
            <c:invertIfNegative val="0"/>
            <c:bubble3D val="0"/>
            <c:spPr>
              <a:solidFill>
                <a:srgbClr val="FFFF99"/>
              </a:solidFill>
              <a:ln w="9525">
                <a:solidFill>
                  <a:schemeClr val="tx1"/>
                </a:solidFill>
                <a:prstDash val="solid"/>
              </a:ln>
            </c:spPr>
            <c:extLst>
              <c:ext xmlns:c16="http://schemas.microsoft.com/office/drawing/2014/chart" uri="{C3380CC4-5D6E-409C-BE32-E72D297353CC}">
                <c16:uniqueId val="{00000001-74A1-4438-9751-07BCEF70F51E}"/>
              </c:ext>
            </c:extLst>
          </c:dPt>
          <c:dPt>
            <c:idx val="11"/>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3-74A1-4438-9751-07BCEF70F51E}"/>
              </c:ext>
            </c:extLst>
          </c:dPt>
          <c:dPt>
            <c:idx val="12"/>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5-74A1-4438-9751-07BCEF70F51E}"/>
              </c:ext>
            </c:extLst>
          </c:dPt>
          <c:dPt>
            <c:idx val="13"/>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7-74A1-4438-9751-07BCEF70F51E}"/>
              </c:ext>
            </c:extLst>
          </c:dPt>
          <c:dPt>
            <c:idx val="14"/>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9-74A1-4438-9751-07BCEF70F51E}"/>
              </c:ext>
            </c:extLst>
          </c:dPt>
          <c:dPt>
            <c:idx val="15"/>
            <c:invertIfNegative val="0"/>
            <c:bubble3D val="0"/>
            <c:spPr>
              <a:solidFill>
                <a:srgbClr val="FFFF99"/>
              </a:solidFill>
              <a:ln>
                <a:solidFill>
                  <a:schemeClr val="tx1"/>
                </a:solidFill>
                <a:prstDash val="dash"/>
              </a:ln>
            </c:spPr>
            <c:extLst>
              <c:ext xmlns:c16="http://schemas.microsoft.com/office/drawing/2014/chart" uri="{C3380CC4-5D6E-409C-BE32-E72D297353CC}">
                <c16:uniqueId val="{0000000B-74A1-4438-9751-07BCEF70F51E}"/>
              </c:ext>
            </c:extLst>
          </c:dPt>
          <c:dPt>
            <c:idx val="16"/>
            <c:invertIfNegative val="0"/>
            <c:bubble3D val="0"/>
            <c:spPr>
              <a:solidFill>
                <a:srgbClr val="FFFF99"/>
              </a:solidFill>
              <a:ln>
                <a:solidFill>
                  <a:schemeClr val="tx1"/>
                </a:solidFill>
                <a:prstDash val="sysDash"/>
              </a:ln>
            </c:spPr>
            <c:extLst>
              <c:ext xmlns:c16="http://schemas.microsoft.com/office/drawing/2014/chart" uri="{C3380CC4-5D6E-409C-BE32-E72D297353CC}">
                <c16:uniqueId val="{0000000D-74A1-4438-9751-07BCEF70F51E}"/>
              </c:ext>
            </c:extLst>
          </c:dPt>
          <c:dPt>
            <c:idx val="17"/>
            <c:invertIfNegative val="0"/>
            <c:bubble3D val="0"/>
            <c:spPr>
              <a:solidFill>
                <a:srgbClr val="FFFFCC"/>
              </a:solidFill>
              <a:ln>
                <a:solidFill>
                  <a:schemeClr val="tx1"/>
                </a:solidFill>
                <a:prstDash val="dash"/>
              </a:ln>
            </c:spPr>
            <c:extLst>
              <c:ext xmlns:c16="http://schemas.microsoft.com/office/drawing/2014/chart" uri="{C3380CC4-5D6E-409C-BE32-E72D297353CC}">
                <c16:uniqueId val="{0000000F-74A1-4438-9751-07BCEF70F51E}"/>
              </c:ext>
            </c:extLst>
          </c:dPt>
          <c:dPt>
            <c:idx val="18"/>
            <c:invertIfNegative val="0"/>
            <c:bubble3D val="0"/>
            <c:spPr>
              <a:solidFill>
                <a:srgbClr val="FFFFCC"/>
              </a:solidFill>
              <a:ln>
                <a:solidFill>
                  <a:schemeClr val="tx1"/>
                </a:solidFill>
                <a:prstDash val="dash"/>
              </a:ln>
            </c:spPr>
            <c:extLst>
              <c:ext xmlns:c16="http://schemas.microsoft.com/office/drawing/2014/chart" uri="{C3380CC4-5D6E-409C-BE32-E72D297353CC}">
                <c16:uniqueId val="{00000011-74A1-4438-9751-07BCEF70F51E}"/>
              </c:ext>
            </c:extLst>
          </c:dPt>
          <c:dPt>
            <c:idx val="19"/>
            <c:invertIfNegative val="0"/>
            <c:bubble3D val="0"/>
            <c:spPr>
              <a:solidFill>
                <a:srgbClr val="FFFFCC"/>
              </a:solidFill>
              <a:ln>
                <a:solidFill>
                  <a:schemeClr val="tx1"/>
                </a:solidFill>
                <a:prstDash val="dash"/>
              </a:ln>
            </c:spPr>
            <c:extLst>
              <c:ext xmlns:c16="http://schemas.microsoft.com/office/drawing/2014/chart" uri="{C3380CC4-5D6E-409C-BE32-E72D297353CC}">
                <c16:uniqueId val="{00000013-74A1-4438-9751-07BCEF70F51E}"/>
              </c:ext>
            </c:extLst>
          </c:dPt>
          <c:dPt>
            <c:idx val="20"/>
            <c:invertIfNegative val="0"/>
            <c:bubble3D val="0"/>
            <c:spPr>
              <a:solidFill>
                <a:srgbClr val="FFFFCC"/>
              </a:solidFill>
              <a:ln>
                <a:solidFill>
                  <a:schemeClr val="tx1"/>
                </a:solidFill>
                <a:prstDash val="dash"/>
              </a:ln>
            </c:spPr>
            <c:extLst>
              <c:ext xmlns:c16="http://schemas.microsoft.com/office/drawing/2014/chart" uri="{C3380CC4-5D6E-409C-BE32-E72D297353CC}">
                <c16:uniqueId val="{00000015-74A1-4438-9751-07BCEF70F51E}"/>
              </c:ext>
            </c:extLst>
          </c:dPt>
          <c:dLbls>
            <c:dLbl>
              <c:idx val="19"/>
              <c:layout>
                <c:manualLayout>
                  <c:x val="1.443483473421426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4A1-4438-9751-07BCEF70F51E}"/>
                </c:ext>
              </c:extLst>
            </c:dLbl>
            <c:spPr>
              <a:noFill/>
              <a:ln>
                <a:noFill/>
              </a:ln>
              <a:effectLst/>
            </c:spPr>
            <c:txPr>
              <a:bodyPr/>
              <a:lstStyle/>
              <a:p>
                <a:pPr>
                  <a:defRPr sz="800" b="0" i="0" baseline="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P.6!$A$4:$A$20</c:f>
              <c:numCache>
                <c:formatCode>General</c:formatCode>
                <c:ptCount val="17"/>
                <c:pt idx="0">
                  <c:v>1965</c:v>
                </c:pt>
                <c:pt idx="1">
                  <c:v>1970</c:v>
                </c:pt>
                <c:pt idx="2">
                  <c:v>1975</c:v>
                </c:pt>
                <c:pt idx="3">
                  <c:v>1980</c:v>
                </c:pt>
                <c:pt idx="4">
                  <c:v>1985</c:v>
                </c:pt>
                <c:pt idx="5">
                  <c:v>1990</c:v>
                </c:pt>
                <c:pt idx="6">
                  <c:v>1995</c:v>
                </c:pt>
                <c:pt idx="7">
                  <c:v>2000</c:v>
                </c:pt>
                <c:pt idx="8">
                  <c:v>2005</c:v>
                </c:pt>
                <c:pt idx="9">
                  <c:v>2010</c:v>
                </c:pt>
                <c:pt idx="10">
                  <c:v>2015</c:v>
                </c:pt>
                <c:pt idx="11">
                  <c:v>2020</c:v>
                </c:pt>
                <c:pt idx="12">
                  <c:v>2025</c:v>
                </c:pt>
                <c:pt idx="13">
                  <c:v>2030</c:v>
                </c:pt>
                <c:pt idx="14">
                  <c:v>2035</c:v>
                </c:pt>
                <c:pt idx="15">
                  <c:v>2040</c:v>
                </c:pt>
                <c:pt idx="16">
                  <c:v>2045</c:v>
                </c:pt>
              </c:numCache>
            </c:numRef>
          </c:cat>
          <c:val>
            <c:numRef>
              <c:f>P.6!$C$4:$C$20</c:f>
              <c:numCache>
                <c:formatCode>0.0_);[Red]\(0.0\)</c:formatCode>
                <c:ptCount val="17"/>
                <c:pt idx="0">
                  <c:v>22.934950472339001</c:v>
                </c:pt>
                <c:pt idx="1">
                  <c:v>23.890660430839002</c:v>
                </c:pt>
                <c:pt idx="2">
                  <c:v>25.633872710240546</c:v>
                </c:pt>
                <c:pt idx="3">
                  <c:v>24.427261312410181</c:v>
                </c:pt>
                <c:pt idx="4">
                  <c:v>21.363432459691971</c:v>
                </c:pt>
                <c:pt idx="5">
                  <c:v>17.297100650830174</c:v>
                </c:pt>
                <c:pt idx="6">
                  <c:v>15.048748504633997</c:v>
                </c:pt>
                <c:pt idx="7">
                  <c:v>14.22123855746395</c:v>
                </c:pt>
                <c:pt idx="8">
                  <c:v>13.828661223219502</c:v>
                </c:pt>
                <c:pt idx="9">
                  <c:v>13.223447293334811</c:v>
                </c:pt>
                <c:pt idx="10">
                  <c:v>12.419999436617744</c:v>
                </c:pt>
                <c:pt idx="11">
                  <c:v>11.773504960381107</c:v>
                </c:pt>
                <c:pt idx="12">
                  <c:v>11.160518017106634</c:v>
                </c:pt>
                <c:pt idx="13">
                  <c:v>10.746519578606149</c:v>
                </c:pt>
                <c:pt idx="14">
                  <c:v>10.472394075944894</c:v>
                </c:pt>
                <c:pt idx="15">
                  <c:v>10.4309471764563</c:v>
                </c:pt>
                <c:pt idx="16">
                  <c:v>10.31396884785442</c:v>
                </c:pt>
              </c:numCache>
            </c:numRef>
          </c:val>
          <c:extLst>
            <c:ext xmlns:c16="http://schemas.microsoft.com/office/drawing/2014/chart" uri="{C3380CC4-5D6E-409C-BE32-E72D297353CC}">
              <c16:uniqueId val="{00000016-74A1-4438-9751-07BCEF70F51E}"/>
            </c:ext>
          </c:extLst>
        </c:ser>
        <c:ser>
          <c:idx val="1"/>
          <c:order val="1"/>
          <c:tx>
            <c:strRef>
              <c:f>P.6!$E$3</c:f>
              <c:strCache>
                <c:ptCount val="1"/>
                <c:pt idx="0">
                  <c:v>15～64歳</c:v>
                </c:pt>
              </c:strCache>
            </c:strRef>
          </c:tx>
          <c:spPr>
            <a:pattFill prst="ltUpDiag">
              <a:fgClr>
                <a:srgbClr val="0070C0"/>
              </a:fgClr>
              <a:bgClr>
                <a:schemeClr val="bg1"/>
              </a:bgClr>
            </a:pattFill>
            <a:ln>
              <a:solidFill>
                <a:schemeClr val="tx1"/>
              </a:solidFill>
            </a:ln>
          </c:spPr>
          <c:invertIfNegative val="0"/>
          <c:dPt>
            <c:idx val="10"/>
            <c:invertIfNegative val="0"/>
            <c:bubble3D val="0"/>
            <c:spPr>
              <a:pattFill prst="ltUpDiag">
                <a:fgClr>
                  <a:srgbClr val="0070C0"/>
                </a:fgClr>
                <a:bgClr>
                  <a:schemeClr val="bg1"/>
                </a:bgClr>
              </a:pattFill>
              <a:ln w="9525">
                <a:solidFill>
                  <a:schemeClr val="tx1"/>
                </a:solidFill>
                <a:prstDash val="solid"/>
              </a:ln>
            </c:spPr>
            <c:extLst>
              <c:ext xmlns:c16="http://schemas.microsoft.com/office/drawing/2014/chart" uri="{C3380CC4-5D6E-409C-BE32-E72D297353CC}">
                <c16:uniqueId val="{00000018-74A1-4438-9751-07BCEF70F51E}"/>
              </c:ext>
            </c:extLst>
          </c:dPt>
          <c:dPt>
            <c:idx val="11"/>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1A-74A1-4438-9751-07BCEF70F51E}"/>
              </c:ext>
            </c:extLst>
          </c:dPt>
          <c:dPt>
            <c:idx val="12"/>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1C-74A1-4438-9751-07BCEF70F51E}"/>
              </c:ext>
            </c:extLst>
          </c:dPt>
          <c:dPt>
            <c:idx val="13"/>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1E-74A1-4438-9751-07BCEF70F51E}"/>
              </c:ext>
            </c:extLst>
          </c:dPt>
          <c:dPt>
            <c:idx val="14"/>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20-74A1-4438-9751-07BCEF70F51E}"/>
              </c:ext>
            </c:extLst>
          </c:dPt>
          <c:dPt>
            <c:idx val="15"/>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22-74A1-4438-9751-07BCEF70F51E}"/>
              </c:ext>
            </c:extLst>
          </c:dPt>
          <c:dPt>
            <c:idx val="16"/>
            <c:invertIfNegative val="0"/>
            <c:bubble3D val="0"/>
            <c:spPr>
              <a:pattFill prst="ltUpDiag">
                <a:fgClr>
                  <a:srgbClr val="0070C0"/>
                </a:fgClr>
                <a:bgClr>
                  <a:schemeClr val="bg1"/>
                </a:bgClr>
              </a:pattFill>
              <a:ln>
                <a:solidFill>
                  <a:schemeClr val="tx1"/>
                </a:solidFill>
                <a:prstDash val="dash"/>
              </a:ln>
            </c:spPr>
            <c:extLst>
              <c:ext xmlns:c16="http://schemas.microsoft.com/office/drawing/2014/chart" uri="{C3380CC4-5D6E-409C-BE32-E72D297353CC}">
                <c16:uniqueId val="{00000024-74A1-4438-9751-07BCEF70F51E}"/>
              </c:ext>
            </c:extLst>
          </c:dPt>
          <c:dPt>
            <c:idx val="17"/>
            <c:invertIfNegative val="0"/>
            <c:bubble3D val="0"/>
            <c:spPr>
              <a:pattFill prst="ltUpDiag">
                <a:fgClr>
                  <a:schemeClr val="accent5">
                    <a:lumMod val="60000"/>
                    <a:lumOff val="40000"/>
                  </a:schemeClr>
                </a:fgClr>
                <a:bgClr>
                  <a:schemeClr val="bg1"/>
                </a:bgClr>
              </a:pattFill>
              <a:ln>
                <a:solidFill>
                  <a:schemeClr val="tx1"/>
                </a:solidFill>
                <a:prstDash val="dash"/>
              </a:ln>
            </c:spPr>
            <c:extLst>
              <c:ext xmlns:c16="http://schemas.microsoft.com/office/drawing/2014/chart" uri="{C3380CC4-5D6E-409C-BE32-E72D297353CC}">
                <c16:uniqueId val="{00000026-74A1-4438-9751-07BCEF70F51E}"/>
              </c:ext>
            </c:extLst>
          </c:dPt>
          <c:dPt>
            <c:idx val="18"/>
            <c:invertIfNegative val="0"/>
            <c:bubble3D val="0"/>
            <c:spPr>
              <a:pattFill prst="ltUpDiag">
                <a:fgClr>
                  <a:schemeClr val="accent5">
                    <a:lumMod val="60000"/>
                    <a:lumOff val="40000"/>
                  </a:schemeClr>
                </a:fgClr>
                <a:bgClr>
                  <a:schemeClr val="bg1"/>
                </a:bgClr>
              </a:pattFill>
              <a:ln>
                <a:solidFill>
                  <a:schemeClr val="tx1"/>
                </a:solidFill>
                <a:prstDash val="dash"/>
              </a:ln>
            </c:spPr>
            <c:extLst>
              <c:ext xmlns:c16="http://schemas.microsoft.com/office/drawing/2014/chart" uri="{C3380CC4-5D6E-409C-BE32-E72D297353CC}">
                <c16:uniqueId val="{00000028-74A1-4438-9751-07BCEF70F51E}"/>
              </c:ext>
            </c:extLst>
          </c:dPt>
          <c:dPt>
            <c:idx val="19"/>
            <c:invertIfNegative val="0"/>
            <c:bubble3D val="0"/>
            <c:spPr>
              <a:pattFill prst="ltUpDiag">
                <a:fgClr>
                  <a:schemeClr val="accent5">
                    <a:lumMod val="60000"/>
                    <a:lumOff val="40000"/>
                  </a:schemeClr>
                </a:fgClr>
                <a:bgClr>
                  <a:schemeClr val="bg1"/>
                </a:bgClr>
              </a:pattFill>
              <a:ln>
                <a:solidFill>
                  <a:schemeClr val="tx1"/>
                </a:solidFill>
                <a:prstDash val="dash"/>
              </a:ln>
            </c:spPr>
            <c:extLst>
              <c:ext xmlns:c16="http://schemas.microsoft.com/office/drawing/2014/chart" uri="{C3380CC4-5D6E-409C-BE32-E72D297353CC}">
                <c16:uniqueId val="{0000002A-74A1-4438-9751-07BCEF70F51E}"/>
              </c:ext>
            </c:extLst>
          </c:dPt>
          <c:dPt>
            <c:idx val="20"/>
            <c:invertIfNegative val="0"/>
            <c:bubble3D val="0"/>
            <c:spPr>
              <a:pattFill prst="ltUpDiag">
                <a:fgClr>
                  <a:schemeClr val="accent5">
                    <a:lumMod val="60000"/>
                    <a:lumOff val="40000"/>
                  </a:schemeClr>
                </a:fgClr>
                <a:bgClr>
                  <a:schemeClr val="bg1"/>
                </a:bgClr>
              </a:pattFill>
              <a:ln>
                <a:solidFill>
                  <a:schemeClr val="tx1"/>
                </a:solidFill>
                <a:prstDash val="dash"/>
              </a:ln>
            </c:spPr>
            <c:extLst>
              <c:ext xmlns:c16="http://schemas.microsoft.com/office/drawing/2014/chart" uri="{C3380CC4-5D6E-409C-BE32-E72D297353CC}">
                <c16:uniqueId val="{0000002C-74A1-4438-9751-07BCEF70F51E}"/>
              </c:ext>
            </c:extLst>
          </c:dPt>
          <c:dLbls>
            <c:spPr>
              <a:noFill/>
              <a:ln>
                <a:noFill/>
              </a:ln>
              <a:effectLst/>
            </c:spPr>
            <c:txPr>
              <a:bodyPr/>
              <a:lstStyle/>
              <a:p>
                <a:pPr>
                  <a:defRPr sz="800" b="0" i="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P.6!$A$4:$A$20</c:f>
              <c:numCache>
                <c:formatCode>General</c:formatCode>
                <c:ptCount val="17"/>
                <c:pt idx="0">
                  <c:v>1965</c:v>
                </c:pt>
                <c:pt idx="1">
                  <c:v>1970</c:v>
                </c:pt>
                <c:pt idx="2">
                  <c:v>1975</c:v>
                </c:pt>
                <c:pt idx="3">
                  <c:v>1980</c:v>
                </c:pt>
                <c:pt idx="4">
                  <c:v>1985</c:v>
                </c:pt>
                <c:pt idx="5">
                  <c:v>1990</c:v>
                </c:pt>
                <c:pt idx="6">
                  <c:v>1995</c:v>
                </c:pt>
                <c:pt idx="7">
                  <c:v>2000</c:v>
                </c:pt>
                <c:pt idx="8">
                  <c:v>2005</c:v>
                </c:pt>
                <c:pt idx="9">
                  <c:v>2010</c:v>
                </c:pt>
                <c:pt idx="10">
                  <c:v>2015</c:v>
                </c:pt>
                <c:pt idx="11">
                  <c:v>2020</c:v>
                </c:pt>
                <c:pt idx="12">
                  <c:v>2025</c:v>
                </c:pt>
                <c:pt idx="13">
                  <c:v>2030</c:v>
                </c:pt>
                <c:pt idx="14">
                  <c:v>2035</c:v>
                </c:pt>
                <c:pt idx="15">
                  <c:v>2040</c:v>
                </c:pt>
                <c:pt idx="16">
                  <c:v>2045</c:v>
                </c:pt>
              </c:numCache>
            </c:numRef>
          </c:cat>
          <c:val>
            <c:numRef>
              <c:f>P.6!$E$4:$E$20</c:f>
              <c:numCache>
                <c:formatCode>#,##0.0_ </c:formatCode>
                <c:ptCount val="17"/>
                <c:pt idx="0">
                  <c:v>72.505767824828169</c:v>
                </c:pt>
                <c:pt idx="1">
                  <c:v>70.941620475350632</c:v>
                </c:pt>
                <c:pt idx="2">
                  <c:v>68.315084388453371</c:v>
                </c:pt>
                <c:pt idx="3">
                  <c:v>68.326243903176703</c:v>
                </c:pt>
                <c:pt idx="4">
                  <c:v>70.362456187550464</c:v>
                </c:pt>
                <c:pt idx="5">
                  <c:v>73.006765017711331</c:v>
                </c:pt>
                <c:pt idx="6">
                  <c:v>73.018216561452505</c:v>
                </c:pt>
                <c:pt idx="7">
                  <c:v>70.815056487655397</c:v>
                </c:pt>
                <c:pt idx="8">
                  <c:v>67.513822587493394</c:v>
                </c:pt>
                <c:pt idx="9">
                  <c:v>64.387391437010493</c:v>
                </c:pt>
                <c:pt idx="10">
                  <c:v>61.346727953907646</c:v>
                </c:pt>
                <c:pt idx="11">
                  <c:v>60.372746405001763</c:v>
                </c:pt>
                <c:pt idx="12">
                  <c:v>60.507876255176328</c:v>
                </c:pt>
                <c:pt idx="13">
                  <c:v>59.819508633392481</c:v>
                </c:pt>
                <c:pt idx="14">
                  <c:v>58.071609442601499</c:v>
                </c:pt>
                <c:pt idx="15">
                  <c:v>55.095153404857747</c:v>
                </c:pt>
                <c:pt idx="16">
                  <c:v>53.481110467674633</c:v>
                </c:pt>
              </c:numCache>
            </c:numRef>
          </c:val>
          <c:extLst>
            <c:ext xmlns:c16="http://schemas.microsoft.com/office/drawing/2014/chart" uri="{C3380CC4-5D6E-409C-BE32-E72D297353CC}">
              <c16:uniqueId val="{0000002D-74A1-4438-9751-07BCEF70F51E}"/>
            </c:ext>
          </c:extLst>
        </c:ser>
        <c:ser>
          <c:idx val="2"/>
          <c:order val="2"/>
          <c:tx>
            <c:strRef>
              <c:f>P.6!$G$3</c:f>
              <c:strCache>
                <c:ptCount val="1"/>
                <c:pt idx="0">
                  <c:v>65歳以上</c:v>
                </c:pt>
              </c:strCache>
            </c:strRef>
          </c:tx>
          <c:spPr>
            <a:solidFill>
              <a:srgbClr val="00FF99"/>
            </a:solidFill>
            <a:ln>
              <a:solidFill>
                <a:schemeClr val="tx1"/>
              </a:solidFill>
            </a:ln>
          </c:spPr>
          <c:invertIfNegative val="0"/>
          <c:dPt>
            <c:idx val="10"/>
            <c:invertIfNegative val="0"/>
            <c:bubble3D val="0"/>
            <c:spPr>
              <a:solidFill>
                <a:srgbClr val="00FF99"/>
              </a:solidFill>
              <a:ln w="9525">
                <a:solidFill>
                  <a:schemeClr val="tx1"/>
                </a:solidFill>
                <a:prstDash val="solid"/>
              </a:ln>
            </c:spPr>
            <c:extLst>
              <c:ext xmlns:c16="http://schemas.microsoft.com/office/drawing/2014/chart" uri="{C3380CC4-5D6E-409C-BE32-E72D297353CC}">
                <c16:uniqueId val="{0000002F-74A1-4438-9751-07BCEF70F51E}"/>
              </c:ext>
            </c:extLst>
          </c:dPt>
          <c:dPt>
            <c:idx val="11"/>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31-74A1-4438-9751-07BCEF70F51E}"/>
              </c:ext>
            </c:extLst>
          </c:dPt>
          <c:dPt>
            <c:idx val="12"/>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33-74A1-4438-9751-07BCEF70F51E}"/>
              </c:ext>
            </c:extLst>
          </c:dPt>
          <c:dPt>
            <c:idx val="13"/>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35-74A1-4438-9751-07BCEF70F51E}"/>
              </c:ext>
            </c:extLst>
          </c:dPt>
          <c:dPt>
            <c:idx val="14"/>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37-74A1-4438-9751-07BCEF70F51E}"/>
              </c:ext>
            </c:extLst>
          </c:dPt>
          <c:dPt>
            <c:idx val="15"/>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39-74A1-4438-9751-07BCEF70F51E}"/>
              </c:ext>
            </c:extLst>
          </c:dPt>
          <c:dPt>
            <c:idx val="16"/>
            <c:invertIfNegative val="0"/>
            <c:bubble3D val="0"/>
            <c:spPr>
              <a:solidFill>
                <a:srgbClr val="00FF99"/>
              </a:solidFill>
              <a:ln>
                <a:solidFill>
                  <a:schemeClr val="tx1"/>
                </a:solidFill>
                <a:prstDash val="dash"/>
              </a:ln>
            </c:spPr>
            <c:extLst>
              <c:ext xmlns:c16="http://schemas.microsoft.com/office/drawing/2014/chart" uri="{C3380CC4-5D6E-409C-BE32-E72D297353CC}">
                <c16:uniqueId val="{0000003B-74A1-4438-9751-07BCEF70F51E}"/>
              </c:ext>
            </c:extLst>
          </c:dPt>
          <c:dPt>
            <c:idx val="17"/>
            <c:invertIfNegative val="0"/>
            <c:bubble3D val="0"/>
            <c:spPr>
              <a:solidFill>
                <a:srgbClr val="CCFFCC"/>
              </a:solidFill>
              <a:ln>
                <a:solidFill>
                  <a:schemeClr val="tx1"/>
                </a:solidFill>
                <a:prstDash val="dash"/>
              </a:ln>
            </c:spPr>
            <c:extLst>
              <c:ext xmlns:c16="http://schemas.microsoft.com/office/drawing/2014/chart" uri="{C3380CC4-5D6E-409C-BE32-E72D297353CC}">
                <c16:uniqueId val="{0000003D-74A1-4438-9751-07BCEF70F51E}"/>
              </c:ext>
            </c:extLst>
          </c:dPt>
          <c:dPt>
            <c:idx val="18"/>
            <c:invertIfNegative val="0"/>
            <c:bubble3D val="0"/>
            <c:spPr>
              <a:solidFill>
                <a:srgbClr val="CCFFCC"/>
              </a:solidFill>
              <a:ln>
                <a:solidFill>
                  <a:schemeClr val="tx1"/>
                </a:solidFill>
                <a:prstDash val="dash"/>
              </a:ln>
            </c:spPr>
            <c:extLst>
              <c:ext xmlns:c16="http://schemas.microsoft.com/office/drawing/2014/chart" uri="{C3380CC4-5D6E-409C-BE32-E72D297353CC}">
                <c16:uniqueId val="{0000003F-74A1-4438-9751-07BCEF70F51E}"/>
              </c:ext>
            </c:extLst>
          </c:dPt>
          <c:dPt>
            <c:idx val="19"/>
            <c:invertIfNegative val="0"/>
            <c:bubble3D val="0"/>
            <c:spPr>
              <a:solidFill>
                <a:srgbClr val="CCFFCC"/>
              </a:solidFill>
              <a:ln>
                <a:solidFill>
                  <a:schemeClr val="tx1"/>
                </a:solidFill>
                <a:prstDash val="dash"/>
              </a:ln>
            </c:spPr>
            <c:extLst>
              <c:ext xmlns:c16="http://schemas.microsoft.com/office/drawing/2014/chart" uri="{C3380CC4-5D6E-409C-BE32-E72D297353CC}">
                <c16:uniqueId val="{00000041-74A1-4438-9751-07BCEF70F51E}"/>
              </c:ext>
            </c:extLst>
          </c:dPt>
          <c:dPt>
            <c:idx val="20"/>
            <c:invertIfNegative val="0"/>
            <c:bubble3D val="0"/>
            <c:spPr>
              <a:solidFill>
                <a:srgbClr val="CCFFCC"/>
              </a:solidFill>
              <a:ln>
                <a:solidFill>
                  <a:schemeClr val="tx1"/>
                </a:solidFill>
                <a:prstDash val="dash"/>
              </a:ln>
            </c:spPr>
            <c:extLst>
              <c:ext xmlns:c16="http://schemas.microsoft.com/office/drawing/2014/chart" uri="{C3380CC4-5D6E-409C-BE32-E72D297353CC}">
                <c16:uniqueId val="{00000043-74A1-4438-9751-07BCEF70F51E}"/>
              </c:ext>
            </c:extLst>
          </c:dPt>
          <c:dLbls>
            <c:dLbl>
              <c:idx val="0"/>
              <c:layout>
                <c:manualLayout>
                  <c:x val="0"/>
                  <c:y val="-4.16666666666666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4-74A1-4438-9751-07BCEF70F51E}"/>
                </c:ext>
              </c:extLst>
            </c:dLbl>
            <c:dLbl>
              <c:idx val="1"/>
              <c:layout>
                <c:manualLayout>
                  <c:x val="0"/>
                  <c:y val="-4.16666666666666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5-74A1-4438-9751-07BCEF70F51E}"/>
                </c:ext>
              </c:extLst>
            </c:dLbl>
            <c:dLbl>
              <c:idx val="2"/>
              <c:layout>
                <c:manualLayout>
                  <c:x val="0"/>
                  <c:y val="-4.62962962962962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6-74A1-4438-9751-07BCEF70F51E}"/>
                </c:ext>
              </c:extLst>
            </c:dLbl>
            <c:dLbl>
              <c:idx val="3"/>
              <c:layout>
                <c:manualLayout>
                  <c:x val="2.7571042474998336E-17"/>
                  <c:y val="-3.584817262795277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7-74A1-4438-9751-07BCEF70F51E}"/>
                </c:ext>
              </c:extLst>
            </c:dLbl>
            <c:dLbl>
              <c:idx val="4"/>
              <c:layout>
                <c:manualLayout>
                  <c:x val="-1.1841672574674475E-7"/>
                  <c:y val="-6.870576377665944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48-74A1-4438-9751-07BCEF70F51E}"/>
                </c:ext>
              </c:extLst>
            </c:dLbl>
            <c:dLbl>
              <c:idx val="10"/>
              <c:spPr>
                <a:ln>
                  <a:prstDash val="solid"/>
                </a:ln>
              </c:spPr>
              <c:txPr>
                <a:bodyPr/>
                <a:lstStyle/>
                <a:p>
                  <a:pPr>
                    <a:defRPr sz="800" b="0" i="0" baseline="0"/>
                  </a:pPr>
                  <a:endParaRPr lang="ja-JP"/>
                </a:p>
              </c:txPr>
              <c:showLegendKey val="0"/>
              <c:showVal val="1"/>
              <c:showCatName val="0"/>
              <c:showSerName val="0"/>
              <c:showPercent val="0"/>
              <c:showBubbleSize val="0"/>
              <c:extLst>
                <c:ext xmlns:c16="http://schemas.microsoft.com/office/drawing/2014/chart" uri="{C3380CC4-5D6E-409C-BE32-E72D297353CC}">
                  <c16:uniqueId val="{0000002F-74A1-4438-9751-07BCEF70F51E}"/>
                </c:ext>
              </c:extLst>
            </c:dLbl>
            <c:spPr>
              <a:noFill/>
              <a:ln>
                <a:noFill/>
              </a:ln>
              <a:effectLst/>
            </c:spPr>
            <c:txPr>
              <a:bodyPr/>
              <a:lstStyle/>
              <a:p>
                <a:pPr>
                  <a:defRPr sz="800" b="0" i="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P.6!$A$4:$A$20</c:f>
              <c:numCache>
                <c:formatCode>General</c:formatCode>
                <c:ptCount val="17"/>
                <c:pt idx="0">
                  <c:v>1965</c:v>
                </c:pt>
                <c:pt idx="1">
                  <c:v>1970</c:v>
                </c:pt>
                <c:pt idx="2">
                  <c:v>1975</c:v>
                </c:pt>
                <c:pt idx="3">
                  <c:v>1980</c:v>
                </c:pt>
                <c:pt idx="4">
                  <c:v>1985</c:v>
                </c:pt>
                <c:pt idx="5">
                  <c:v>1990</c:v>
                </c:pt>
                <c:pt idx="6">
                  <c:v>1995</c:v>
                </c:pt>
                <c:pt idx="7">
                  <c:v>2000</c:v>
                </c:pt>
                <c:pt idx="8">
                  <c:v>2005</c:v>
                </c:pt>
                <c:pt idx="9">
                  <c:v>2010</c:v>
                </c:pt>
                <c:pt idx="10">
                  <c:v>2015</c:v>
                </c:pt>
                <c:pt idx="11">
                  <c:v>2020</c:v>
                </c:pt>
                <c:pt idx="12">
                  <c:v>2025</c:v>
                </c:pt>
                <c:pt idx="13">
                  <c:v>2030</c:v>
                </c:pt>
                <c:pt idx="14">
                  <c:v>2035</c:v>
                </c:pt>
                <c:pt idx="15">
                  <c:v>2040</c:v>
                </c:pt>
                <c:pt idx="16">
                  <c:v>2045</c:v>
                </c:pt>
              </c:numCache>
            </c:numRef>
          </c:cat>
          <c:val>
            <c:numRef>
              <c:f>P.6!$G$4:$G$20</c:f>
              <c:numCache>
                <c:formatCode>#,##0.0_ </c:formatCode>
                <c:ptCount val="17"/>
                <c:pt idx="0">
                  <c:v>4.5592817028328323</c:v>
                </c:pt>
                <c:pt idx="1">
                  <c:v>5.1677190938103639</c:v>
                </c:pt>
                <c:pt idx="2">
                  <c:v>6.0510429013060749</c:v>
                </c:pt>
                <c:pt idx="3">
                  <c:v>7.2464947844131142</c:v>
                </c:pt>
                <c:pt idx="4">
                  <c:v>8.2741113527575507</c:v>
                </c:pt>
                <c:pt idx="5">
                  <c:v>9.6961343314584951</c:v>
                </c:pt>
                <c:pt idx="6">
                  <c:v>11.933034933913506</c:v>
                </c:pt>
                <c:pt idx="7">
                  <c:v>14.96370495488064</c:v>
                </c:pt>
                <c:pt idx="8">
                  <c:v>18.657516189287104</c:v>
                </c:pt>
                <c:pt idx="9">
                  <c:v>22.389161269654707</c:v>
                </c:pt>
                <c:pt idx="10">
                  <c:v>26.233272609474618</c:v>
                </c:pt>
                <c:pt idx="11">
                  <c:v>27.853748634617119</c:v>
                </c:pt>
                <c:pt idx="12">
                  <c:v>28.331605727717037</c:v>
                </c:pt>
                <c:pt idx="13">
                  <c:v>29.433971788001369</c:v>
                </c:pt>
                <c:pt idx="14">
                  <c:v>31.455996481453603</c:v>
                </c:pt>
                <c:pt idx="15">
                  <c:v>34.473899418685946</c:v>
                </c:pt>
                <c:pt idx="16">
                  <c:v>36.204920684470949</c:v>
                </c:pt>
              </c:numCache>
            </c:numRef>
          </c:val>
          <c:extLst>
            <c:ext xmlns:c16="http://schemas.microsoft.com/office/drawing/2014/chart" uri="{C3380CC4-5D6E-409C-BE32-E72D297353CC}">
              <c16:uniqueId val="{00000049-74A1-4438-9751-07BCEF70F51E}"/>
            </c:ext>
          </c:extLst>
        </c:ser>
        <c:dLbls>
          <c:showLegendKey val="0"/>
          <c:showVal val="0"/>
          <c:showCatName val="0"/>
          <c:showSerName val="0"/>
          <c:showPercent val="0"/>
          <c:showBubbleSize val="0"/>
        </c:dLbls>
        <c:gapWidth val="50"/>
        <c:overlap val="100"/>
        <c:serLines/>
        <c:axId val="87055744"/>
        <c:axId val="87057920"/>
      </c:barChart>
      <c:catAx>
        <c:axId val="87055744"/>
        <c:scaling>
          <c:orientation val="minMax"/>
        </c:scaling>
        <c:delete val="0"/>
        <c:axPos val="b"/>
        <c:numFmt formatCode="General" sourceLinked="1"/>
        <c:majorTickMark val="in"/>
        <c:minorTickMark val="none"/>
        <c:tickLblPos val="nextTo"/>
        <c:txPr>
          <a:bodyPr rot="-2700000"/>
          <a:lstStyle/>
          <a:p>
            <a:pPr>
              <a:defRPr sz="900" b="0" baseline="0"/>
            </a:pPr>
            <a:endParaRPr lang="ja-JP"/>
          </a:p>
        </c:txPr>
        <c:crossAx val="87057920"/>
        <c:crosses val="autoZero"/>
        <c:auto val="1"/>
        <c:lblAlgn val="ctr"/>
        <c:lblOffset val="5"/>
        <c:noMultiLvlLbl val="0"/>
      </c:catAx>
      <c:valAx>
        <c:axId val="87057920"/>
        <c:scaling>
          <c:orientation val="minMax"/>
        </c:scaling>
        <c:delete val="0"/>
        <c:axPos val="l"/>
        <c:majorGridlines/>
        <c:numFmt formatCode="0%" sourceLinked="0"/>
        <c:majorTickMark val="in"/>
        <c:minorTickMark val="none"/>
        <c:tickLblPos val="nextTo"/>
        <c:txPr>
          <a:bodyPr/>
          <a:lstStyle/>
          <a:p>
            <a:pPr>
              <a:defRPr sz="900" b="0" baseline="0"/>
            </a:pPr>
            <a:endParaRPr lang="ja-JP"/>
          </a:p>
        </c:txPr>
        <c:crossAx val="87055744"/>
        <c:crosses val="autoZero"/>
        <c:crossBetween val="between"/>
        <c:majorUnit val="0.2"/>
      </c:valAx>
    </c:plotArea>
    <c:legend>
      <c:legendPos val="b"/>
      <c:layout>
        <c:manualLayout>
          <c:xMode val="edge"/>
          <c:yMode val="edge"/>
          <c:x val="0.34365753229156937"/>
          <c:y val="0.9291499104457438"/>
          <c:w val="0.3252343965478891"/>
          <c:h val="6.6603775977278179E-2"/>
        </c:manualLayout>
      </c:layout>
      <c:overlay val="0"/>
      <c:spPr>
        <a:ln>
          <a:solidFill>
            <a:schemeClr val="bg1">
              <a:lumMod val="75000"/>
            </a:schemeClr>
          </a:solidFill>
        </a:ln>
      </c:spPr>
      <c:txPr>
        <a:bodyPr/>
        <a:lstStyle/>
        <a:p>
          <a:pPr>
            <a:defRPr sz="900" baseline="0">
              <a:latin typeface="ＭＳ ゴシック" panose="020B0609070205080204" pitchFamily="49" charset="-128"/>
              <a:ea typeface="ＭＳ ゴシック" panose="020B0609070205080204" pitchFamily="49" charset="-128"/>
              <a:cs typeface="Meiryo UI" panose="020B0604030504040204" pitchFamily="50" charset="-128"/>
            </a:defRPr>
          </a:pPr>
          <a:endParaRPr lang="ja-JP"/>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600"/>
            </a:pPr>
            <a:r>
              <a:rPr lang="ja-JP" sz="1600"/>
              <a:t>施設類型別延床面積</a:t>
            </a:r>
          </a:p>
        </c:rich>
      </c:tx>
      <c:overlay val="0"/>
    </c:title>
    <c:autoTitleDeleted val="0"/>
    <c:plotArea>
      <c:layout>
        <c:manualLayout>
          <c:layoutTarget val="inner"/>
          <c:xMode val="edge"/>
          <c:yMode val="edge"/>
          <c:x val="7.9715989629303416E-2"/>
          <c:y val="0.13976727047050153"/>
          <c:w val="0.6488908825093036"/>
          <c:h val="0.70975045569362583"/>
        </c:manualLayout>
      </c:layout>
      <c:barChart>
        <c:barDir val="col"/>
        <c:grouping val="clustered"/>
        <c:varyColors val="0"/>
        <c:ser>
          <c:idx val="0"/>
          <c:order val="0"/>
          <c:tx>
            <c:strRef>
              <c:f>類型別グラフ!$F$27</c:f>
              <c:strCache>
                <c:ptCount val="1"/>
                <c:pt idx="0">
                  <c:v>延床面積（㎡）</c:v>
                </c:pt>
              </c:strCache>
            </c:strRef>
          </c:tx>
          <c:invertIfNegative val="0"/>
          <c:cat>
            <c:strRef>
              <c:f>類型別グラフ!$C$28:$C$33</c:f>
              <c:strCache>
                <c:ptCount val="6"/>
                <c:pt idx="0">
                  <c:v>本庁舎</c:v>
                </c:pt>
                <c:pt idx="1">
                  <c:v>警察施設</c:v>
                </c:pt>
                <c:pt idx="2">
                  <c:v>学校</c:v>
                </c:pt>
                <c:pt idx="3">
                  <c:v>府営住宅</c:v>
                </c:pt>
                <c:pt idx="4">
                  <c:v>市場施設</c:v>
                </c:pt>
                <c:pt idx="5">
                  <c:v>その他</c:v>
                </c:pt>
              </c:strCache>
            </c:strRef>
          </c:cat>
          <c:val>
            <c:numRef>
              <c:f>類型別グラフ!$F$28:$F$33</c:f>
              <c:numCache>
                <c:formatCode>#,##0_);[Red]\(#,##0\)</c:formatCode>
                <c:ptCount val="6"/>
                <c:pt idx="0">
                  <c:v>253773.43</c:v>
                </c:pt>
                <c:pt idx="1">
                  <c:v>686667.87</c:v>
                </c:pt>
                <c:pt idx="2">
                  <c:v>2482468.71</c:v>
                </c:pt>
                <c:pt idx="3">
                  <c:v>8343289.0599999996</c:v>
                </c:pt>
                <c:pt idx="4">
                  <c:v>134982</c:v>
                </c:pt>
                <c:pt idx="5">
                  <c:v>1321643.3199999996</c:v>
                </c:pt>
              </c:numCache>
            </c:numRef>
          </c:val>
          <c:extLst>
            <c:ext xmlns:c16="http://schemas.microsoft.com/office/drawing/2014/chart" uri="{C3380CC4-5D6E-409C-BE32-E72D297353CC}">
              <c16:uniqueId val="{00000000-028E-443F-BEA7-27F0AE1B941A}"/>
            </c:ext>
          </c:extLst>
        </c:ser>
        <c:dLbls>
          <c:showLegendKey val="0"/>
          <c:showVal val="0"/>
          <c:showCatName val="0"/>
          <c:showSerName val="0"/>
          <c:showPercent val="0"/>
          <c:showBubbleSize val="0"/>
        </c:dLbls>
        <c:gapWidth val="150"/>
        <c:axId val="223561216"/>
        <c:axId val="222936384"/>
      </c:barChart>
      <c:catAx>
        <c:axId val="223561216"/>
        <c:scaling>
          <c:orientation val="minMax"/>
        </c:scaling>
        <c:delete val="0"/>
        <c:axPos val="b"/>
        <c:numFmt formatCode="General" sourceLinked="0"/>
        <c:majorTickMark val="out"/>
        <c:minorTickMark val="none"/>
        <c:tickLblPos val="nextTo"/>
        <c:txPr>
          <a:bodyPr rot="0" vert="eaVert"/>
          <a:lstStyle/>
          <a:p>
            <a:pPr>
              <a:defRPr/>
            </a:pPr>
            <a:endParaRPr lang="ja-JP"/>
          </a:p>
        </c:txPr>
        <c:crossAx val="222936384"/>
        <c:crosses val="autoZero"/>
        <c:auto val="1"/>
        <c:lblAlgn val="ctr"/>
        <c:lblOffset val="100"/>
        <c:noMultiLvlLbl val="0"/>
      </c:catAx>
      <c:valAx>
        <c:axId val="222936384"/>
        <c:scaling>
          <c:orientation val="minMax"/>
        </c:scaling>
        <c:delete val="0"/>
        <c:axPos val="l"/>
        <c:majorGridlines/>
        <c:title>
          <c:tx>
            <c:rich>
              <a:bodyPr rot="0" vert="horz"/>
              <a:lstStyle/>
              <a:p>
                <a:pPr>
                  <a:defRPr sz="800" b="0"/>
                </a:pPr>
                <a:r>
                  <a:rPr lang="ja-JP" sz="800" b="0"/>
                  <a:t>（㎡）</a:t>
                </a:r>
              </a:p>
            </c:rich>
          </c:tx>
          <c:layout>
            <c:manualLayout>
              <c:xMode val="edge"/>
              <c:yMode val="edge"/>
              <c:x val="1.9280982210710128E-2"/>
              <c:y val="4.5710148300427966E-2"/>
            </c:manualLayout>
          </c:layout>
          <c:overlay val="0"/>
        </c:title>
        <c:numFmt formatCode="#,##0_);[Red]\(#,##0\)" sourceLinked="1"/>
        <c:majorTickMark val="out"/>
        <c:minorTickMark val="none"/>
        <c:tickLblPos val="nextTo"/>
        <c:crossAx val="223561216"/>
        <c:crosses val="autoZero"/>
        <c:crossBetween val="between"/>
      </c:valAx>
      <c:spPr>
        <a:ln>
          <a:noFill/>
        </a:ln>
      </c:spPr>
    </c:plotArea>
    <c:plotVisOnly val="1"/>
    <c:dispBlanksAs val="gap"/>
    <c:showDLblsOverMax val="0"/>
  </c:chart>
  <c:spPr>
    <a:ln>
      <a:noFill/>
    </a:ln>
  </c:spPr>
  <c:txPr>
    <a:bodyPr/>
    <a:lstStyle/>
    <a:p>
      <a:pPr>
        <a:defRPr>
          <a:latin typeface="ＭＳ ゴシック" panose="020B0609070205080204" pitchFamily="49" charset="-128"/>
          <a:ea typeface="ＭＳ ゴシック" panose="020B0609070205080204" pitchFamily="49" charset="-128"/>
          <a:cs typeface="Meiryo UI" panose="020B0604030504040204" pitchFamily="50" charset="-128"/>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ja-JP" altLang="en-US" sz="1600"/>
              <a:t>会計区分</a:t>
            </a:r>
            <a:r>
              <a:rPr lang="ja-JP" sz="1600"/>
              <a:t>別施設数</a:t>
            </a:r>
          </a:p>
        </c:rich>
      </c:tx>
      <c:overlay val="0"/>
    </c:title>
    <c:autoTitleDeleted val="0"/>
    <c:plotArea>
      <c:layout>
        <c:manualLayout>
          <c:layoutTarget val="inner"/>
          <c:xMode val="edge"/>
          <c:yMode val="edge"/>
          <c:x val="0.17363840519624099"/>
          <c:y val="0.13976727047050153"/>
          <c:w val="0.72861940298507466"/>
          <c:h val="0.57288115105014858"/>
        </c:manualLayout>
      </c:layout>
      <c:barChart>
        <c:barDir val="col"/>
        <c:grouping val="clustered"/>
        <c:varyColors val="0"/>
        <c:ser>
          <c:idx val="0"/>
          <c:order val="0"/>
          <c:invertIfNegative val="0"/>
          <c:cat>
            <c:strRef>
              <c:f>'[公有財産の現状グラフ【移管府営住宅抜】　20150805.xlsx]会計別'!$B$33:$B$39</c:f>
              <c:strCache>
                <c:ptCount val="7"/>
                <c:pt idx="0">
                  <c:v>一般会計</c:v>
                </c:pt>
                <c:pt idx="1">
                  <c:v>大阪府営住宅事業特別会計</c:v>
                </c:pt>
                <c:pt idx="2">
                  <c:v>万博事業特別会計</c:v>
                </c:pt>
                <c:pt idx="3">
                  <c:v>港湾整備事業特別会計</c:v>
                </c:pt>
                <c:pt idx="4">
                  <c:v>箕面北部丘陵特別会計</c:v>
                </c:pt>
                <c:pt idx="5">
                  <c:v>流域下水道事業特別会計</c:v>
                </c:pt>
                <c:pt idx="6">
                  <c:v>大阪府中央卸売市場事業企業会計</c:v>
                </c:pt>
              </c:strCache>
            </c:strRef>
          </c:cat>
          <c:val>
            <c:numRef>
              <c:f>'[公有財産の現状グラフ【移管府営住宅抜】　20150805.xlsx]会計別'!$C$33:$C$39</c:f>
              <c:numCache>
                <c:formatCode>#,##0_);[Red]\(#,##0\)</c:formatCode>
                <c:ptCount val="7"/>
                <c:pt idx="0">
                  <c:v>1412</c:v>
                </c:pt>
                <c:pt idx="1">
                  <c:v>312</c:v>
                </c:pt>
                <c:pt idx="2">
                  <c:v>1</c:v>
                </c:pt>
                <c:pt idx="3">
                  <c:v>6</c:v>
                </c:pt>
                <c:pt idx="4">
                  <c:v>3</c:v>
                </c:pt>
                <c:pt idx="5">
                  <c:v>26</c:v>
                </c:pt>
                <c:pt idx="6">
                  <c:v>1</c:v>
                </c:pt>
              </c:numCache>
            </c:numRef>
          </c:val>
          <c:extLst>
            <c:ext xmlns:c16="http://schemas.microsoft.com/office/drawing/2014/chart" uri="{C3380CC4-5D6E-409C-BE32-E72D297353CC}">
              <c16:uniqueId val="{00000000-F900-4FF4-B5FD-18389D70B01E}"/>
            </c:ext>
          </c:extLst>
        </c:ser>
        <c:dLbls>
          <c:showLegendKey val="0"/>
          <c:showVal val="0"/>
          <c:showCatName val="0"/>
          <c:showSerName val="0"/>
          <c:showPercent val="0"/>
          <c:showBubbleSize val="0"/>
        </c:dLbls>
        <c:gapWidth val="150"/>
        <c:axId val="224783360"/>
        <c:axId val="222938240"/>
      </c:barChart>
      <c:catAx>
        <c:axId val="224783360"/>
        <c:scaling>
          <c:orientation val="minMax"/>
        </c:scaling>
        <c:delete val="0"/>
        <c:axPos val="b"/>
        <c:numFmt formatCode="General" sourceLinked="0"/>
        <c:majorTickMark val="out"/>
        <c:minorTickMark val="none"/>
        <c:tickLblPos val="nextTo"/>
        <c:txPr>
          <a:bodyPr rot="-2700000" vert="horz"/>
          <a:lstStyle/>
          <a:p>
            <a:pPr>
              <a:defRPr sz="800"/>
            </a:pPr>
            <a:endParaRPr lang="ja-JP"/>
          </a:p>
        </c:txPr>
        <c:crossAx val="222938240"/>
        <c:crosses val="autoZero"/>
        <c:auto val="1"/>
        <c:lblAlgn val="ctr"/>
        <c:lblOffset val="100"/>
        <c:noMultiLvlLbl val="0"/>
      </c:catAx>
      <c:valAx>
        <c:axId val="222938240"/>
        <c:scaling>
          <c:orientation val="minMax"/>
        </c:scaling>
        <c:delete val="0"/>
        <c:axPos val="l"/>
        <c:majorGridlines/>
        <c:title>
          <c:tx>
            <c:rich>
              <a:bodyPr rot="0" vert="horz"/>
              <a:lstStyle/>
              <a:p>
                <a:pPr>
                  <a:defRPr sz="700" b="0"/>
                </a:pPr>
                <a:r>
                  <a:rPr lang="ja-JP" sz="700" b="0"/>
                  <a:t>（施設数）</a:t>
                </a:r>
              </a:p>
            </c:rich>
          </c:tx>
          <c:layout>
            <c:manualLayout>
              <c:xMode val="edge"/>
              <c:yMode val="edge"/>
              <c:x val="1.9280982210710128E-2"/>
              <c:y val="4.5710148300427966E-2"/>
            </c:manualLayout>
          </c:layout>
          <c:overlay val="0"/>
        </c:title>
        <c:numFmt formatCode="#,##0_);[Red]\(#,##0\)" sourceLinked="1"/>
        <c:majorTickMark val="out"/>
        <c:minorTickMark val="none"/>
        <c:tickLblPos val="nextTo"/>
        <c:crossAx val="224783360"/>
        <c:crosses val="autoZero"/>
        <c:crossBetween val="between"/>
      </c:valAx>
    </c:plotArea>
    <c:plotVisOnly val="1"/>
    <c:dispBlanksAs val="gap"/>
    <c:showDLblsOverMax val="0"/>
  </c:chart>
  <c:spPr>
    <a:ln>
      <a:noFill/>
    </a:ln>
  </c:spPr>
  <c:txPr>
    <a:bodyPr/>
    <a:lstStyle/>
    <a:p>
      <a:pPr>
        <a:defRPr>
          <a:latin typeface="ＭＳ ゴシック" panose="020B0609070205080204" pitchFamily="49" charset="-128"/>
          <a:ea typeface="ＭＳ ゴシック" panose="020B0609070205080204" pitchFamily="49" charset="-128"/>
          <a:cs typeface="Meiryo UI" panose="020B0604030504040204" pitchFamily="50"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600"/>
            </a:pPr>
            <a:r>
              <a:rPr lang="ja-JP" altLang="en-US" sz="1600"/>
              <a:t>会計区分</a:t>
            </a:r>
            <a:r>
              <a:rPr lang="ja-JP" sz="1600"/>
              <a:t>別延床面積</a:t>
            </a:r>
          </a:p>
        </c:rich>
      </c:tx>
      <c:overlay val="0"/>
    </c:title>
    <c:autoTitleDeleted val="0"/>
    <c:plotArea>
      <c:layout>
        <c:manualLayout>
          <c:layoutTarget val="inner"/>
          <c:xMode val="edge"/>
          <c:yMode val="edge"/>
          <c:x val="7.9715989629303416E-2"/>
          <c:y val="0.13976727047050153"/>
          <c:w val="0.6488908825093036"/>
          <c:h val="0.5691150546480197"/>
        </c:manualLayout>
      </c:layout>
      <c:barChart>
        <c:barDir val="col"/>
        <c:grouping val="clustered"/>
        <c:varyColors val="0"/>
        <c:ser>
          <c:idx val="0"/>
          <c:order val="0"/>
          <c:tx>
            <c:strRef>
              <c:f>'[公有財産の現状グラフ【移管府営住宅抜】　20150805.xlsx]会計別'!$E$32</c:f>
              <c:strCache>
                <c:ptCount val="1"/>
                <c:pt idx="0">
                  <c:v>延床面積（㎡）</c:v>
                </c:pt>
              </c:strCache>
            </c:strRef>
          </c:tx>
          <c:invertIfNegative val="0"/>
          <c:cat>
            <c:strRef>
              <c:f>'[公有財産の現状グラフ【移管府営住宅抜】　20150805.xlsx]会計別'!$B$33:$B$39</c:f>
              <c:strCache>
                <c:ptCount val="7"/>
                <c:pt idx="0">
                  <c:v>一般会計</c:v>
                </c:pt>
                <c:pt idx="1">
                  <c:v>大阪府営住宅事業特別会計</c:v>
                </c:pt>
                <c:pt idx="2">
                  <c:v>万博事業特別会計</c:v>
                </c:pt>
                <c:pt idx="3">
                  <c:v>港湾整備事業特別会計</c:v>
                </c:pt>
                <c:pt idx="4">
                  <c:v>箕面北部丘陵特別会計</c:v>
                </c:pt>
                <c:pt idx="5">
                  <c:v>流域下水道事業特別会計</c:v>
                </c:pt>
                <c:pt idx="6">
                  <c:v>大阪府中央卸売市場事業企業会計</c:v>
                </c:pt>
              </c:strCache>
            </c:strRef>
          </c:cat>
          <c:val>
            <c:numRef>
              <c:f>'[公有財産の現状グラフ【移管府営住宅抜】　20150805.xlsx]会計別'!$E$33:$E$39</c:f>
              <c:numCache>
                <c:formatCode>#,##0_);[Red]\(#,##0\)</c:formatCode>
                <c:ptCount val="7"/>
                <c:pt idx="0">
                  <c:v>4338223.080000001</c:v>
                </c:pt>
                <c:pt idx="1">
                  <c:v>8344037.9000000004</c:v>
                </c:pt>
                <c:pt idx="2">
                  <c:v>54329.08</c:v>
                </c:pt>
                <c:pt idx="3">
                  <c:v>98070.02</c:v>
                </c:pt>
                <c:pt idx="4">
                  <c:v>2045.38</c:v>
                </c:pt>
                <c:pt idx="5">
                  <c:v>251136.98</c:v>
                </c:pt>
                <c:pt idx="6">
                  <c:v>134982</c:v>
                </c:pt>
              </c:numCache>
            </c:numRef>
          </c:val>
          <c:extLst>
            <c:ext xmlns:c16="http://schemas.microsoft.com/office/drawing/2014/chart" uri="{C3380CC4-5D6E-409C-BE32-E72D297353CC}">
              <c16:uniqueId val="{00000000-BD01-4A1B-9C6A-89AB97901CD4}"/>
            </c:ext>
          </c:extLst>
        </c:ser>
        <c:dLbls>
          <c:showLegendKey val="0"/>
          <c:showVal val="0"/>
          <c:showCatName val="0"/>
          <c:showSerName val="0"/>
          <c:showPercent val="0"/>
          <c:showBubbleSize val="0"/>
        </c:dLbls>
        <c:gapWidth val="150"/>
        <c:axId val="238409216"/>
        <c:axId val="222939968"/>
      </c:barChart>
      <c:catAx>
        <c:axId val="238409216"/>
        <c:scaling>
          <c:orientation val="minMax"/>
        </c:scaling>
        <c:delete val="0"/>
        <c:axPos val="b"/>
        <c:numFmt formatCode="General" sourceLinked="0"/>
        <c:majorTickMark val="out"/>
        <c:minorTickMark val="none"/>
        <c:tickLblPos val="nextTo"/>
        <c:txPr>
          <a:bodyPr rot="-2700000" vert="horz"/>
          <a:lstStyle/>
          <a:p>
            <a:pPr>
              <a:defRPr sz="800"/>
            </a:pPr>
            <a:endParaRPr lang="ja-JP"/>
          </a:p>
        </c:txPr>
        <c:crossAx val="222939968"/>
        <c:crosses val="autoZero"/>
        <c:auto val="1"/>
        <c:lblAlgn val="ctr"/>
        <c:lblOffset val="100"/>
        <c:noMultiLvlLbl val="0"/>
      </c:catAx>
      <c:valAx>
        <c:axId val="222939968"/>
        <c:scaling>
          <c:orientation val="minMax"/>
        </c:scaling>
        <c:delete val="0"/>
        <c:axPos val="l"/>
        <c:majorGridlines/>
        <c:title>
          <c:tx>
            <c:rich>
              <a:bodyPr rot="0" vert="horz"/>
              <a:lstStyle/>
              <a:p>
                <a:pPr>
                  <a:defRPr sz="800" b="0"/>
                </a:pPr>
                <a:r>
                  <a:rPr lang="ja-JP" sz="800" b="0"/>
                  <a:t>（㎡）</a:t>
                </a:r>
              </a:p>
            </c:rich>
          </c:tx>
          <c:layout>
            <c:manualLayout>
              <c:xMode val="edge"/>
              <c:yMode val="edge"/>
              <c:x val="1.9280982210710128E-2"/>
              <c:y val="4.5710148300427966E-2"/>
            </c:manualLayout>
          </c:layout>
          <c:overlay val="0"/>
        </c:title>
        <c:numFmt formatCode="#,##0_);[Red]\(#,##0\)" sourceLinked="1"/>
        <c:majorTickMark val="out"/>
        <c:minorTickMark val="none"/>
        <c:tickLblPos val="nextTo"/>
        <c:crossAx val="238409216"/>
        <c:crosses val="autoZero"/>
        <c:crossBetween val="between"/>
      </c:valAx>
    </c:plotArea>
    <c:plotVisOnly val="1"/>
    <c:dispBlanksAs val="gap"/>
    <c:showDLblsOverMax val="0"/>
  </c:chart>
  <c:spPr>
    <a:ln>
      <a:noFill/>
    </a:ln>
  </c:spPr>
  <c:txPr>
    <a:bodyPr/>
    <a:lstStyle/>
    <a:p>
      <a:pPr>
        <a:defRPr>
          <a:latin typeface="ＭＳ ゴシック" panose="020B0609070205080204" pitchFamily="49" charset="-128"/>
          <a:ea typeface="ＭＳ ゴシック" panose="020B0609070205080204" pitchFamily="49" charset="-128"/>
          <a:cs typeface="Meiryo UI" panose="020B0604030504040204" pitchFamily="50" charset="-128"/>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ＭＳ ゴシック" panose="020B0609070205080204" pitchFamily="49" charset="-128"/>
                <a:ea typeface="ＭＳ ゴシック" panose="020B0609070205080204" pitchFamily="49" charset="-128"/>
              </a:defRPr>
            </a:pPr>
            <a:r>
              <a:rPr lang="ja-JP" altLang="en-US" sz="1600">
                <a:latin typeface="ＭＳ ゴシック" panose="020B0609070205080204" pitchFamily="49" charset="-128"/>
                <a:ea typeface="ＭＳ ゴシック" panose="020B0609070205080204" pitchFamily="49" charset="-128"/>
              </a:rPr>
              <a:t>規模別施設数</a:t>
            </a:r>
          </a:p>
        </c:rich>
      </c:tx>
      <c:overlay val="0"/>
    </c:title>
    <c:autoTitleDeleted val="0"/>
    <c:plotArea>
      <c:layout>
        <c:manualLayout>
          <c:layoutTarget val="inner"/>
          <c:xMode val="edge"/>
          <c:yMode val="edge"/>
          <c:x val="7.9715989629303416E-2"/>
          <c:y val="0.13976727047050153"/>
          <c:w val="0.89031849553340781"/>
          <c:h val="0.69254079861111106"/>
        </c:manualLayout>
      </c:layout>
      <c:barChart>
        <c:barDir val="col"/>
        <c:grouping val="clustered"/>
        <c:varyColors val="0"/>
        <c:ser>
          <c:idx val="0"/>
          <c:order val="0"/>
          <c:tx>
            <c:strRef>
              <c:f>'[公有財産の現状グラフ【移管府営住宅抜】　20150805.xlsx]規模別'!$D$28</c:f>
              <c:strCache>
                <c:ptCount val="1"/>
                <c:pt idx="0">
                  <c:v>施設数</c:v>
                </c:pt>
              </c:strCache>
            </c:strRef>
          </c:tx>
          <c:invertIfNegative val="0"/>
          <c:cat>
            <c:strRef>
              <c:f>'[公有財産の現状グラフ【移管府営住宅抜】　20150805.xlsx]規模別'!$C$29:$C$41</c:f>
              <c:strCache>
                <c:ptCount val="13"/>
                <c:pt idx="0">
                  <c:v>～99㎡</c:v>
                </c:pt>
                <c:pt idx="1">
                  <c:v>100㎡～</c:v>
                </c:pt>
                <c:pt idx="2">
                  <c:v>500㎡～</c:v>
                </c:pt>
                <c:pt idx="3">
                  <c:v>1,000㎡～</c:v>
                </c:pt>
                <c:pt idx="4">
                  <c:v>2,000㎡～</c:v>
                </c:pt>
                <c:pt idx="5">
                  <c:v>3,000㎡～</c:v>
                </c:pt>
                <c:pt idx="6">
                  <c:v>4,000㎡～</c:v>
                </c:pt>
                <c:pt idx="7">
                  <c:v>5,000㎡～</c:v>
                </c:pt>
                <c:pt idx="8">
                  <c:v>10,000㎡～</c:v>
                </c:pt>
                <c:pt idx="9">
                  <c:v>15,000㎡～</c:v>
                </c:pt>
                <c:pt idx="10">
                  <c:v>20,000㎡～</c:v>
                </c:pt>
                <c:pt idx="11">
                  <c:v>50,000㎡～</c:v>
                </c:pt>
                <c:pt idx="12">
                  <c:v>100,000㎡～</c:v>
                </c:pt>
              </c:strCache>
            </c:strRef>
          </c:cat>
          <c:val>
            <c:numRef>
              <c:f>'[公有財産の現状グラフ【移管府営住宅抜】　20150805.xlsx]規模別'!$D$29:$D$41</c:f>
              <c:numCache>
                <c:formatCode>General</c:formatCode>
                <c:ptCount val="13"/>
                <c:pt idx="0">
                  <c:v>778</c:v>
                </c:pt>
                <c:pt idx="1">
                  <c:v>188</c:v>
                </c:pt>
                <c:pt idx="2">
                  <c:v>54</c:v>
                </c:pt>
                <c:pt idx="3">
                  <c:v>55</c:v>
                </c:pt>
                <c:pt idx="4">
                  <c:v>49</c:v>
                </c:pt>
                <c:pt idx="5">
                  <c:v>61</c:v>
                </c:pt>
                <c:pt idx="6">
                  <c:v>37</c:v>
                </c:pt>
                <c:pt idx="7">
                  <c:v>107</c:v>
                </c:pt>
                <c:pt idx="8">
                  <c:v>153</c:v>
                </c:pt>
                <c:pt idx="9">
                  <c:v>91</c:v>
                </c:pt>
                <c:pt idx="10">
                  <c:v>138</c:v>
                </c:pt>
                <c:pt idx="11">
                  <c:v>41</c:v>
                </c:pt>
                <c:pt idx="12">
                  <c:v>9</c:v>
                </c:pt>
              </c:numCache>
            </c:numRef>
          </c:val>
          <c:extLst>
            <c:ext xmlns:c16="http://schemas.microsoft.com/office/drawing/2014/chart" uri="{C3380CC4-5D6E-409C-BE32-E72D297353CC}">
              <c16:uniqueId val="{00000000-80FA-4482-B91A-490BFEC6F2AD}"/>
            </c:ext>
          </c:extLst>
        </c:ser>
        <c:dLbls>
          <c:showLegendKey val="0"/>
          <c:showVal val="0"/>
          <c:showCatName val="0"/>
          <c:showSerName val="0"/>
          <c:showPercent val="0"/>
          <c:showBubbleSize val="0"/>
        </c:dLbls>
        <c:gapWidth val="150"/>
        <c:axId val="224034816"/>
        <c:axId val="222941696"/>
      </c:barChart>
      <c:catAx>
        <c:axId val="224034816"/>
        <c:scaling>
          <c:orientation val="minMax"/>
        </c:scaling>
        <c:delete val="0"/>
        <c:axPos val="b"/>
        <c:numFmt formatCode="General" sourceLinked="0"/>
        <c:majorTickMark val="out"/>
        <c:minorTickMark val="none"/>
        <c:tickLblPos val="nextTo"/>
        <c:txPr>
          <a:bodyPr rot="-2700000"/>
          <a:lstStyle/>
          <a:p>
            <a:pPr>
              <a:defRPr sz="800">
                <a:latin typeface="ＭＳ ゴシック" panose="020B0609070205080204" pitchFamily="49" charset="-128"/>
                <a:ea typeface="ＭＳ ゴシック" panose="020B0609070205080204" pitchFamily="49" charset="-128"/>
              </a:defRPr>
            </a:pPr>
            <a:endParaRPr lang="ja-JP"/>
          </a:p>
        </c:txPr>
        <c:crossAx val="222941696"/>
        <c:crosses val="autoZero"/>
        <c:auto val="1"/>
        <c:lblAlgn val="ctr"/>
        <c:lblOffset val="100"/>
        <c:noMultiLvlLbl val="0"/>
      </c:catAx>
      <c:valAx>
        <c:axId val="222941696"/>
        <c:scaling>
          <c:orientation val="minMax"/>
        </c:scaling>
        <c:delete val="0"/>
        <c:axPos val="l"/>
        <c:majorGridlines/>
        <c:title>
          <c:tx>
            <c:rich>
              <a:bodyPr rot="0" vert="horz"/>
              <a:lstStyle/>
              <a:p>
                <a:pPr>
                  <a:defRPr sz="800" b="0">
                    <a:latin typeface="ＭＳ ゴシック" panose="020B0609070205080204" pitchFamily="49" charset="-128"/>
                    <a:ea typeface="ＭＳ ゴシック" panose="020B0609070205080204" pitchFamily="49" charset="-128"/>
                  </a:defRPr>
                </a:pPr>
                <a:r>
                  <a:rPr lang="ja-JP" altLang="en-US" sz="800" b="0">
                    <a:latin typeface="ＭＳ ゴシック" panose="020B0609070205080204" pitchFamily="49" charset="-128"/>
                    <a:ea typeface="ＭＳ ゴシック" panose="020B0609070205080204" pitchFamily="49" charset="-128"/>
                  </a:rPr>
                  <a:t>（施設数）</a:t>
                </a:r>
              </a:p>
            </c:rich>
          </c:tx>
          <c:layout>
            <c:manualLayout>
              <c:xMode val="edge"/>
              <c:yMode val="edge"/>
              <c:x val="1.9280982210710128E-2"/>
              <c:y val="4.5710148300427966E-2"/>
            </c:manualLayout>
          </c:layout>
          <c:overlay val="0"/>
        </c:title>
        <c:numFmt formatCode="General"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24034816"/>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600">
                <a:latin typeface="ＭＳ ゴシック" panose="020B0609070205080204" pitchFamily="49" charset="-128"/>
                <a:ea typeface="ＭＳ ゴシック" panose="020B0609070205080204" pitchFamily="49" charset="-128"/>
              </a:defRPr>
            </a:pPr>
            <a:r>
              <a:rPr lang="ja-JP" sz="1600">
                <a:latin typeface="ＭＳ ゴシック" panose="020B0609070205080204" pitchFamily="49" charset="-128"/>
                <a:ea typeface="ＭＳ ゴシック" panose="020B0609070205080204" pitchFamily="49" charset="-128"/>
              </a:rPr>
              <a:t>規模別</a:t>
            </a:r>
            <a:r>
              <a:rPr lang="ja-JP" altLang="en-US" sz="1600">
                <a:latin typeface="ＭＳ ゴシック" panose="020B0609070205080204" pitchFamily="49" charset="-128"/>
                <a:ea typeface="ＭＳ ゴシック" panose="020B0609070205080204" pitchFamily="49" charset="-128"/>
              </a:rPr>
              <a:t>延床面積</a:t>
            </a:r>
            <a:endParaRPr lang="ja-JP" sz="1600">
              <a:latin typeface="ＭＳ ゴシック" panose="020B0609070205080204" pitchFamily="49" charset="-128"/>
              <a:ea typeface="ＭＳ ゴシック" panose="020B0609070205080204" pitchFamily="49" charset="-128"/>
            </a:endParaRPr>
          </a:p>
        </c:rich>
      </c:tx>
      <c:overlay val="0"/>
    </c:title>
    <c:autoTitleDeleted val="0"/>
    <c:plotArea>
      <c:layout>
        <c:manualLayout>
          <c:layoutTarget val="inner"/>
          <c:xMode val="edge"/>
          <c:yMode val="edge"/>
          <c:x val="0.24638398692810456"/>
          <c:y val="0.13976727047050153"/>
          <c:w val="0.73665457516339872"/>
          <c:h val="0.68886603009259262"/>
        </c:manualLayout>
      </c:layout>
      <c:barChart>
        <c:barDir val="col"/>
        <c:grouping val="clustered"/>
        <c:varyColors val="0"/>
        <c:ser>
          <c:idx val="0"/>
          <c:order val="0"/>
          <c:tx>
            <c:strRef>
              <c:f>'[公有財産の現状グラフ【移管府営住宅抜】　20150805.xlsx]規模別'!$F$28</c:f>
              <c:strCache>
                <c:ptCount val="1"/>
                <c:pt idx="0">
                  <c:v>延床面積（㎡）</c:v>
                </c:pt>
              </c:strCache>
            </c:strRef>
          </c:tx>
          <c:invertIfNegative val="0"/>
          <c:cat>
            <c:strRef>
              <c:f>'[公有財産の現状グラフ【移管府営住宅抜】　20150805.xlsx]規模別'!$C$29:$C$41</c:f>
              <c:strCache>
                <c:ptCount val="13"/>
                <c:pt idx="0">
                  <c:v>～99㎡</c:v>
                </c:pt>
                <c:pt idx="1">
                  <c:v>100㎡～</c:v>
                </c:pt>
                <c:pt idx="2">
                  <c:v>500㎡～</c:v>
                </c:pt>
                <c:pt idx="3">
                  <c:v>1,000㎡～</c:v>
                </c:pt>
                <c:pt idx="4">
                  <c:v>2,000㎡～</c:v>
                </c:pt>
                <c:pt idx="5">
                  <c:v>3,000㎡～</c:v>
                </c:pt>
                <c:pt idx="6">
                  <c:v>4,000㎡～</c:v>
                </c:pt>
                <c:pt idx="7">
                  <c:v>5,000㎡～</c:v>
                </c:pt>
                <c:pt idx="8">
                  <c:v>10,000㎡～</c:v>
                </c:pt>
                <c:pt idx="9">
                  <c:v>15,000㎡～</c:v>
                </c:pt>
                <c:pt idx="10">
                  <c:v>20,000㎡～</c:v>
                </c:pt>
                <c:pt idx="11">
                  <c:v>50,000㎡～</c:v>
                </c:pt>
                <c:pt idx="12">
                  <c:v>100,000㎡～</c:v>
                </c:pt>
              </c:strCache>
            </c:strRef>
          </c:cat>
          <c:val>
            <c:numRef>
              <c:f>'[公有財産の現状グラフ【移管府営住宅抜】　20150805.xlsx]規模別'!$F$29:$F$41</c:f>
              <c:numCache>
                <c:formatCode>#,##0_ </c:formatCode>
                <c:ptCount val="13"/>
                <c:pt idx="0">
                  <c:v>37146.490000000063</c:v>
                </c:pt>
                <c:pt idx="1">
                  <c:v>37856.600000000006</c:v>
                </c:pt>
                <c:pt idx="2">
                  <c:v>39476.399999999703</c:v>
                </c:pt>
                <c:pt idx="3">
                  <c:v>79959.530000000013</c:v>
                </c:pt>
                <c:pt idx="4">
                  <c:v>120776.88</c:v>
                </c:pt>
                <c:pt idx="5">
                  <c:v>208741.01</c:v>
                </c:pt>
                <c:pt idx="6">
                  <c:v>167257.78</c:v>
                </c:pt>
                <c:pt idx="7">
                  <c:v>761733.5</c:v>
                </c:pt>
                <c:pt idx="8">
                  <c:v>2013180.9000000001</c:v>
                </c:pt>
                <c:pt idx="9">
                  <c:v>1535988.4500000002</c:v>
                </c:pt>
                <c:pt idx="10">
                  <c:v>4235121.6199999992</c:v>
                </c:pt>
                <c:pt idx="11">
                  <c:v>2817608.21</c:v>
                </c:pt>
                <c:pt idx="12">
                  <c:v>1167977.02</c:v>
                </c:pt>
              </c:numCache>
            </c:numRef>
          </c:val>
          <c:extLst>
            <c:ext xmlns:c16="http://schemas.microsoft.com/office/drawing/2014/chart" uri="{C3380CC4-5D6E-409C-BE32-E72D297353CC}">
              <c16:uniqueId val="{00000000-7C37-47B1-BB80-229F360D9851}"/>
            </c:ext>
          </c:extLst>
        </c:ser>
        <c:dLbls>
          <c:showLegendKey val="0"/>
          <c:showVal val="0"/>
          <c:showCatName val="0"/>
          <c:showSerName val="0"/>
          <c:showPercent val="0"/>
          <c:showBubbleSize val="0"/>
        </c:dLbls>
        <c:gapWidth val="150"/>
        <c:axId val="223561728"/>
        <c:axId val="222943424"/>
      </c:barChart>
      <c:catAx>
        <c:axId val="223561728"/>
        <c:scaling>
          <c:orientation val="minMax"/>
        </c:scaling>
        <c:delete val="0"/>
        <c:axPos val="b"/>
        <c:numFmt formatCode="General" sourceLinked="0"/>
        <c:majorTickMark val="out"/>
        <c:minorTickMark val="none"/>
        <c:tickLblPos val="nextTo"/>
        <c:txPr>
          <a:bodyPr rot="-2700000"/>
          <a:lstStyle/>
          <a:p>
            <a:pPr>
              <a:defRPr sz="800">
                <a:latin typeface="ＭＳ ゴシック" panose="020B0609070205080204" pitchFamily="49" charset="-128"/>
                <a:ea typeface="ＭＳ ゴシック" panose="020B0609070205080204" pitchFamily="49" charset="-128"/>
              </a:defRPr>
            </a:pPr>
            <a:endParaRPr lang="ja-JP"/>
          </a:p>
        </c:txPr>
        <c:crossAx val="222943424"/>
        <c:crosses val="autoZero"/>
        <c:auto val="1"/>
        <c:lblAlgn val="ctr"/>
        <c:lblOffset val="100"/>
        <c:noMultiLvlLbl val="0"/>
      </c:catAx>
      <c:valAx>
        <c:axId val="222943424"/>
        <c:scaling>
          <c:orientation val="minMax"/>
        </c:scaling>
        <c:delete val="0"/>
        <c:axPos val="l"/>
        <c:majorGridlines/>
        <c:title>
          <c:tx>
            <c:rich>
              <a:bodyPr rot="0" vert="horz"/>
              <a:lstStyle/>
              <a:p>
                <a:pPr>
                  <a:defRPr sz="800" b="0">
                    <a:latin typeface="ＭＳ ゴシック" panose="020B0609070205080204" pitchFamily="49" charset="-128"/>
                    <a:ea typeface="ＭＳ ゴシック" panose="020B0609070205080204" pitchFamily="49" charset="-128"/>
                  </a:defRPr>
                </a:pPr>
                <a:r>
                  <a:rPr lang="ja-JP" sz="800" b="0">
                    <a:latin typeface="ＭＳ ゴシック" panose="020B0609070205080204" pitchFamily="49" charset="-128"/>
                    <a:ea typeface="ＭＳ ゴシック" panose="020B0609070205080204" pitchFamily="49" charset="-128"/>
                  </a:rPr>
                  <a:t>（</a:t>
                </a:r>
                <a:r>
                  <a:rPr lang="ja-JP" altLang="en-US" sz="800" b="0">
                    <a:latin typeface="ＭＳ ゴシック" panose="020B0609070205080204" pitchFamily="49" charset="-128"/>
                    <a:ea typeface="ＭＳ ゴシック" panose="020B0609070205080204" pitchFamily="49" charset="-128"/>
                  </a:rPr>
                  <a:t>㎡</a:t>
                </a:r>
                <a:r>
                  <a:rPr lang="ja-JP" sz="800" b="0">
                    <a:latin typeface="ＭＳ ゴシック" panose="020B0609070205080204" pitchFamily="49" charset="-128"/>
                    <a:ea typeface="ＭＳ ゴシック" panose="020B0609070205080204" pitchFamily="49" charset="-128"/>
                  </a:rPr>
                  <a:t>）</a:t>
                </a:r>
              </a:p>
            </c:rich>
          </c:tx>
          <c:layout>
            <c:manualLayout>
              <c:xMode val="edge"/>
              <c:yMode val="edge"/>
              <c:x val="1.9280982210710128E-2"/>
              <c:y val="4.5710148300427966E-2"/>
            </c:manualLayout>
          </c:layout>
          <c:overlay val="0"/>
        </c:title>
        <c:numFmt formatCode="#,##0_ "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23561728"/>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a:latin typeface="ＭＳ Ｐゴシック" panose="020B0600070205080204" pitchFamily="50" charset="-128"/>
                <a:ea typeface="ＭＳ Ｐゴシック" panose="020B0600070205080204" pitchFamily="50" charset="-128"/>
              </a:defRPr>
            </a:pPr>
            <a:r>
              <a:rPr lang="ja-JP" altLang="en-US" sz="1600">
                <a:latin typeface="ＭＳ Ｐゴシック" panose="020B0600070205080204" pitchFamily="50" charset="-128"/>
                <a:ea typeface="ＭＳ Ｐゴシック" panose="020B0600070205080204" pitchFamily="50" charset="-128"/>
              </a:rPr>
              <a:t>建替時期別施設数</a:t>
            </a:r>
            <a:r>
              <a:rPr lang="en-US" altLang="ja-JP" sz="1600">
                <a:latin typeface="ＭＳ Ｐゴシック" panose="020B0600070205080204" pitchFamily="50" charset="-128"/>
                <a:ea typeface="ＭＳ Ｐゴシック" panose="020B0600070205080204" pitchFamily="50" charset="-128"/>
              </a:rPr>
              <a:t>【</a:t>
            </a:r>
            <a:r>
              <a:rPr lang="ja-JP" altLang="en-US" sz="1600">
                <a:latin typeface="ＭＳ Ｐゴシック" panose="020B0600070205080204" pitchFamily="50" charset="-128"/>
                <a:ea typeface="ＭＳ Ｐゴシック" panose="020B0600070205080204" pitchFamily="50" charset="-128"/>
              </a:rPr>
              <a:t>施設類型別</a:t>
            </a:r>
            <a:r>
              <a:rPr lang="en-US" altLang="ja-JP" sz="1600">
                <a:latin typeface="ＭＳ Ｐゴシック" panose="020B0600070205080204" pitchFamily="50" charset="-128"/>
                <a:ea typeface="ＭＳ Ｐゴシック" panose="020B0600070205080204" pitchFamily="50" charset="-128"/>
              </a:rPr>
              <a:t>】</a:t>
            </a:r>
            <a:endParaRPr lang="ja-JP" altLang="en-US" sz="1600">
              <a:latin typeface="ＭＳ Ｐゴシック" panose="020B0600070205080204" pitchFamily="50" charset="-128"/>
              <a:ea typeface="ＭＳ Ｐゴシック" panose="020B0600070205080204" pitchFamily="50" charset="-128"/>
            </a:endParaRPr>
          </a:p>
        </c:rich>
      </c:tx>
      <c:overlay val="1"/>
    </c:title>
    <c:autoTitleDeleted val="0"/>
    <c:plotArea>
      <c:layout>
        <c:manualLayout>
          <c:layoutTarget val="inner"/>
          <c:xMode val="edge"/>
          <c:yMode val="edge"/>
          <c:x val="0.11851120200080997"/>
          <c:y val="0.13938778143499173"/>
          <c:w val="0.8433159772554204"/>
          <c:h val="0.71027392421323055"/>
        </c:manualLayout>
      </c:layout>
      <c:barChart>
        <c:barDir val="col"/>
        <c:grouping val="stacked"/>
        <c:varyColors val="0"/>
        <c:ser>
          <c:idx val="0"/>
          <c:order val="0"/>
          <c:tx>
            <c:strRef>
              <c:f>建替時期別施設数!$Q$2</c:f>
              <c:strCache>
                <c:ptCount val="1"/>
                <c:pt idx="0">
                  <c:v>本庁舎</c:v>
                </c:pt>
              </c:strCache>
            </c:strRef>
          </c:tx>
          <c:spPr>
            <a:solidFill>
              <a:schemeClr val="bg1">
                <a:lumMod val="75000"/>
              </a:schemeClr>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建替時期別施設数!$Q$3:$Q$42</c:f>
              <c:numCache>
                <c:formatCode>General</c:formatCode>
                <c:ptCount val="40"/>
                <c:pt idx="0">
                  <c:v>0</c:v>
                </c:pt>
                <c:pt idx="1">
                  <c:v>0</c:v>
                </c:pt>
                <c:pt idx="2">
                  <c:v>1</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2</c:v>
                </c:pt>
                <c:pt idx="29">
                  <c:v>0</c:v>
                </c:pt>
                <c:pt idx="30">
                  <c:v>0</c:v>
                </c:pt>
                <c:pt idx="31">
                  <c:v>2</c:v>
                </c:pt>
                <c:pt idx="32">
                  <c:v>1</c:v>
                </c:pt>
                <c:pt idx="33">
                  <c:v>0</c:v>
                </c:pt>
                <c:pt idx="34">
                  <c:v>0</c:v>
                </c:pt>
                <c:pt idx="35">
                  <c:v>0</c:v>
                </c:pt>
                <c:pt idx="36">
                  <c:v>0</c:v>
                </c:pt>
                <c:pt idx="37">
                  <c:v>0</c:v>
                </c:pt>
                <c:pt idx="38">
                  <c:v>0</c:v>
                </c:pt>
                <c:pt idx="39">
                  <c:v>0</c:v>
                </c:pt>
              </c:numCache>
            </c:numRef>
          </c:val>
          <c:extLst>
            <c:ext xmlns:c16="http://schemas.microsoft.com/office/drawing/2014/chart" uri="{C3380CC4-5D6E-409C-BE32-E72D297353CC}">
              <c16:uniqueId val="{00000000-BF57-42B7-9ADB-0A0534D10594}"/>
            </c:ext>
          </c:extLst>
        </c:ser>
        <c:ser>
          <c:idx val="1"/>
          <c:order val="1"/>
          <c:tx>
            <c:strRef>
              <c:f>建替時期別施設数!$R$2</c:f>
              <c:strCache>
                <c:ptCount val="1"/>
                <c:pt idx="0">
                  <c:v>警察施設</c:v>
                </c:pt>
              </c:strCache>
            </c:strRef>
          </c:tx>
          <c:spPr>
            <a:pattFill prst="trellis">
              <a:fgClr>
                <a:schemeClr val="accent1"/>
              </a:fgClr>
              <a:bgClr>
                <a:schemeClr val="bg1"/>
              </a:bgClr>
            </a:patt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建替時期別施設数!$R$3:$R$42</c:f>
              <c:numCache>
                <c:formatCode>#,##0_ </c:formatCode>
                <c:ptCount val="40"/>
                <c:pt idx="0">
                  <c:v>15</c:v>
                </c:pt>
                <c:pt idx="1">
                  <c:v>27</c:v>
                </c:pt>
                <c:pt idx="2">
                  <c:v>29</c:v>
                </c:pt>
                <c:pt idx="3">
                  <c:v>35</c:v>
                </c:pt>
                <c:pt idx="4">
                  <c:v>27</c:v>
                </c:pt>
                <c:pt idx="5">
                  <c:v>25</c:v>
                </c:pt>
                <c:pt idx="6">
                  <c:v>34</c:v>
                </c:pt>
                <c:pt idx="7">
                  <c:v>18</c:v>
                </c:pt>
                <c:pt idx="8">
                  <c:v>26</c:v>
                </c:pt>
                <c:pt idx="9">
                  <c:v>20</c:v>
                </c:pt>
                <c:pt idx="10">
                  <c:v>11</c:v>
                </c:pt>
                <c:pt idx="11">
                  <c:v>13</c:v>
                </c:pt>
                <c:pt idx="12">
                  <c:v>16</c:v>
                </c:pt>
                <c:pt idx="13">
                  <c:v>13</c:v>
                </c:pt>
                <c:pt idx="14">
                  <c:v>9</c:v>
                </c:pt>
                <c:pt idx="15">
                  <c:v>13</c:v>
                </c:pt>
                <c:pt idx="16">
                  <c:v>15</c:v>
                </c:pt>
                <c:pt idx="17">
                  <c:v>13</c:v>
                </c:pt>
                <c:pt idx="18">
                  <c:v>14</c:v>
                </c:pt>
                <c:pt idx="19">
                  <c:v>15</c:v>
                </c:pt>
                <c:pt idx="20">
                  <c:v>13</c:v>
                </c:pt>
                <c:pt idx="21">
                  <c:v>14</c:v>
                </c:pt>
                <c:pt idx="22">
                  <c:v>16</c:v>
                </c:pt>
                <c:pt idx="23">
                  <c:v>15</c:v>
                </c:pt>
                <c:pt idx="24">
                  <c:v>15</c:v>
                </c:pt>
                <c:pt idx="25">
                  <c:v>18</c:v>
                </c:pt>
                <c:pt idx="26">
                  <c:v>19</c:v>
                </c:pt>
                <c:pt idx="27">
                  <c:v>24</c:v>
                </c:pt>
                <c:pt idx="28">
                  <c:v>9</c:v>
                </c:pt>
                <c:pt idx="29">
                  <c:v>19</c:v>
                </c:pt>
                <c:pt idx="30">
                  <c:v>9</c:v>
                </c:pt>
                <c:pt idx="31">
                  <c:v>10</c:v>
                </c:pt>
                <c:pt idx="32">
                  <c:v>12</c:v>
                </c:pt>
                <c:pt idx="33">
                  <c:v>7</c:v>
                </c:pt>
                <c:pt idx="34">
                  <c:v>8</c:v>
                </c:pt>
                <c:pt idx="35">
                  <c:v>4</c:v>
                </c:pt>
                <c:pt idx="36">
                  <c:v>9</c:v>
                </c:pt>
                <c:pt idx="37">
                  <c:v>6</c:v>
                </c:pt>
                <c:pt idx="38">
                  <c:v>9</c:v>
                </c:pt>
                <c:pt idx="39">
                  <c:v>8</c:v>
                </c:pt>
              </c:numCache>
            </c:numRef>
          </c:val>
          <c:extLst>
            <c:ext xmlns:c16="http://schemas.microsoft.com/office/drawing/2014/chart" uri="{C3380CC4-5D6E-409C-BE32-E72D297353CC}">
              <c16:uniqueId val="{00000001-BF57-42B7-9ADB-0A0534D10594}"/>
            </c:ext>
          </c:extLst>
        </c:ser>
        <c:ser>
          <c:idx val="2"/>
          <c:order val="2"/>
          <c:tx>
            <c:strRef>
              <c:f>建替時期別施設数!$S$2</c:f>
              <c:strCache>
                <c:ptCount val="1"/>
                <c:pt idx="0">
                  <c:v>学校</c:v>
                </c:pt>
              </c:strCache>
            </c:strRef>
          </c:tx>
          <c:spPr>
            <a:solidFill>
              <a:schemeClr val="tx1">
                <a:lumMod val="50000"/>
                <a:lumOff val="50000"/>
              </a:schemeClr>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建替時期別施設数!$S$3:$S$42</c:f>
              <c:numCache>
                <c:formatCode>General</c:formatCode>
                <c:ptCount val="40"/>
                <c:pt idx="0">
                  <c:v>1</c:v>
                </c:pt>
                <c:pt idx="1">
                  <c:v>4</c:v>
                </c:pt>
                <c:pt idx="2">
                  <c:v>3</c:v>
                </c:pt>
                <c:pt idx="3">
                  <c:v>3</c:v>
                </c:pt>
                <c:pt idx="4">
                  <c:v>3</c:v>
                </c:pt>
                <c:pt idx="5">
                  <c:v>5</c:v>
                </c:pt>
                <c:pt idx="6">
                  <c:v>7</c:v>
                </c:pt>
                <c:pt idx="7">
                  <c:v>8</c:v>
                </c:pt>
                <c:pt idx="8">
                  <c:v>14</c:v>
                </c:pt>
                <c:pt idx="9">
                  <c:v>12</c:v>
                </c:pt>
                <c:pt idx="10">
                  <c:v>6</c:v>
                </c:pt>
                <c:pt idx="11">
                  <c:v>4</c:v>
                </c:pt>
                <c:pt idx="12">
                  <c:v>10</c:v>
                </c:pt>
                <c:pt idx="13">
                  <c:v>7</c:v>
                </c:pt>
                <c:pt idx="14">
                  <c:v>12</c:v>
                </c:pt>
                <c:pt idx="15">
                  <c:v>2</c:v>
                </c:pt>
                <c:pt idx="16">
                  <c:v>9</c:v>
                </c:pt>
                <c:pt idx="17">
                  <c:v>8</c:v>
                </c:pt>
                <c:pt idx="18">
                  <c:v>3</c:v>
                </c:pt>
                <c:pt idx="19">
                  <c:v>3</c:v>
                </c:pt>
                <c:pt idx="20">
                  <c:v>4</c:v>
                </c:pt>
                <c:pt idx="21">
                  <c:v>3</c:v>
                </c:pt>
                <c:pt idx="22">
                  <c:v>0</c:v>
                </c:pt>
                <c:pt idx="23">
                  <c:v>2</c:v>
                </c:pt>
                <c:pt idx="24">
                  <c:v>1</c:v>
                </c:pt>
                <c:pt idx="25">
                  <c:v>1</c:v>
                </c:pt>
                <c:pt idx="26">
                  <c:v>1</c:v>
                </c:pt>
                <c:pt idx="27">
                  <c:v>1</c:v>
                </c:pt>
                <c:pt idx="28">
                  <c:v>3</c:v>
                </c:pt>
                <c:pt idx="29">
                  <c:v>1</c:v>
                </c:pt>
                <c:pt idx="30">
                  <c:v>3</c:v>
                </c:pt>
                <c:pt idx="31">
                  <c:v>2</c:v>
                </c:pt>
                <c:pt idx="32">
                  <c:v>3</c:v>
                </c:pt>
                <c:pt idx="33">
                  <c:v>2</c:v>
                </c:pt>
                <c:pt idx="34">
                  <c:v>1</c:v>
                </c:pt>
                <c:pt idx="35">
                  <c:v>0</c:v>
                </c:pt>
                <c:pt idx="36">
                  <c:v>0</c:v>
                </c:pt>
                <c:pt idx="37">
                  <c:v>0</c:v>
                </c:pt>
                <c:pt idx="38">
                  <c:v>0</c:v>
                </c:pt>
                <c:pt idx="39">
                  <c:v>0</c:v>
                </c:pt>
              </c:numCache>
            </c:numRef>
          </c:val>
          <c:extLst>
            <c:ext xmlns:c16="http://schemas.microsoft.com/office/drawing/2014/chart" uri="{C3380CC4-5D6E-409C-BE32-E72D297353CC}">
              <c16:uniqueId val="{00000002-BF57-42B7-9ADB-0A0534D10594}"/>
            </c:ext>
          </c:extLst>
        </c:ser>
        <c:ser>
          <c:idx val="3"/>
          <c:order val="3"/>
          <c:tx>
            <c:strRef>
              <c:f>建替時期別施設数!$T$2</c:f>
              <c:strCache>
                <c:ptCount val="1"/>
                <c:pt idx="0">
                  <c:v>府営住宅</c:v>
                </c:pt>
              </c:strCache>
            </c:strRef>
          </c:tx>
          <c:spPr>
            <a:solidFill>
              <a:schemeClr val="tx1"/>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建替時期別施設数!$T$3:$T$42</c:f>
              <c:numCache>
                <c:formatCode>General</c:formatCode>
                <c:ptCount val="40"/>
                <c:pt idx="0">
                  <c:v>9</c:v>
                </c:pt>
                <c:pt idx="1">
                  <c:v>6</c:v>
                </c:pt>
                <c:pt idx="2">
                  <c:v>5</c:v>
                </c:pt>
                <c:pt idx="3">
                  <c:v>8</c:v>
                </c:pt>
                <c:pt idx="4">
                  <c:v>11</c:v>
                </c:pt>
                <c:pt idx="5">
                  <c:v>15</c:v>
                </c:pt>
                <c:pt idx="6">
                  <c:v>21</c:v>
                </c:pt>
                <c:pt idx="7">
                  <c:v>5</c:v>
                </c:pt>
                <c:pt idx="8">
                  <c:v>10</c:v>
                </c:pt>
                <c:pt idx="9">
                  <c:v>8</c:v>
                </c:pt>
                <c:pt idx="10">
                  <c:v>10</c:v>
                </c:pt>
                <c:pt idx="11">
                  <c:v>7</c:v>
                </c:pt>
                <c:pt idx="12">
                  <c:v>9</c:v>
                </c:pt>
                <c:pt idx="13">
                  <c:v>8</c:v>
                </c:pt>
                <c:pt idx="14">
                  <c:v>4</c:v>
                </c:pt>
                <c:pt idx="15">
                  <c:v>5</c:v>
                </c:pt>
                <c:pt idx="16">
                  <c:v>5</c:v>
                </c:pt>
                <c:pt idx="17">
                  <c:v>7</c:v>
                </c:pt>
                <c:pt idx="18">
                  <c:v>3</c:v>
                </c:pt>
                <c:pt idx="19">
                  <c:v>6</c:v>
                </c:pt>
                <c:pt idx="20">
                  <c:v>3</c:v>
                </c:pt>
                <c:pt idx="21">
                  <c:v>1</c:v>
                </c:pt>
                <c:pt idx="22">
                  <c:v>5</c:v>
                </c:pt>
                <c:pt idx="23">
                  <c:v>4</c:v>
                </c:pt>
                <c:pt idx="24">
                  <c:v>6</c:v>
                </c:pt>
                <c:pt idx="25">
                  <c:v>8</c:v>
                </c:pt>
                <c:pt idx="26">
                  <c:v>7</c:v>
                </c:pt>
                <c:pt idx="27">
                  <c:v>5</c:v>
                </c:pt>
                <c:pt idx="28">
                  <c:v>7</c:v>
                </c:pt>
                <c:pt idx="29">
                  <c:v>6</c:v>
                </c:pt>
                <c:pt idx="30">
                  <c:v>9</c:v>
                </c:pt>
                <c:pt idx="31">
                  <c:v>9</c:v>
                </c:pt>
                <c:pt idx="32">
                  <c:v>10</c:v>
                </c:pt>
                <c:pt idx="33">
                  <c:v>5</c:v>
                </c:pt>
                <c:pt idx="34">
                  <c:v>6</c:v>
                </c:pt>
                <c:pt idx="35">
                  <c:v>3</c:v>
                </c:pt>
                <c:pt idx="36">
                  <c:v>7</c:v>
                </c:pt>
                <c:pt idx="37">
                  <c:v>4</c:v>
                </c:pt>
                <c:pt idx="38">
                  <c:v>6</c:v>
                </c:pt>
                <c:pt idx="39">
                  <c:v>2</c:v>
                </c:pt>
              </c:numCache>
            </c:numRef>
          </c:val>
          <c:extLst>
            <c:ext xmlns:c16="http://schemas.microsoft.com/office/drawing/2014/chart" uri="{C3380CC4-5D6E-409C-BE32-E72D297353CC}">
              <c16:uniqueId val="{00000003-BF57-42B7-9ADB-0A0534D10594}"/>
            </c:ext>
          </c:extLst>
        </c:ser>
        <c:ser>
          <c:idx val="4"/>
          <c:order val="4"/>
          <c:tx>
            <c:strRef>
              <c:f>建替時期別施設数!$U$2</c:f>
              <c:strCache>
                <c:ptCount val="1"/>
                <c:pt idx="0">
                  <c:v>市場施設</c:v>
                </c:pt>
              </c:strCache>
            </c:strRef>
          </c:tx>
          <c:spPr>
            <a:pattFill prst="dkHorz">
              <a:fgClr>
                <a:schemeClr val="accent1"/>
              </a:fgClr>
              <a:bgClr>
                <a:schemeClr val="bg1"/>
              </a:bgClr>
            </a:pattFill>
            <a:effectLst>
              <a:glow>
                <a:schemeClr val="accent1">
                  <a:alpha val="40000"/>
                </a:schemeClr>
              </a:glow>
              <a:softEdge rad="0"/>
            </a:effectLst>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建替時期別施設数!$U$3:$U$42</c:f>
              <c:numCache>
                <c:formatCode>General</c:formatCode>
                <c:ptCount val="40"/>
                <c:pt idx="0">
                  <c:v>0</c:v>
                </c:pt>
                <c:pt idx="1">
                  <c:v>0</c:v>
                </c:pt>
                <c:pt idx="2">
                  <c:v>0</c:v>
                </c:pt>
                <c:pt idx="3">
                  <c:v>0</c:v>
                </c:pt>
                <c:pt idx="4">
                  <c:v>0</c:v>
                </c:pt>
                <c:pt idx="5">
                  <c:v>0</c:v>
                </c:pt>
                <c:pt idx="6">
                  <c:v>0</c:v>
                </c:pt>
                <c:pt idx="7">
                  <c:v>0</c:v>
                </c:pt>
                <c:pt idx="8">
                  <c:v>0</c:v>
                </c:pt>
                <c:pt idx="9">
                  <c:v>0</c:v>
                </c:pt>
                <c:pt idx="10">
                  <c:v>0</c:v>
                </c:pt>
                <c:pt idx="11">
                  <c:v>0</c:v>
                </c:pt>
                <c:pt idx="12">
                  <c:v>1</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numCache>
            </c:numRef>
          </c:val>
          <c:extLst>
            <c:ext xmlns:c16="http://schemas.microsoft.com/office/drawing/2014/chart" uri="{C3380CC4-5D6E-409C-BE32-E72D297353CC}">
              <c16:uniqueId val="{00000004-BF57-42B7-9ADB-0A0534D10594}"/>
            </c:ext>
          </c:extLst>
        </c:ser>
        <c:ser>
          <c:idx val="5"/>
          <c:order val="5"/>
          <c:tx>
            <c:strRef>
              <c:f>建替時期別施設数!$V$2</c:f>
              <c:strCache>
                <c:ptCount val="1"/>
                <c:pt idx="0">
                  <c:v>その他</c:v>
                </c:pt>
              </c:strCache>
            </c:strRef>
          </c:tx>
          <c:spPr>
            <a:pattFill prst="lgCheck">
              <a:fgClr>
                <a:schemeClr val="accent1"/>
              </a:fgClr>
              <a:bgClr>
                <a:schemeClr val="bg1"/>
              </a:bgClr>
            </a:patt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建替時期別施設数!$V$3:$V$42</c:f>
              <c:numCache>
                <c:formatCode>#,##0_ </c:formatCode>
                <c:ptCount val="40"/>
                <c:pt idx="0">
                  <c:v>4</c:v>
                </c:pt>
                <c:pt idx="1">
                  <c:v>7</c:v>
                </c:pt>
                <c:pt idx="2">
                  <c:v>7</c:v>
                </c:pt>
                <c:pt idx="3">
                  <c:v>11</c:v>
                </c:pt>
                <c:pt idx="4">
                  <c:v>15</c:v>
                </c:pt>
                <c:pt idx="5">
                  <c:v>5</c:v>
                </c:pt>
                <c:pt idx="6">
                  <c:v>7</c:v>
                </c:pt>
                <c:pt idx="7">
                  <c:v>12</c:v>
                </c:pt>
                <c:pt idx="8">
                  <c:v>9</c:v>
                </c:pt>
                <c:pt idx="9">
                  <c:v>7</c:v>
                </c:pt>
                <c:pt idx="10">
                  <c:v>13</c:v>
                </c:pt>
                <c:pt idx="11">
                  <c:v>9</c:v>
                </c:pt>
                <c:pt idx="12">
                  <c:v>3</c:v>
                </c:pt>
                <c:pt idx="13">
                  <c:v>3</c:v>
                </c:pt>
                <c:pt idx="14">
                  <c:v>6</c:v>
                </c:pt>
                <c:pt idx="15">
                  <c:v>5</c:v>
                </c:pt>
                <c:pt idx="16">
                  <c:v>6</c:v>
                </c:pt>
                <c:pt idx="17">
                  <c:v>9</c:v>
                </c:pt>
                <c:pt idx="18">
                  <c:v>4</c:v>
                </c:pt>
                <c:pt idx="19">
                  <c:v>8</c:v>
                </c:pt>
                <c:pt idx="20">
                  <c:v>9</c:v>
                </c:pt>
                <c:pt idx="21">
                  <c:v>5</c:v>
                </c:pt>
                <c:pt idx="22">
                  <c:v>9</c:v>
                </c:pt>
                <c:pt idx="23">
                  <c:v>14</c:v>
                </c:pt>
                <c:pt idx="24">
                  <c:v>19</c:v>
                </c:pt>
                <c:pt idx="25">
                  <c:v>17</c:v>
                </c:pt>
                <c:pt idx="26">
                  <c:v>30</c:v>
                </c:pt>
                <c:pt idx="27">
                  <c:v>16</c:v>
                </c:pt>
                <c:pt idx="28">
                  <c:v>17</c:v>
                </c:pt>
                <c:pt idx="29">
                  <c:v>13</c:v>
                </c:pt>
                <c:pt idx="30">
                  <c:v>14</c:v>
                </c:pt>
                <c:pt idx="31">
                  <c:v>13</c:v>
                </c:pt>
                <c:pt idx="32">
                  <c:v>17</c:v>
                </c:pt>
                <c:pt idx="33">
                  <c:v>8</c:v>
                </c:pt>
                <c:pt idx="34">
                  <c:v>6</c:v>
                </c:pt>
                <c:pt idx="35">
                  <c:v>5</c:v>
                </c:pt>
                <c:pt idx="36">
                  <c:v>8</c:v>
                </c:pt>
                <c:pt idx="37">
                  <c:v>9</c:v>
                </c:pt>
                <c:pt idx="38">
                  <c:v>7</c:v>
                </c:pt>
                <c:pt idx="39">
                  <c:v>8</c:v>
                </c:pt>
              </c:numCache>
            </c:numRef>
          </c:val>
          <c:extLst>
            <c:ext xmlns:c16="http://schemas.microsoft.com/office/drawing/2014/chart" uri="{C3380CC4-5D6E-409C-BE32-E72D297353CC}">
              <c16:uniqueId val="{00000005-BF57-42B7-9ADB-0A0534D10594}"/>
            </c:ext>
          </c:extLst>
        </c:ser>
        <c:dLbls>
          <c:showLegendKey val="0"/>
          <c:showVal val="0"/>
          <c:showCatName val="0"/>
          <c:showSerName val="0"/>
          <c:showPercent val="0"/>
          <c:showBubbleSize val="0"/>
        </c:dLbls>
        <c:gapWidth val="35"/>
        <c:overlap val="100"/>
        <c:axId val="223562240"/>
        <c:axId val="238428160"/>
      </c:barChart>
      <c:catAx>
        <c:axId val="223562240"/>
        <c:scaling>
          <c:orientation val="minMax"/>
        </c:scaling>
        <c:delete val="0"/>
        <c:axPos val="b"/>
        <c:title>
          <c:tx>
            <c:rich>
              <a:bodyPr/>
              <a:lstStyle/>
              <a:p>
                <a:pPr>
                  <a:defRPr b="0"/>
                </a:pPr>
                <a:r>
                  <a:rPr lang="ja-JP" altLang="en-US" sz="800" b="0">
                    <a:latin typeface="ＭＳ ゴシック" panose="020B0609070205080204" pitchFamily="49" charset="-128"/>
                    <a:ea typeface="ＭＳ ゴシック" panose="020B0609070205080204" pitchFamily="49" charset="-128"/>
                  </a:rPr>
                  <a:t>（建替年度）</a:t>
                </a:r>
              </a:p>
            </c:rich>
          </c:tx>
          <c:layout>
            <c:manualLayout>
              <c:xMode val="edge"/>
              <c:yMode val="edge"/>
              <c:x val="0.91657825249185221"/>
              <c:y val="0.95162510599862971"/>
            </c:manualLayout>
          </c:layout>
          <c:overlay val="0"/>
        </c:title>
        <c:numFmt formatCode="General"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38428160"/>
        <c:crosses val="autoZero"/>
        <c:auto val="1"/>
        <c:lblAlgn val="ctr"/>
        <c:lblOffset val="100"/>
        <c:tickLblSkip val="3"/>
        <c:noMultiLvlLbl val="0"/>
      </c:catAx>
      <c:valAx>
        <c:axId val="238428160"/>
        <c:scaling>
          <c:orientation val="minMax"/>
        </c:scaling>
        <c:delete val="0"/>
        <c:axPos val="l"/>
        <c:majorGridlines/>
        <c:title>
          <c:tx>
            <c:rich>
              <a:bodyPr rot="0" vert="horz"/>
              <a:lstStyle/>
              <a:p>
                <a:pPr>
                  <a:defRPr b="0">
                    <a:latin typeface="ＭＳ Ｐゴシック" panose="020B0600070205080204" pitchFamily="50" charset="-128"/>
                    <a:ea typeface="ＭＳ Ｐゴシック" panose="020B0600070205080204" pitchFamily="50" charset="-128"/>
                  </a:defRPr>
                </a:pPr>
                <a:r>
                  <a:rPr lang="ja-JP" altLang="en-US" b="0">
                    <a:latin typeface="ＭＳ Ｐゴシック" panose="020B0600070205080204" pitchFamily="50" charset="-128"/>
                    <a:ea typeface="ＭＳ Ｐゴシック" panose="020B0600070205080204" pitchFamily="50" charset="-128"/>
                  </a:rPr>
                  <a:t>（施設数）</a:t>
                </a:r>
              </a:p>
            </c:rich>
          </c:tx>
          <c:layout>
            <c:manualLayout>
              <c:xMode val="edge"/>
              <c:yMode val="edge"/>
              <c:x val="4.1168437974965291E-2"/>
              <c:y val="4.6478403162567641E-2"/>
            </c:manualLayout>
          </c:layout>
          <c:overlay val="0"/>
        </c:title>
        <c:numFmt formatCode="General"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23562240"/>
        <c:crosses val="autoZero"/>
        <c:crossBetween val="between"/>
      </c:valAx>
    </c:plotArea>
    <c:legend>
      <c:legendPos val="r"/>
      <c:layout>
        <c:manualLayout>
          <c:xMode val="edge"/>
          <c:yMode val="edge"/>
          <c:x val="0.80628916526776906"/>
          <c:y val="2.7763005780346822E-2"/>
          <c:w val="0.17810675727389744"/>
          <c:h val="0.48078597775611914"/>
        </c:manualLayout>
      </c:layout>
      <c:overlay val="0"/>
      <c:spPr>
        <a:solidFill>
          <a:schemeClr val="bg1"/>
        </a:solidFill>
      </c:spPr>
      <c:txPr>
        <a:bodyPr/>
        <a:lstStyle/>
        <a:p>
          <a:pPr>
            <a:defRPr sz="1400">
              <a:latin typeface="ＭＳ ゴシック" panose="020B0609070205080204" pitchFamily="49" charset="-128"/>
              <a:ea typeface="ＭＳ ゴシック" panose="020B0609070205080204" pitchFamily="49" charset="-128"/>
            </a:defRPr>
          </a:pPr>
          <a:endParaRPr lang="ja-JP"/>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sz="1600">
                <a:latin typeface="ＭＳ Ｐゴシック" panose="020B0600070205080204" pitchFamily="50" charset="-128"/>
                <a:ea typeface="ＭＳ Ｐゴシック" panose="020B0600070205080204" pitchFamily="50" charset="-128"/>
              </a:defRPr>
            </a:pPr>
            <a:r>
              <a:rPr lang="ja-JP" altLang="en-US" sz="1600">
                <a:latin typeface="ＭＳ Ｐゴシック" panose="020B0600070205080204" pitchFamily="50" charset="-128"/>
                <a:ea typeface="ＭＳ Ｐゴシック" panose="020B0600070205080204" pitchFamily="50" charset="-128"/>
              </a:rPr>
              <a:t>建替時期別延床面積</a:t>
            </a:r>
            <a:r>
              <a:rPr lang="en-US" altLang="ja-JP" sz="1600">
                <a:latin typeface="ＭＳ Ｐゴシック" panose="020B0600070205080204" pitchFamily="50" charset="-128"/>
                <a:ea typeface="ＭＳ Ｐゴシック" panose="020B0600070205080204" pitchFamily="50" charset="-128"/>
              </a:rPr>
              <a:t>【</a:t>
            </a:r>
            <a:r>
              <a:rPr lang="ja-JP" altLang="en-US" sz="1600">
                <a:latin typeface="ＭＳ Ｐゴシック" panose="020B0600070205080204" pitchFamily="50" charset="-128"/>
                <a:ea typeface="ＭＳ Ｐゴシック" panose="020B0600070205080204" pitchFamily="50" charset="-128"/>
              </a:rPr>
              <a:t>施設類型別</a:t>
            </a:r>
            <a:r>
              <a:rPr lang="en-US" altLang="ja-JP" sz="1600">
                <a:latin typeface="ＭＳ Ｐゴシック" panose="020B0600070205080204" pitchFamily="50" charset="-128"/>
                <a:ea typeface="ＭＳ Ｐゴシック" panose="020B0600070205080204" pitchFamily="50" charset="-128"/>
              </a:rPr>
              <a:t>】</a:t>
            </a:r>
            <a:endParaRPr lang="ja-JP" altLang="en-US" sz="1600">
              <a:latin typeface="ＭＳ Ｐゴシック" panose="020B0600070205080204" pitchFamily="50" charset="-128"/>
              <a:ea typeface="ＭＳ Ｐゴシック" panose="020B0600070205080204" pitchFamily="50" charset="-128"/>
            </a:endParaRPr>
          </a:p>
        </c:rich>
      </c:tx>
      <c:layout>
        <c:manualLayout>
          <c:xMode val="edge"/>
          <c:yMode val="edge"/>
          <c:x val="0.25858448728391709"/>
          <c:y val="1.6075609963238417E-5"/>
        </c:manualLayout>
      </c:layout>
      <c:overlay val="1"/>
    </c:title>
    <c:autoTitleDeleted val="0"/>
    <c:plotArea>
      <c:layout>
        <c:manualLayout>
          <c:layoutTarget val="inner"/>
          <c:xMode val="edge"/>
          <c:yMode val="edge"/>
          <c:x val="0.11657331493357145"/>
          <c:y val="0.13938761513686201"/>
          <c:w val="0.86352023217641605"/>
          <c:h val="0.738954475308642"/>
        </c:manualLayout>
      </c:layout>
      <c:barChart>
        <c:barDir val="col"/>
        <c:grouping val="stacked"/>
        <c:varyColors val="0"/>
        <c:ser>
          <c:idx val="0"/>
          <c:order val="0"/>
          <c:tx>
            <c:strRef>
              <c:f>建替時期別延床面積!$Q$2</c:f>
              <c:strCache>
                <c:ptCount val="1"/>
                <c:pt idx="0">
                  <c:v>本庁舎</c:v>
                </c:pt>
              </c:strCache>
            </c:strRef>
          </c:tx>
          <c:spPr>
            <a:solidFill>
              <a:schemeClr val="bg1">
                <a:lumMod val="75000"/>
              </a:schemeClr>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建替時期別延床面積!$Q$3:$Q$42</c:f>
              <c:numCache>
                <c:formatCode>#,##0.00</c:formatCode>
                <c:ptCount val="40"/>
                <c:pt idx="0">
                  <c:v>0</c:v>
                </c:pt>
                <c:pt idx="1">
                  <c:v>0</c:v>
                </c:pt>
                <c:pt idx="2">
                  <c:v>6072.42</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178759.46</c:v>
                </c:pt>
                <c:pt idx="29">
                  <c:v>0</c:v>
                </c:pt>
                <c:pt idx="30">
                  <c:v>0</c:v>
                </c:pt>
                <c:pt idx="31">
                  <c:v>2411.6999999999998</c:v>
                </c:pt>
                <c:pt idx="32">
                  <c:v>1202.08</c:v>
                </c:pt>
                <c:pt idx="33">
                  <c:v>0</c:v>
                </c:pt>
                <c:pt idx="34">
                  <c:v>0</c:v>
                </c:pt>
                <c:pt idx="35">
                  <c:v>0</c:v>
                </c:pt>
                <c:pt idx="36">
                  <c:v>0</c:v>
                </c:pt>
                <c:pt idx="37">
                  <c:v>0</c:v>
                </c:pt>
                <c:pt idx="38">
                  <c:v>0</c:v>
                </c:pt>
                <c:pt idx="39">
                  <c:v>0</c:v>
                </c:pt>
              </c:numCache>
            </c:numRef>
          </c:val>
          <c:extLst>
            <c:ext xmlns:c16="http://schemas.microsoft.com/office/drawing/2014/chart" uri="{C3380CC4-5D6E-409C-BE32-E72D297353CC}">
              <c16:uniqueId val="{00000000-F22F-4156-A49E-FCD228CFA5F4}"/>
            </c:ext>
          </c:extLst>
        </c:ser>
        <c:ser>
          <c:idx val="1"/>
          <c:order val="1"/>
          <c:tx>
            <c:strRef>
              <c:f>建替時期別延床面積!$R$2</c:f>
              <c:strCache>
                <c:ptCount val="1"/>
                <c:pt idx="0">
                  <c:v>警察施設</c:v>
                </c:pt>
              </c:strCache>
            </c:strRef>
          </c:tx>
          <c:spPr>
            <a:pattFill prst="trellis">
              <a:fgClr>
                <a:schemeClr val="accent1"/>
              </a:fgClr>
              <a:bgClr>
                <a:schemeClr val="bg1"/>
              </a:bgClr>
            </a:patt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建替時期別延床面積!$R$3:$R$42</c:f>
              <c:numCache>
                <c:formatCode>#,##0.00</c:formatCode>
                <c:ptCount val="40"/>
                <c:pt idx="0">
                  <c:v>6737.4</c:v>
                </c:pt>
                <c:pt idx="1">
                  <c:v>3082.7500000000005</c:v>
                </c:pt>
                <c:pt idx="2">
                  <c:v>6407.0199999999995</c:v>
                </c:pt>
                <c:pt idx="3">
                  <c:v>17118.819999999996</c:v>
                </c:pt>
                <c:pt idx="4">
                  <c:v>8443.3299999999981</c:v>
                </c:pt>
                <c:pt idx="5">
                  <c:v>7642.2199999999984</c:v>
                </c:pt>
                <c:pt idx="6">
                  <c:v>33149.230000000003</c:v>
                </c:pt>
                <c:pt idx="7">
                  <c:v>3728.8499999999995</c:v>
                </c:pt>
                <c:pt idx="8">
                  <c:v>15241.549999999997</c:v>
                </c:pt>
                <c:pt idx="9">
                  <c:v>10444.029999999999</c:v>
                </c:pt>
                <c:pt idx="10">
                  <c:v>22193.039999999997</c:v>
                </c:pt>
                <c:pt idx="11">
                  <c:v>4015.59</c:v>
                </c:pt>
                <c:pt idx="12">
                  <c:v>11245.130000000001</c:v>
                </c:pt>
                <c:pt idx="13">
                  <c:v>11425.84</c:v>
                </c:pt>
                <c:pt idx="14">
                  <c:v>9421.8700000000008</c:v>
                </c:pt>
                <c:pt idx="15">
                  <c:v>25949.53</c:v>
                </c:pt>
                <c:pt idx="16">
                  <c:v>8426.09</c:v>
                </c:pt>
                <c:pt idx="17">
                  <c:v>12933.51</c:v>
                </c:pt>
                <c:pt idx="18">
                  <c:v>7192.1500000000005</c:v>
                </c:pt>
                <c:pt idx="19">
                  <c:v>7290.0099999999993</c:v>
                </c:pt>
                <c:pt idx="20">
                  <c:v>4062.7799999999997</c:v>
                </c:pt>
                <c:pt idx="21">
                  <c:v>11368.940000000002</c:v>
                </c:pt>
                <c:pt idx="22">
                  <c:v>14596.92</c:v>
                </c:pt>
                <c:pt idx="23">
                  <c:v>4022.37</c:v>
                </c:pt>
                <c:pt idx="24">
                  <c:v>5361.670000000001</c:v>
                </c:pt>
                <c:pt idx="25">
                  <c:v>16417.8</c:v>
                </c:pt>
                <c:pt idx="26">
                  <c:v>1324.0600000000002</c:v>
                </c:pt>
                <c:pt idx="27">
                  <c:v>9621.2799999999988</c:v>
                </c:pt>
                <c:pt idx="28">
                  <c:v>10184.4</c:v>
                </c:pt>
                <c:pt idx="29">
                  <c:v>43018.070000000007</c:v>
                </c:pt>
                <c:pt idx="30">
                  <c:v>15243.779999999999</c:v>
                </c:pt>
                <c:pt idx="31">
                  <c:v>1230.2300000000002</c:v>
                </c:pt>
                <c:pt idx="32">
                  <c:v>5581.3</c:v>
                </c:pt>
                <c:pt idx="33">
                  <c:v>31956.15</c:v>
                </c:pt>
                <c:pt idx="34">
                  <c:v>13240.2</c:v>
                </c:pt>
                <c:pt idx="35">
                  <c:v>289.46000000000004</c:v>
                </c:pt>
                <c:pt idx="36">
                  <c:v>123999.02999999997</c:v>
                </c:pt>
                <c:pt idx="37">
                  <c:v>477.6</c:v>
                </c:pt>
                <c:pt idx="38">
                  <c:v>652.26</c:v>
                </c:pt>
                <c:pt idx="39">
                  <c:v>701.75</c:v>
                </c:pt>
              </c:numCache>
            </c:numRef>
          </c:val>
          <c:extLst>
            <c:ext xmlns:c16="http://schemas.microsoft.com/office/drawing/2014/chart" uri="{C3380CC4-5D6E-409C-BE32-E72D297353CC}">
              <c16:uniqueId val="{00000001-F22F-4156-A49E-FCD228CFA5F4}"/>
            </c:ext>
          </c:extLst>
        </c:ser>
        <c:ser>
          <c:idx val="2"/>
          <c:order val="2"/>
          <c:tx>
            <c:strRef>
              <c:f>建替時期別延床面積!$S$2</c:f>
              <c:strCache>
                <c:ptCount val="1"/>
                <c:pt idx="0">
                  <c:v>学校</c:v>
                </c:pt>
              </c:strCache>
            </c:strRef>
          </c:tx>
          <c:spPr>
            <a:solidFill>
              <a:schemeClr val="tx1">
                <a:lumMod val="50000"/>
                <a:lumOff val="50000"/>
              </a:schemeClr>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建替時期別延床面積!$S$3:$S$42</c:f>
              <c:numCache>
                <c:formatCode>#,##0.00</c:formatCode>
                <c:ptCount val="40"/>
                <c:pt idx="0">
                  <c:v>11390.86</c:v>
                </c:pt>
                <c:pt idx="1">
                  <c:v>57361.58</c:v>
                </c:pt>
                <c:pt idx="2">
                  <c:v>42070.630000000005</c:v>
                </c:pt>
                <c:pt idx="3">
                  <c:v>39701.57</c:v>
                </c:pt>
                <c:pt idx="4">
                  <c:v>43395.950000000004</c:v>
                </c:pt>
                <c:pt idx="5">
                  <c:v>84070.03</c:v>
                </c:pt>
                <c:pt idx="6">
                  <c:v>121521.9</c:v>
                </c:pt>
                <c:pt idx="7">
                  <c:v>132902.64000000001</c:v>
                </c:pt>
                <c:pt idx="8">
                  <c:v>223239.13</c:v>
                </c:pt>
                <c:pt idx="9">
                  <c:v>179507.66</c:v>
                </c:pt>
                <c:pt idx="10">
                  <c:v>89636.840000000011</c:v>
                </c:pt>
                <c:pt idx="11">
                  <c:v>62607.06</c:v>
                </c:pt>
                <c:pt idx="12">
                  <c:v>147730.70000000001</c:v>
                </c:pt>
                <c:pt idx="13">
                  <c:v>100826.09000000003</c:v>
                </c:pt>
                <c:pt idx="14">
                  <c:v>154137.39000000001</c:v>
                </c:pt>
                <c:pt idx="15">
                  <c:v>31620.82</c:v>
                </c:pt>
                <c:pt idx="16">
                  <c:v>118991.70999999999</c:v>
                </c:pt>
                <c:pt idx="17">
                  <c:v>122539.34000000001</c:v>
                </c:pt>
                <c:pt idx="18">
                  <c:v>39864.67</c:v>
                </c:pt>
                <c:pt idx="19">
                  <c:v>41140.22</c:v>
                </c:pt>
                <c:pt idx="20">
                  <c:v>47663.909999999996</c:v>
                </c:pt>
                <c:pt idx="21">
                  <c:v>17490.179999999997</c:v>
                </c:pt>
                <c:pt idx="22">
                  <c:v>0</c:v>
                </c:pt>
                <c:pt idx="23">
                  <c:v>35985.78</c:v>
                </c:pt>
                <c:pt idx="24">
                  <c:v>2851.54</c:v>
                </c:pt>
                <c:pt idx="25">
                  <c:v>12550.400000000001</c:v>
                </c:pt>
                <c:pt idx="26">
                  <c:v>14655.31</c:v>
                </c:pt>
                <c:pt idx="27">
                  <c:v>14529.03</c:v>
                </c:pt>
                <c:pt idx="28">
                  <c:v>45825.749999999993</c:v>
                </c:pt>
                <c:pt idx="29">
                  <c:v>14722.46</c:v>
                </c:pt>
                <c:pt idx="30">
                  <c:v>48758.03</c:v>
                </c:pt>
                <c:pt idx="31">
                  <c:v>16694.329999999998</c:v>
                </c:pt>
                <c:pt idx="32">
                  <c:v>30262.950000000004</c:v>
                </c:pt>
                <c:pt idx="33">
                  <c:v>31055.199999999997</c:v>
                </c:pt>
                <c:pt idx="34">
                  <c:v>8742.43</c:v>
                </c:pt>
                <c:pt idx="35">
                  <c:v>0</c:v>
                </c:pt>
                <c:pt idx="36">
                  <c:v>0</c:v>
                </c:pt>
                <c:pt idx="37">
                  <c:v>0</c:v>
                </c:pt>
                <c:pt idx="38">
                  <c:v>0</c:v>
                </c:pt>
                <c:pt idx="39">
                  <c:v>0</c:v>
                </c:pt>
              </c:numCache>
            </c:numRef>
          </c:val>
          <c:extLst>
            <c:ext xmlns:c16="http://schemas.microsoft.com/office/drawing/2014/chart" uri="{C3380CC4-5D6E-409C-BE32-E72D297353CC}">
              <c16:uniqueId val="{00000002-F22F-4156-A49E-FCD228CFA5F4}"/>
            </c:ext>
          </c:extLst>
        </c:ser>
        <c:ser>
          <c:idx val="3"/>
          <c:order val="3"/>
          <c:tx>
            <c:strRef>
              <c:f>建替時期別延床面積!$T$2</c:f>
              <c:strCache>
                <c:ptCount val="1"/>
                <c:pt idx="0">
                  <c:v>府営住宅</c:v>
                </c:pt>
              </c:strCache>
            </c:strRef>
          </c:tx>
          <c:spPr>
            <a:solidFill>
              <a:schemeClr val="tx1"/>
            </a:solid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建替時期別延床面積!$T$3:$T$42</c:f>
              <c:numCache>
                <c:formatCode>#,##0.00</c:formatCode>
                <c:ptCount val="40"/>
                <c:pt idx="0">
                  <c:v>455737.74</c:v>
                </c:pt>
                <c:pt idx="1">
                  <c:v>504987.41000000003</c:v>
                </c:pt>
                <c:pt idx="2">
                  <c:v>160191.01999999999</c:v>
                </c:pt>
                <c:pt idx="3">
                  <c:v>460779.3</c:v>
                </c:pt>
                <c:pt idx="4">
                  <c:v>370320.88</c:v>
                </c:pt>
                <c:pt idx="5">
                  <c:v>511968.43000000005</c:v>
                </c:pt>
                <c:pt idx="6">
                  <c:v>594041.65999999992</c:v>
                </c:pt>
                <c:pt idx="7">
                  <c:v>139941.89000000001</c:v>
                </c:pt>
                <c:pt idx="8">
                  <c:v>320365.57</c:v>
                </c:pt>
                <c:pt idx="9">
                  <c:v>162599.23000000004</c:v>
                </c:pt>
                <c:pt idx="10">
                  <c:v>127661.95000000001</c:v>
                </c:pt>
                <c:pt idx="11">
                  <c:v>87595.61</c:v>
                </c:pt>
                <c:pt idx="12">
                  <c:v>115489.46999999997</c:v>
                </c:pt>
                <c:pt idx="13">
                  <c:v>116903.78999999998</c:v>
                </c:pt>
                <c:pt idx="14">
                  <c:v>106023.65</c:v>
                </c:pt>
                <c:pt idx="15">
                  <c:v>69354.94</c:v>
                </c:pt>
                <c:pt idx="16">
                  <c:v>54898.93</c:v>
                </c:pt>
                <c:pt idx="17">
                  <c:v>128540.88999999998</c:v>
                </c:pt>
                <c:pt idx="18">
                  <c:v>39558.99</c:v>
                </c:pt>
                <c:pt idx="19">
                  <c:v>65728.399999999994</c:v>
                </c:pt>
                <c:pt idx="20">
                  <c:v>23546.5</c:v>
                </c:pt>
                <c:pt idx="21">
                  <c:v>3198.5899999999997</c:v>
                </c:pt>
                <c:pt idx="22">
                  <c:v>130758.48999999999</c:v>
                </c:pt>
                <c:pt idx="23">
                  <c:v>78541.67</c:v>
                </c:pt>
                <c:pt idx="24">
                  <c:v>88701.16</c:v>
                </c:pt>
                <c:pt idx="25">
                  <c:v>271081.12999999995</c:v>
                </c:pt>
                <c:pt idx="26">
                  <c:v>132148.82999999999</c:v>
                </c:pt>
                <c:pt idx="27">
                  <c:v>76537.569999999992</c:v>
                </c:pt>
                <c:pt idx="28">
                  <c:v>172454.15</c:v>
                </c:pt>
                <c:pt idx="29">
                  <c:v>171427.02</c:v>
                </c:pt>
                <c:pt idx="30">
                  <c:v>198676.31999999998</c:v>
                </c:pt>
                <c:pt idx="31">
                  <c:v>291510.36</c:v>
                </c:pt>
                <c:pt idx="32">
                  <c:v>247329.03999999998</c:v>
                </c:pt>
                <c:pt idx="33">
                  <c:v>110647.15000000001</c:v>
                </c:pt>
                <c:pt idx="34">
                  <c:v>159923.08000000002</c:v>
                </c:pt>
                <c:pt idx="35">
                  <c:v>97359.26999999999</c:v>
                </c:pt>
                <c:pt idx="36">
                  <c:v>66429.72</c:v>
                </c:pt>
                <c:pt idx="37">
                  <c:v>60218.32</c:v>
                </c:pt>
                <c:pt idx="38">
                  <c:v>107601.10999999999</c:v>
                </c:pt>
                <c:pt idx="39">
                  <c:v>51998.720000000001</c:v>
                </c:pt>
              </c:numCache>
            </c:numRef>
          </c:val>
          <c:extLst>
            <c:ext xmlns:c16="http://schemas.microsoft.com/office/drawing/2014/chart" uri="{C3380CC4-5D6E-409C-BE32-E72D297353CC}">
              <c16:uniqueId val="{00000003-F22F-4156-A49E-FCD228CFA5F4}"/>
            </c:ext>
          </c:extLst>
        </c:ser>
        <c:ser>
          <c:idx val="4"/>
          <c:order val="4"/>
          <c:tx>
            <c:strRef>
              <c:f>建替時期別延床面積!$U$2</c:f>
              <c:strCache>
                <c:ptCount val="1"/>
                <c:pt idx="0">
                  <c:v>市場施設</c:v>
                </c:pt>
              </c:strCache>
            </c:strRef>
          </c:tx>
          <c:spPr>
            <a:pattFill prst="dkHorz">
              <a:fgClr>
                <a:schemeClr val="accent1"/>
              </a:fgClr>
              <a:bgClr>
                <a:schemeClr val="bg1"/>
              </a:bgClr>
            </a:pattFill>
            <a:effectLst>
              <a:glow>
                <a:schemeClr val="accent1">
                  <a:alpha val="40000"/>
                </a:schemeClr>
              </a:glow>
              <a:softEdge rad="0"/>
            </a:effectLst>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建替時期別延床面積!$U$3:$U$42</c:f>
              <c:numCache>
                <c:formatCode>#,##0.00</c:formatCode>
                <c:ptCount val="40"/>
                <c:pt idx="0">
                  <c:v>0</c:v>
                </c:pt>
                <c:pt idx="1">
                  <c:v>0</c:v>
                </c:pt>
                <c:pt idx="2">
                  <c:v>0</c:v>
                </c:pt>
                <c:pt idx="3">
                  <c:v>0</c:v>
                </c:pt>
                <c:pt idx="4">
                  <c:v>0</c:v>
                </c:pt>
                <c:pt idx="5">
                  <c:v>0</c:v>
                </c:pt>
                <c:pt idx="6">
                  <c:v>0</c:v>
                </c:pt>
                <c:pt idx="7">
                  <c:v>0</c:v>
                </c:pt>
                <c:pt idx="8">
                  <c:v>0</c:v>
                </c:pt>
                <c:pt idx="9">
                  <c:v>0</c:v>
                </c:pt>
                <c:pt idx="10">
                  <c:v>0</c:v>
                </c:pt>
                <c:pt idx="11">
                  <c:v>0</c:v>
                </c:pt>
                <c:pt idx="12">
                  <c:v>134982</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numCache>
            </c:numRef>
          </c:val>
          <c:extLst>
            <c:ext xmlns:c16="http://schemas.microsoft.com/office/drawing/2014/chart" uri="{C3380CC4-5D6E-409C-BE32-E72D297353CC}">
              <c16:uniqueId val="{00000004-F22F-4156-A49E-FCD228CFA5F4}"/>
            </c:ext>
          </c:extLst>
        </c:ser>
        <c:ser>
          <c:idx val="5"/>
          <c:order val="5"/>
          <c:tx>
            <c:strRef>
              <c:f>建替時期別施設数!$V$2</c:f>
              <c:strCache>
                <c:ptCount val="1"/>
                <c:pt idx="0">
                  <c:v>その他</c:v>
                </c:pt>
              </c:strCache>
            </c:strRef>
          </c:tx>
          <c:spPr>
            <a:pattFill prst="lgCheck">
              <a:fgClr>
                <a:schemeClr val="accent1"/>
              </a:fgClr>
              <a:bgClr>
                <a:schemeClr val="bg1"/>
              </a:bgClr>
            </a:pattFill>
          </c:spPr>
          <c:invertIfNegative val="0"/>
          <c:cat>
            <c:numRef>
              <c:f>建替時期別施設数!$P$3:$P$42</c:f>
              <c:numCache>
                <c:formatCode>General</c:formatCode>
                <c:ptCount val="40"/>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numCache>
            </c:numRef>
          </c:cat>
          <c:val>
            <c:numRef>
              <c:f>建替時期別延床面積!$V$3:$V$42</c:f>
              <c:numCache>
                <c:formatCode>#,##0.00</c:formatCode>
                <c:ptCount val="40"/>
                <c:pt idx="0">
                  <c:v>3777.5499999999997</c:v>
                </c:pt>
                <c:pt idx="1">
                  <c:v>41302.699999999997</c:v>
                </c:pt>
                <c:pt idx="2">
                  <c:v>12228.4</c:v>
                </c:pt>
                <c:pt idx="3">
                  <c:v>3797.17</c:v>
                </c:pt>
                <c:pt idx="4">
                  <c:v>111829.70000000001</c:v>
                </c:pt>
                <c:pt idx="5">
                  <c:v>27230.74</c:v>
                </c:pt>
                <c:pt idx="6">
                  <c:v>25731.879999999997</c:v>
                </c:pt>
                <c:pt idx="7">
                  <c:v>26703.359999999997</c:v>
                </c:pt>
                <c:pt idx="8">
                  <c:v>31833.420000000002</c:v>
                </c:pt>
                <c:pt idx="9">
                  <c:v>8617.23</c:v>
                </c:pt>
                <c:pt idx="10">
                  <c:v>38326.409999999996</c:v>
                </c:pt>
                <c:pt idx="11">
                  <c:v>7944.9699999999993</c:v>
                </c:pt>
                <c:pt idx="12">
                  <c:v>25513.46</c:v>
                </c:pt>
                <c:pt idx="13">
                  <c:v>1931.0600000000002</c:v>
                </c:pt>
                <c:pt idx="14">
                  <c:v>3201</c:v>
                </c:pt>
                <c:pt idx="15">
                  <c:v>75170.530000000013</c:v>
                </c:pt>
                <c:pt idx="16">
                  <c:v>9249.2000000000007</c:v>
                </c:pt>
                <c:pt idx="17">
                  <c:v>13176.040000000003</c:v>
                </c:pt>
                <c:pt idx="18">
                  <c:v>32936.53</c:v>
                </c:pt>
                <c:pt idx="19">
                  <c:v>12852.029999999999</c:v>
                </c:pt>
                <c:pt idx="20">
                  <c:v>61824.3</c:v>
                </c:pt>
                <c:pt idx="21">
                  <c:v>39653.839999999997</c:v>
                </c:pt>
                <c:pt idx="22">
                  <c:v>14763.86</c:v>
                </c:pt>
                <c:pt idx="23">
                  <c:v>66319.789999999994</c:v>
                </c:pt>
                <c:pt idx="24">
                  <c:v>15085.180000000002</c:v>
                </c:pt>
                <c:pt idx="25">
                  <c:v>4608.21</c:v>
                </c:pt>
                <c:pt idx="26">
                  <c:v>28073.739999999998</c:v>
                </c:pt>
                <c:pt idx="27">
                  <c:v>20649.18</c:v>
                </c:pt>
                <c:pt idx="28">
                  <c:v>29071.9</c:v>
                </c:pt>
                <c:pt idx="29">
                  <c:v>76223.330000000016</c:v>
                </c:pt>
                <c:pt idx="30">
                  <c:v>56013.719999999987</c:v>
                </c:pt>
                <c:pt idx="31">
                  <c:v>14729.37</c:v>
                </c:pt>
                <c:pt idx="32">
                  <c:v>22546.97</c:v>
                </c:pt>
                <c:pt idx="33">
                  <c:v>80041.009999999995</c:v>
                </c:pt>
                <c:pt idx="34">
                  <c:v>7240.17</c:v>
                </c:pt>
                <c:pt idx="35">
                  <c:v>2057.79</c:v>
                </c:pt>
                <c:pt idx="36">
                  <c:v>37896.789999999994</c:v>
                </c:pt>
                <c:pt idx="37">
                  <c:v>10266.379999999999</c:v>
                </c:pt>
                <c:pt idx="38">
                  <c:v>11390.94</c:v>
                </c:pt>
                <c:pt idx="39">
                  <c:v>16293.089999999998</c:v>
                </c:pt>
              </c:numCache>
            </c:numRef>
          </c:val>
          <c:extLst>
            <c:ext xmlns:c16="http://schemas.microsoft.com/office/drawing/2014/chart" uri="{C3380CC4-5D6E-409C-BE32-E72D297353CC}">
              <c16:uniqueId val="{00000005-F22F-4156-A49E-FCD228CFA5F4}"/>
            </c:ext>
          </c:extLst>
        </c:ser>
        <c:dLbls>
          <c:showLegendKey val="0"/>
          <c:showVal val="0"/>
          <c:showCatName val="0"/>
          <c:showSerName val="0"/>
          <c:showPercent val="0"/>
          <c:showBubbleSize val="0"/>
        </c:dLbls>
        <c:gapWidth val="35"/>
        <c:overlap val="100"/>
        <c:axId val="224037888"/>
        <c:axId val="238429888"/>
      </c:barChart>
      <c:catAx>
        <c:axId val="224037888"/>
        <c:scaling>
          <c:orientation val="minMax"/>
        </c:scaling>
        <c:delete val="0"/>
        <c:axPos val="b"/>
        <c:title>
          <c:tx>
            <c:rich>
              <a:bodyPr/>
              <a:lstStyle/>
              <a:p>
                <a:pPr>
                  <a:defRPr b="0"/>
                </a:pPr>
                <a:r>
                  <a:rPr lang="ja-JP" altLang="en-US" sz="800" b="0">
                    <a:latin typeface="ＭＳ ゴシック" panose="020B0609070205080204" pitchFamily="49" charset="-128"/>
                    <a:ea typeface="ＭＳ ゴシック" panose="020B0609070205080204" pitchFamily="49" charset="-128"/>
                  </a:rPr>
                  <a:t>（建替年度）</a:t>
                </a:r>
              </a:p>
            </c:rich>
          </c:tx>
          <c:layout>
            <c:manualLayout>
              <c:xMode val="edge"/>
              <c:yMode val="edge"/>
              <c:x val="0.89399293286219061"/>
              <c:y val="0.94747157977263818"/>
            </c:manualLayout>
          </c:layout>
          <c:overlay val="0"/>
        </c:title>
        <c:numFmt formatCode="General" sourceLinked="1"/>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38429888"/>
        <c:crosses val="autoZero"/>
        <c:auto val="1"/>
        <c:lblAlgn val="ctr"/>
        <c:lblOffset val="100"/>
        <c:tickLblSkip val="3"/>
        <c:noMultiLvlLbl val="0"/>
      </c:catAx>
      <c:valAx>
        <c:axId val="238429888"/>
        <c:scaling>
          <c:orientation val="minMax"/>
        </c:scaling>
        <c:delete val="0"/>
        <c:axPos val="l"/>
        <c:majorGridlines/>
        <c:title>
          <c:tx>
            <c:rich>
              <a:bodyPr rot="0" vert="horz"/>
              <a:lstStyle/>
              <a:p>
                <a:pPr>
                  <a:defRPr b="0">
                    <a:latin typeface="ＭＳ Ｐゴシック" panose="020B0600070205080204" pitchFamily="50" charset="-128"/>
                    <a:ea typeface="ＭＳ Ｐゴシック" panose="020B0600070205080204" pitchFamily="50" charset="-128"/>
                  </a:defRPr>
                </a:pPr>
                <a:r>
                  <a:rPr lang="ja-JP" altLang="en-US" b="0">
                    <a:latin typeface="ＭＳ Ｐゴシック" panose="020B0600070205080204" pitchFamily="50" charset="-128"/>
                    <a:ea typeface="ＭＳ Ｐゴシック" panose="020B0600070205080204" pitchFamily="50" charset="-128"/>
                  </a:rPr>
                  <a:t>（㎡）</a:t>
                </a:r>
              </a:p>
            </c:rich>
          </c:tx>
          <c:layout>
            <c:manualLayout>
              <c:xMode val="edge"/>
              <c:yMode val="edge"/>
              <c:x val="3.5035992593949017E-2"/>
              <c:y val="3.2571139309271954E-2"/>
            </c:manualLayout>
          </c:layout>
          <c:overlay val="0"/>
        </c:title>
        <c:numFmt formatCode="#,##0" sourceLinked="0"/>
        <c:majorTickMark val="out"/>
        <c:minorTickMark val="none"/>
        <c:tickLblPos val="nextTo"/>
        <c:txPr>
          <a:bodyPr/>
          <a:lstStyle/>
          <a:p>
            <a:pPr>
              <a:defRPr>
                <a:latin typeface="ＭＳ ゴシック" panose="020B0609070205080204" pitchFamily="49" charset="-128"/>
                <a:ea typeface="ＭＳ ゴシック" panose="020B0609070205080204" pitchFamily="49" charset="-128"/>
              </a:defRPr>
            </a:pPr>
            <a:endParaRPr lang="ja-JP"/>
          </a:p>
        </c:txPr>
        <c:crossAx val="224037888"/>
        <c:crosses val="autoZero"/>
        <c:crossBetween val="between"/>
      </c:valAx>
    </c:plotArea>
    <c:legend>
      <c:legendPos val="r"/>
      <c:layout>
        <c:manualLayout>
          <c:xMode val="edge"/>
          <c:yMode val="edge"/>
          <c:x val="0.8129497214909992"/>
          <c:y val="1.9563721707818928E-2"/>
          <c:w val="0.18541780215617379"/>
          <c:h val="0.46762794889760684"/>
        </c:manualLayout>
      </c:layout>
      <c:overlay val="0"/>
      <c:spPr>
        <a:solidFill>
          <a:schemeClr val="bg1"/>
        </a:solidFill>
      </c:spPr>
      <c:txPr>
        <a:bodyPr/>
        <a:lstStyle/>
        <a:p>
          <a:pPr>
            <a:defRPr sz="1400">
              <a:latin typeface="ＭＳ ゴシック" panose="020B0609070205080204" pitchFamily="49" charset="-128"/>
              <a:ea typeface="ＭＳ ゴシック" panose="020B0609070205080204" pitchFamily="49" charset="-128"/>
            </a:defRPr>
          </a:pPr>
          <a:endParaRPr lang="ja-JP"/>
        </a:p>
      </c:txPr>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ja-JP" altLang="en-US" sz="900" b="1">
                <a:latin typeface="+mj-ea"/>
                <a:ea typeface="+mj-ea"/>
              </a:rPr>
              <a:t>大阪府の人口推移と将来推計（</a:t>
            </a:r>
            <a:r>
              <a:rPr lang="en-US" altLang="ja-JP" sz="900" b="1">
                <a:latin typeface="+mj-ea"/>
                <a:ea typeface="+mj-ea"/>
              </a:rPr>
              <a:t>1965(S40)</a:t>
            </a:r>
            <a:r>
              <a:rPr lang="ja-JP" altLang="en-US" sz="900" b="1">
                <a:latin typeface="+mj-ea"/>
                <a:ea typeface="+mj-ea"/>
              </a:rPr>
              <a:t>～</a:t>
            </a:r>
            <a:r>
              <a:rPr lang="en-US" altLang="ja-JP" sz="900" b="1">
                <a:latin typeface="+mj-ea"/>
                <a:ea typeface="+mj-ea"/>
              </a:rPr>
              <a:t>2045(R27)</a:t>
            </a:r>
            <a:r>
              <a:rPr lang="ja-JP" altLang="en-US" sz="900" b="1">
                <a:latin typeface="+mj-ea"/>
                <a:ea typeface="+mj-ea"/>
              </a:rPr>
              <a:t>）</a:t>
            </a:r>
          </a:p>
        </c:rich>
      </c:tx>
      <c:layout>
        <c:manualLayout>
          <c:xMode val="edge"/>
          <c:yMode val="edge"/>
          <c:x val="0.2869097779242486"/>
          <c:y val="7.6712114671866408E-3"/>
        </c:manualLayout>
      </c:layout>
      <c:overlay val="0"/>
    </c:title>
    <c:autoTitleDeleted val="0"/>
    <c:plotArea>
      <c:layout>
        <c:manualLayout>
          <c:layoutTarget val="inner"/>
          <c:xMode val="edge"/>
          <c:yMode val="edge"/>
          <c:x val="9.20796665122742E-2"/>
          <c:y val="8.1370457439277497E-2"/>
          <c:w val="0.87861909991157872"/>
          <c:h val="0.68525110519030119"/>
        </c:manualLayout>
      </c:layout>
      <c:lineChart>
        <c:grouping val="standard"/>
        <c:varyColors val="0"/>
        <c:ser>
          <c:idx val="0"/>
          <c:order val="0"/>
          <c:tx>
            <c:strRef>
              <c:f>'P3,P9'!$B$5</c:f>
              <c:strCache>
                <c:ptCount val="1"/>
                <c:pt idx="0">
                  <c:v>国勢調査</c:v>
                </c:pt>
              </c:strCache>
            </c:strRef>
          </c:tx>
          <c:spPr>
            <a:ln w="19050"/>
          </c:spPr>
          <c:marker>
            <c:symbol val="diamond"/>
            <c:size val="5"/>
          </c:marker>
          <c:dPt>
            <c:idx val="10"/>
            <c:bubble3D val="0"/>
            <c:spPr>
              <a:ln w="19050">
                <a:solidFill>
                  <a:schemeClr val="accent1">
                    <a:shade val="95000"/>
                    <a:satMod val="105000"/>
                  </a:schemeClr>
                </a:solidFill>
              </a:ln>
            </c:spPr>
            <c:extLst>
              <c:ext xmlns:c16="http://schemas.microsoft.com/office/drawing/2014/chart" uri="{C3380CC4-5D6E-409C-BE32-E72D297353CC}">
                <c16:uniqueId val="{00000001-F509-486E-BA5B-0C670B1520C8}"/>
              </c:ext>
            </c:extLst>
          </c:dPt>
          <c:dPt>
            <c:idx val="11"/>
            <c:bubble3D val="0"/>
            <c:spPr>
              <a:ln w="19050">
                <a:prstDash val="sysDash"/>
              </a:ln>
            </c:spPr>
            <c:extLst>
              <c:ext xmlns:c16="http://schemas.microsoft.com/office/drawing/2014/chart" uri="{C3380CC4-5D6E-409C-BE32-E72D297353CC}">
                <c16:uniqueId val="{00000003-F509-486E-BA5B-0C670B1520C8}"/>
              </c:ext>
            </c:extLst>
          </c:dPt>
          <c:dPt>
            <c:idx val="12"/>
            <c:bubble3D val="0"/>
            <c:spPr>
              <a:ln w="19050">
                <a:prstDash val="sysDash"/>
              </a:ln>
            </c:spPr>
            <c:extLst>
              <c:ext xmlns:c16="http://schemas.microsoft.com/office/drawing/2014/chart" uri="{C3380CC4-5D6E-409C-BE32-E72D297353CC}">
                <c16:uniqueId val="{00000005-F509-486E-BA5B-0C670B1520C8}"/>
              </c:ext>
            </c:extLst>
          </c:dPt>
          <c:dPt>
            <c:idx val="13"/>
            <c:bubble3D val="0"/>
            <c:spPr>
              <a:ln w="19050">
                <a:prstDash val="sysDash"/>
              </a:ln>
            </c:spPr>
            <c:extLst>
              <c:ext xmlns:c16="http://schemas.microsoft.com/office/drawing/2014/chart" uri="{C3380CC4-5D6E-409C-BE32-E72D297353CC}">
                <c16:uniqueId val="{00000007-F509-486E-BA5B-0C670B1520C8}"/>
              </c:ext>
            </c:extLst>
          </c:dPt>
          <c:dPt>
            <c:idx val="14"/>
            <c:bubble3D val="0"/>
            <c:spPr>
              <a:ln w="19050">
                <a:prstDash val="sysDash"/>
              </a:ln>
            </c:spPr>
            <c:extLst>
              <c:ext xmlns:c16="http://schemas.microsoft.com/office/drawing/2014/chart" uri="{C3380CC4-5D6E-409C-BE32-E72D297353CC}">
                <c16:uniqueId val="{00000009-F509-486E-BA5B-0C670B1520C8}"/>
              </c:ext>
            </c:extLst>
          </c:dPt>
          <c:dPt>
            <c:idx val="15"/>
            <c:bubble3D val="0"/>
            <c:spPr>
              <a:ln w="19050">
                <a:prstDash val="sysDash"/>
              </a:ln>
            </c:spPr>
            <c:extLst>
              <c:ext xmlns:c16="http://schemas.microsoft.com/office/drawing/2014/chart" uri="{C3380CC4-5D6E-409C-BE32-E72D297353CC}">
                <c16:uniqueId val="{0000000B-F509-486E-BA5B-0C670B1520C8}"/>
              </c:ext>
            </c:extLst>
          </c:dPt>
          <c:dPt>
            <c:idx val="16"/>
            <c:bubble3D val="0"/>
            <c:spPr>
              <a:ln w="19050">
                <a:prstDash val="sysDash"/>
              </a:ln>
            </c:spPr>
            <c:extLst>
              <c:ext xmlns:c16="http://schemas.microsoft.com/office/drawing/2014/chart" uri="{C3380CC4-5D6E-409C-BE32-E72D297353CC}">
                <c16:uniqueId val="{0000000D-F509-486E-BA5B-0C670B1520C8}"/>
              </c:ext>
            </c:extLst>
          </c:dPt>
          <c:dPt>
            <c:idx val="17"/>
            <c:bubble3D val="0"/>
            <c:spPr>
              <a:ln w="12700">
                <a:prstDash val="dash"/>
              </a:ln>
            </c:spPr>
            <c:extLst>
              <c:ext xmlns:c16="http://schemas.microsoft.com/office/drawing/2014/chart" uri="{C3380CC4-5D6E-409C-BE32-E72D297353CC}">
                <c16:uniqueId val="{0000000F-F509-486E-BA5B-0C670B1520C8}"/>
              </c:ext>
            </c:extLst>
          </c:dPt>
          <c:dPt>
            <c:idx val="18"/>
            <c:bubble3D val="0"/>
            <c:spPr>
              <a:ln w="12700">
                <a:prstDash val="dash"/>
              </a:ln>
            </c:spPr>
            <c:extLst>
              <c:ext xmlns:c16="http://schemas.microsoft.com/office/drawing/2014/chart" uri="{C3380CC4-5D6E-409C-BE32-E72D297353CC}">
                <c16:uniqueId val="{00000011-F509-486E-BA5B-0C670B1520C8}"/>
              </c:ext>
            </c:extLst>
          </c:dPt>
          <c:dPt>
            <c:idx val="19"/>
            <c:bubble3D val="0"/>
            <c:spPr>
              <a:ln w="12700">
                <a:prstDash val="dash"/>
              </a:ln>
            </c:spPr>
            <c:extLst>
              <c:ext xmlns:c16="http://schemas.microsoft.com/office/drawing/2014/chart" uri="{C3380CC4-5D6E-409C-BE32-E72D297353CC}">
                <c16:uniqueId val="{00000013-F509-486E-BA5B-0C670B1520C8}"/>
              </c:ext>
            </c:extLst>
          </c:dPt>
          <c:dPt>
            <c:idx val="20"/>
            <c:bubble3D val="0"/>
            <c:spPr>
              <a:ln w="12700">
                <a:prstDash val="dash"/>
              </a:ln>
            </c:spPr>
            <c:extLst>
              <c:ext xmlns:c16="http://schemas.microsoft.com/office/drawing/2014/chart" uri="{C3380CC4-5D6E-409C-BE32-E72D297353CC}">
                <c16:uniqueId val="{00000015-F509-486E-BA5B-0C670B1520C8}"/>
              </c:ext>
            </c:extLst>
          </c:dPt>
          <c:dLbls>
            <c:dLbl>
              <c:idx val="0"/>
              <c:layout>
                <c:manualLayout>
                  <c:x val="-4.845608748629153E-3"/>
                  <c:y val="-7.9751763168644674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F509-486E-BA5B-0C670B1520C8}"/>
                </c:ext>
              </c:extLst>
            </c:dLbl>
            <c:dLbl>
              <c:idx val="1"/>
              <c:layout>
                <c:manualLayout>
                  <c:x val="-6.0043440551046288E-2"/>
                  <c:y val="-2.77525572860692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F509-486E-BA5B-0C670B1520C8}"/>
                </c:ext>
              </c:extLst>
            </c:dLbl>
            <c:dLbl>
              <c:idx val="3"/>
              <c:spPr>
                <a:solidFill>
                  <a:schemeClr val="bg1"/>
                </a:solidFill>
                <a:ln>
                  <a:noFill/>
                </a:ln>
                <a:effectLst/>
              </c:spPr>
              <c:txPr>
                <a:bodyPr wrap="square" lIns="38100" tIns="19050" rIns="38100" bIns="19050" anchor="ctr">
                  <a:spAutoFit/>
                </a:bodyPr>
                <a:lstStyle/>
                <a:p>
                  <a:pPr>
                    <a:defRPr sz="900" baseline="0"/>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17-4966-4E34-9A84-DBCDE5742781}"/>
                </c:ext>
              </c:extLst>
            </c:dLbl>
            <c:dLbl>
              <c:idx val="4"/>
              <c:layout>
                <c:manualLayout>
                  <c:x val="-3.9373891822844176E-2"/>
                  <c:y val="-5.3149234181266117E-2"/>
                </c:manualLayout>
              </c:layout>
              <c:spPr>
                <a:solidFill>
                  <a:schemeClr val="bg1"/>
                </a:solidFill>
                <a:ln>
                  <a:noFill/>
                </a:ln>
                <a:effectLst/>
              </c:spPr>
              <c:txPr>
                <a:bodyPr wrap="square" lIns="38100" tIns="19050" rIns="38100" bIns="19050" anchor="ctr">
                  <a:spAutoFit/>
                </a:bodyPr>
                <a:lstStyle/>
                <a:p>
                  <a:pPr>
                    <a:defRPr sz="900" baseline="0"/>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F509-486E-BA5B-0C670B1520C8}"/>
                </c:ext>
              </c:extLst>
            </c:dLbl>
            <c:dLbl>
              <c:idx val="5"/>
              <c:layout>
                <c:manualLayout>
                  <c:x val="-3.937407339821021E-2"/>
                  <c:y val="-5.6229254424482407E-2"/>
                </c:manualLayout>
              </c:layout>
              <c:spPr>
                <a:solidFill>
                  <a:sysClr val="window" lastClr="FFFFFF"/>
                </a:solidFill>
                <a:ln>
                  <a:noFill/>
                </a:ln>
                <a:effectLst/>
              </c:spPr>
              <c:txPr>
                <a:bodyPr wrap="square" lIns="38100" tIns="19050" rIns="38100" bIns="19050" anchor="ctr">
                  <a:spAutoFit/>
                </a:bodyPr>
                <a:lstStyle/>
                <a:p>
                  <a:pPr>
                    <a:defRPr sz="900" baseline="0"/>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F509-486E-BA5B-0C670B1520C8}"/>
                </c:ext>
              </c:extLst>
            </c:dLbl>
            <c:dLbl>
              <c:idx val="9"/>
              <c:layout>
                <c:manualLayout>
                  <c:x val="-4.1651827714830503E-2"/>
                  <c:y val="-5.05719721187451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F509-486E-BA5B-0C670B1520C8}"/>
                </c:ext>
              </c:extLst>
            </c:dLbl>
            <c:dLbl>
              <c:idx val="10"/>
              <c:layout/>
              <c:tx>
                <c:rich>
                  <a:bodyPr wrap="square" lIns="38100" tIns="19050" rIns="38100" bIns="19050" anchor="ctr">
                    <a:spAutoFit/>
                  </a:bodyPr>
                  <a:lstStyle/>
                  <a:p>
                    <a:pPr>
                      <a:defRPr sz="900" b="1" i="0" baseline="0"/>
                    </a:pPr>
                    <a:fld id="{622B9D95-4E60-4E1D-B179-DF8C65625578}" type="VALUE">
                      <a:rPr lang="en-US" altLang="ja-JP" sz="900" b="1" i="0" baseline="0">
                        <a:solidFill>
                          <a:srgbClr val="FF0000"/>
                        </a:solidFill>
                      </a:rPr>
                      <a:pPr>
                        <a:defRPr sz="900" b="1" i="0" baseline="0"/>
                      </a:pPr>
                      <a:t>[値]</a:t>
                    </a:fld>
                    <a:endParaRPr lang="ja-JP" altLang="en-US"/>
                  </a:p>
                </c:rich>
              </c:tx>
              <c:spPr>
                <a:noFill/>
                <a:ln w="28575">
                  <a:solidFill>
                    <a:srgbClr val="FF0000"/>
                  </a:solidFill>
                </a:ln>
                <a:effectLst/>
              </c:spPr>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F509-486E-BA5B-0C670B1520C8}"/>
                </c:ext>
              </c:extLst>
            </c:dLbl>
            <c:dLbl>
              <c:idx val="11"/>
              <c:spPr>
                <a:ln>
                  <a:noFill/>
                </a:ln>
              </c:spPr>
              <c:txPr>
                <a:bodyPr/>
                <a:lstStyle/>
                <a:p>
                  <a:pPr>
                    <a:defRPr sz="900" b="1" baseline="0"/>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3-F509-486E-BA5B-0C670B1520C8}"/>
                </c:ext>
              </c:extLst>
            </c:dLbl>
            <c:dLbl>
              <c:idx val="12"/>
              <c:spPr/>
              <c:txPr>
                <a:bodyPr/>
                <a:lstStyle/>
                <a:p>
                  <a:pPr>
                    <a:defRPr sz="900" b="1" baseline="0"/>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5-F509-486E-BA5B-0C670B1520C8}"/>
                </c:ext>
              </c:extLst>
            </c:dLbl>
            <c:dLbl>
              <c:idx val="13"/>
              <c:spPr/>
              <c:txPr>
                <a:bodyPr/>
                <a:lstStyle/>
                <a:p>
                  <a:pPr>
                    <a:defRPr sz="900" b="1" baseline="0"/>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7-F509-486E-BA5B-0C670B1520C8}"/>
                </c:ext>
              </c:extLst>
            </c:dLbl>
            <c:dLbl>
              <c:idx val="14"/>
              <c:spPr/>
              <c:txPr>
                <a:bodyPr/>
                <a:lstStyle/>
                <a:p>
                  <a:pPr>
                    <a:defRPr sz="900" b="1" baseline="0"/>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9-F509-486E-BA5B-0C670B1520C8}"/>
                </c:ext>
              </c:extLst>
            </c:dLbl>
            <c:dLbl>
              <c:idx val="15"/>
              <c:spPr/>
              <c:txPr>
                <a:bodyPr/>
                <a:lstStyle/>
                <a:p>
                  <a:pPr>
                    <a:defRPr sz="900" b="1" baseline="0"/>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B-F509-486E-BA5B-0C670B1520C8}"/>
                </c:ext>
              </c:extLst>
            </c:dLbl>
            <c:dLbl>
              <c:idx val="16"/>
              <c:spPr/>
              <c:txPr>
                <a:bodyPr/>
                <a:lstStyle/>
                <a:p>
                  <a:pPr>
                    <a:defRPr sz="900" b="1" baseline="0"/>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0D-F509-486E-BA5B-0C670B1520C8}"/>
                </c:ext>
              </c:extLst>
            </c:dLbl>
            <c:spPr>
              <a:noFill/>
              <a:ln>
                <a:noFill/>
              </a:ln>
              <a:effectLst/>
            </c:spPr>
            <c:txPr>
              <a:bodyPr wrap="square" lIns="38100" tIns="19050" rIns="38100" bIns="19050" anchor="ctr">
                <a:spAutoFit/>
              </a:bodyPr>
              <a:lstStyle/>
              <a:p>
                <a:pPr>
                  <a:defRPr sz="900" baseline="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'P3,P9'!$C$4:$S$4</c:f>
              <c:numCache>
                <c:formatCode>General</c:formatCode>
                <c:ptCount val="17"/>
                <c:pt idx="0">
                  <c:v>1965</c:v>
                </c:pt>
                <c:pt idx="1">
                  <c:v>1970</c:v>
                </c:pt>
                <c:pt idx="2">
                  <c:v>1975</c:v>
                </c:pt>
                <c:pt idx="3">
                  <c:v>1980</c:v>
                </c:pt>
                <c:pt idx="4">
                  <c:v>1985</c:v>
                </c:pt>
                <c:pt idx="5">
                  <c:v>1990</c:v>
                </c:pt>
                <c:pt idx="6">
                  <c:v>1995</c:v>
                </c:pt>
                <c:pt idx="7">
                  <c:v>2000</c:v>
                </c:pt>
                <c:pt idx="8">
                  <c:v>2005</c:v>
                </c:pt>
                <c:pt idx="9">
                  <c:v>2010</c:v>
                </c:pt>
                <c:pt idx="10">
                  <c:v>2015</c:v>
                </c:pt>
                <c:pt idx="11">
                  <c:v>2020</c:v>
                </c:pt>
                <c:pt idx="12">
                  <c:v>2025</c:v>
                </c:pt>
                <c:pt idx="13">
                  <c:v>2030</c:v>
                </c:pt>
                <c:pt idx="14">
                  <c:v>2035</c:v>
                </c:pt>
                <c:pt idx="15">
                  <c:v>2040</c:v>
                </c:pt>
                <c:pt idx="16">
                  <c:v>2045</c:v>
                </c:pt>
              </c:numCache>
            </c:numRef>
          </c:cat>
          <c:val>
            <c:numRef>
              <c:f>'P3,P9'!$C$5:$S$5</c:f>
              <c:numCache>
                <c:formatCode>0</c:formatCode>
                <c:ptCount val="17"/>
                <c:pt idx="0">
                  <c:v>665.71889999999996</c:v>
                </c:pt>
                <c:pt idx="1">
                  <c:v>762.048</c:v>
                </c:pt>
                <c:pt idx="2">
                  <c:v>827.89250000000004</c:v>
                </c:pt>
                <c:pt idx="3">
                  <c:v>847.34460000000001</c:v>
                </c:pt>
                <c:pt idx="4">
                  <c:v>866.80949999999996</c:v>
                </c:pt>
                <c:pt idx="5">
                  <c:v>873.45159999999998</c:v>
                </c:pt>
                <c:pt idx="6">
                  <c:v>879.72680000000003</c:v>
                </c:pt>
                <c:pt idx="7">
                  <c:v>880.50810000000001</c:v>
                </c:pt>
                <c:pt idx="8">
                  <c:v>881.71659999999997</c:v>
                </c:pt>
                <c:pt idx="9">
                  <c:v>886.52449999999999</c:v>
                </c:pt>
                <c:pt idx="10">
                  <c:v>883.94690000000003</c:v>
                </c:pt>
              </c:numCache>
            </c:numRef>
          </c:val>
          <c:smooth val="0"/>
          <c:extLst>
            <c:ext xmlns:c16="http://schemas.microsoft.com/office/drawing/2014/chart" uri="{C3380CC4-5D6E-409C-BE32-E72D297353CC}">
              <c16:uniqueId val="{0000001B-F509-486E-BA5B-0C670B1520C8}"/>
            </c:ext>
          </c:extLst>
        </c:ser>
        <c:ser>
          <c:idx val="1"/>
          <c:order val="1"/>
          <c:tx>
            <c:strRef>
              <c:f>'P3,P9'!$B$6</c:f>
              <c:strCache>
                <c:ptCount val="1"/>
                <c:pt idx="0">
                  <c:v>2018年府推計</c:v>
                </c:pt>
              </c:strCache>
            </c:strRef>
          </c:tx>
          <c:spPr>
            <a:ln w="19050">
              <a:prstDash val="dash"/>
            </a:ln>
          </c:spPr>
          <c:marker>
            <c:symbol val="square"/>
            <c:size val="5"/>
          </c:marker>
          <c:dPt>
            <c:idx val="10"/>
            <c:marker>
              <c:spPr>
                <a:noFill/>
                <a:ln>
                  <a:noFill/>
                </a:ln>
              </c:spPr>
            </c:marker>
            <c:bubble3D val="0"/>
            <c:extLst>
              <c:ext xmlns:c16="http://schemas.microsoft.com/office/drawing/2014/chart" uri="{C3380CC4-5D6E-409C-BE32-E72D297353CC}">
                <c16:uniqueId val="{0000001C-F509-486E-BA5B-0C670B1520C8}"/>
              </c:ext>
            </c:extLst>
          </c:dPt>
          <c:dLbls>
            <c:dLbl>
              <c:idx val="10"/>
              <c:delete val="1"/>
              <c:extLst>
                <c:ext xmlns:c15="http://schemas.microsoft.com/office/drawing/2012/chart" uri="{CE6537A1-D6FC-4f65-9D91-7224C49458BB}"/>
                <c:ext xmlns:c16="http://schemas.microsoft.com/office/drawing/2014/chart" uri="{C3380CC4-5D6E-409C-BE32-E72D297353CC}">
                  <c16:uniqueId val="{0000001C-F509-486E-BA5B-0C670B1520C8}"/>
                </c:ext>
              </c:extLst>
            </c:dLbl>
            <c:dLbl>
              <c:idx val="11"/>
              <c:layout>
                <c:manualLayout>
                  <c:x val="-3.4213883070911617E-2"/>
                  <c:y val="-6.6533944599080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F509-486E-BA5B-0C670B1520C8}"/>
                </c:ext>
              </c:extLst>
            </c:dLbl>
            <c:dLbl>
              <c:idx val="12"/>
              <c:layout>
                <c:manualLayout>
                  <c:x val="-3.6511342940093408E-2"/>
                  <c:y val="-5.2356257005557558E-2"/>
                </c:manualLayout>
              </c:layout>
              <c:spPr>
                <a:solidFill>
                  <a:schemeClr val="bg1"/>
                </a:solidFill>
                <a:ln>
                  <a:noFill/>
                </a:ln>
                <a:effectLst/>
              </c:spPr>
              <c:txPr>
                <a:bodyPr wrap="square" lIns="38100" tIns="19050" rIns="38100" bIns="19050" anchor="ctr">
                  <a:spAutoFit/>
                </a:bodyPr>
                <a:lstStyle/>
                <a:p>
                  <a:pPr>
                    <a:defRPr sz="900" b="0" i="0" baseline="0"/>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F509-486E-BA5B-0C670B1520C8}"/>
                </c:ext>
              </c:extLst>
            </c:dLbl>
            <c:dLbl>
              <c:idx val="13"/>
              <c:layout>
                <c:manualLayout>
                  <c:x val="-4.0787456047412962E-2"/>
                  <c:y val="-5.48795826325111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4966-4E34-9A84-DBCDE5742781}"/>
                </c:ext>
              </c:extLst>
            </c:dLbl>
            <c:dLbl>
              <c:idx val="14"/>
              <c:spPr>
                <a:solidFill>
                  <a:schemeClr val="bg1"/>
                </a:solidFill>
                <a:ln>
                  <a:noFill/>
                </a:ln>
                <a:effectLst/>
              </c:spPr>
              <c:txPr>
                <a:bodyPr wrap="square" lIns="38100" tIns="19050" rIns="38100" bIns="19050" anchor="ctr">
                  <a:spAutoFit/>
                </a:bodyPr>
                <a:lstStyle/>
                <a:p>
                  <a:pPr>
                    <a:defRPr sz="900" b="0" i="0" baseline="0"/>
                  </a:pPr>
                  <a:endParaRPr lang="ja-JP"/>
                </a:p>
              </c:txPr>
              <c:dLblPos val="t"/>
              <c:showLegendKey val="0"/>
              <c:showVal val="1"/>
              <c:showCatName val="0"/>
              <c:showSerName val="0"/>
              <c:showPercent val="0"/>
              <c:showBubbleSize val="0"/>
              <c:extLst>
                <c:ext xmlns:c16="http://schemas.microsoft.com/office/drawing/2014/chart" uri="{C3380CC4-5D6E-409C-BE32-E72D297353CC}">
                  <c16:uniqueId val="{00000019-4966-4E34-9A84-DBCDE5742781}"/>
                </c:ext>
              </c:extLst>
            </c:dLbl>
            <c:dLbl>
              <c:idx val="16"/>
              <c:layout/>
              <c:tx>
                <c:rich>
                  <a:bodyPr wrap="square" lIns="38100" tIns="19050" rIns="38100" bIns="19050" anchor="ctr">
                    <a:spAutoFit/>
                  </a:bodyPr>
                  <a:lstStyle/>
                  <a:p>
                    <a:pPr>
                      <a:defRPr sz="900" b="1" i="0" baseline="0"/>
                    </a:pPr>
                    <a:fld id="{73AB763B-2FAA-45A0-BEB0-CE0296E3D448}" type="VALUE">
                      <a:rPr lang="en-US" altLang="ja-JP" sz="900" b="1" i="0" baseline="0">
                        <a:solidFill>
                          <a:srgbClr val="FF0000"/>
                        </a:solidFill>
                      </a:rPr>
                      <a:pPr>
                        <a:defRPr sz="900" b="1" i="0" baseline="0"/>
                      </a:pPr>
                      <a:t>[値]</a:t>
                    </a:fld>
                    <a:endParaRPr lang="ja-JP" altLang="en-US"/>
                  </a:p>
                </c:rich>
              </c:tx>
              <c:spPr>
                <a:solidFill>
                  <a:schemeClr val="bg1"/>
                </a:solidFill>
                <a:ln w="28575">
                  <a:solidFill>
                    <a:srgbClr val="FFC000"/>
                  </a:solidFill>
                  <a:prstDash val="sysDot"/>
                </a:ln>
                <a:effectLst/>
              </c:spPr>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F-F509-486E-BA5B-0C670B1520C8}"/>
                </c:ext>
              </c:extLst>
            </c:dLbl>
            <c:spPr>
              <a:noFill/>
              <a:ln>
                <a:noFill/>
              </a:ln>
              <a:effectLst/>
            </c:spPr>
            <c:txPr>
              <a:bodyPr wrap="square" lIns="38100" tIns="19050" rIns="38100" bIns="19050" anchor="ctr">
                <a:spAutoFit/>
              </a:bodyPr>
              <a:lstStyle/>
              <a:p>
                <a:pPr>
                  <a:defRPr sz="900" b="0" i="0" baseline="0"/>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'P3,P9'!$C$4:$S$4</c:f>
              <c:numCache>
                <c:formatCode>General</c:formatCode>
                <c:ptCount val="17"/>
                <c:pt idx="0">
                  <c:v>1965</c:v>
                </c:pt>
                <c:pt idx="1">
                  <c:v>1970</c:v>
                </c:pt>
                <c:pt idx="2">
                  <c:v>1975</c:v>
                </c:pt>
                <c:pt idx="3">
                  <c:v>1980</c:v>
                </c:pt>
                <c:pt idx="4">
                  <c:v>1985</c:v>
                </c:pt>
                <c:pt idx="5">
                  <c:v>1990</c:v>
                </c:pt>
                <c:pt idx="6">
                  <c:v>1995</c:v>
                </c:pt>
                <c:pt idx="7">
                  <c:v>2000</c:v>
                </c:pt>
                <c:pt idx="8">
                  <c:v>2005</c:v>
                </c:pt>
                <c:pt idx="9">
                  <c:v>2010</c:v>
                </c:pt>
                <c:pt idx="10">
                  <c:v>2015</c:v>
                </c:pt>
                <c:pt idx="11">
                  <c:v>2020</c:v>
                </c:pt>
                <c:pt idx="12">
                  <c:v>2025</c:v>
                </c:pt>
                <c:pt idx="13">
                  <c:v>2030</c:v>
                </c:pt>
                <c:pt idx="14">
                  <c:v>2035</c:v>
                </c:pt>
                <c:pt idx="15">
                  <c:v>2040</c:v>
                </c:pt>
                <c:pt idx="16">
                  <c:v>2045</c:v>
                </c:pt>
              </c:numCache>
            </c:numRef>
          </c:cat>
          <c:val>
            <c:numRef>
              <c:f>'P3,P9'!$C$6:$S$6</c:f>
              <c:numCache>
                <c:formatCode>General</c:formatCode>
                <c:ptCount val="17"/>
                <c:pt idx="10" formatCode="#,##0_ ">
                  <c:v>884</c:v>
                </c:pt>
                <c:pt idx="11" formatCode="#,##0_ ">
                  <c:v>874.28356021677848</c:v>
                </c:pt>
                <c:pt idx="12" formatCode="#,##0_ ">
                  <c:v>856.19393226808995</c:v>
                </c:pt>
                <c:pt idx="13" formatCode="#,##0_ ">
                  <c:v>832.8289351216979</c:v>
                </c:pt>
                <c:pt idx="14" formatCode="#,##0_ ">
                  <c:v>805.65047350409964</c:v>
                </c:pt>
                <c:pt idx="15" formatCode="#,##0_ ">
                  <c:v>776.14465712587912</c:v>
                </c:pt>
                <c:pt idx="16" formatCode="#,##0_ ">
                  <c:v>747.82054534903932</c:v>
                </c:pt>
              </c:numCache>
            </c:numRef>
          </c:val>
          <c:smooth val="0"/>
          <c:extLst>
            <c:ext xmlns:c16="http://schemas.microsoft.com/office/drawing/2014/chart" uri="{C3380CC4-5D6E-409C-BE32-E72D297353CC}">
              <c16:uniqueId val="{00000020-F509-486E-BA5B-0C670B1520C8}"/>
            </c:ext>
          </c:extLst>
        </c:ser>
        <c:ser>
          <c:idx val="2"/>
          <c:order val="2"/>
          <c:tx>
            <c:strRef>
              <c:f>'P3,P9'!$B$7</c:f>
              <c:strCache>
                <c:ptCount val="1"/>
                <c:pt idx="0">
                  <c:v>人口ビジョン</c:v>
                </c:pt>
              </c:strCache>
            </c:strRef>
          </c:tx>
          <c:spPr>
            <a:ln w="19050">
              <a:prstDash val="sysDot"/>
            </a:ln>
          </c:spPr>
          <c:dLbls>
            <c:dLbl>
              <c:idx val="10"/>
              <c:delete val="1"/>
              <c:extLst>
                <c:ext xmlns:c15="http://schemas.microsoft.com/office/drawing/2012/chart" uri="{CE6537A1-D6FC-4f65-9D91-7224C49458BB}"/>
                <c:ext xmlns:c16="http://schemas.microsoft.com/office/drawing/2014/chart" uri="{C3380CC4-5D6E-409C-BE32-E72D297353CC}">
                  <c16:uniqueId val="{00000021-F509-486E-BA5B-0C670B1520C8}"/>
                </c:ext>
              </c:extLst>
            </c:dLbl>
            <c:spPr>
              <a:noFill/>
              <a:ln>
                <a:noFill/>
              </a:ln>
              <a:effectLst/>
            </c:spPr>
            <c:txPr>
              <a:bodyPr wrap="square" lIns="38100" tIns="19050" rIns="38100" bIns="19050" anchor="ctr">
                <a:spAutoFit/>
              </a:bodyPr>
              <a:lstStyle/>
              <a:p>
                <a:pPr>
                  <a:defRPr sz="900" baseline="0"/>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'P3,P9'!$C$4:$S$4</c:f>
              <c:numCache>
                <c:formatCode>General</c:formatCode>
                <c:ptCount val="17"/>
                <c:pt idx="0">
                  <c:v>1965</c:v>
                </c:pt>
                <c:pt idx="1">
                  <c:v>1970</c:v>
                </c:pt>
                <c:pt idx="2">
                  <c:v>1975</c:v>
                </c:pt>
                <c:pt idx="3">
                  <c:v>1980</c:v>
                </c:pt>
                <c:pt idx="4">
                  <c:v>1985</c:v>
                </c:pt>
                <c:pt idx="5">
                  <c:v>1990</c:v>
                </c:pt>
                <c:pt idx="6">
                  <c:v>1995</c:v>
                </c:pt>
                <c:pt idx="7">
                  <c:v>2000</c:v>
                </c:pt>
                <c:pt idx="8">
                  <c:v>2005</c:v>
                </c:pt>
                <c:pt idx="9">
                  <c:v>2010</c:v>
                </c:pt>
                <c:pt idx="10">
                  <c:v>2015</c:v>
                </c:pt>
                <c:pt idx="11">
                  <c:v>2020</c:v>
                </c:pt>
                <c:pt idx="12">
                  <c:v>2025</c:v>
                </c:pt>
                <c:pt idx="13">
                  <c:v>2030</c:v>
                </c:pt>
                <c:pt idx="14">
                  <c:v>2035</c:v>
                </c:pt>
                <c:pt idx="15">
                  <c:v>2040</c:v>
                </c:pt>
                <c:pt idx="16">
                  <c:v>2045</c:v>
                </c:pt>
              </c:numCache>
            </c:numRef>
          </c:cat>
          <c:val>
            <c:numRef>
              <c:f>'P3,P9'!$C$7:$S$7</c:f>
              <c:numCache>
                <c:formatCode>General</c:formatCode>
                <c:ptCount val="17"/>
                <c:pt idx="10" formatCode="#,##0_ ">
                  <c:v>884</c:v>
                </c:pt>
                <c:pt idx="11" formatCode="#,##0_ ">
                  <c:v>866.81449999999995</c:v>
                </c:pt>
                <c:pt idx="12" formatCode="#,##0_ ">
                  <c:v>844.0675</c:v>
                </c:pt>
                <c:pt idx="13" formatCode="#,##0_ ">
                  <c:v>815.99099999999999</c:v>
                </c:pt>
                <c:pt idx="14" formatCode="#,##0_ ">
                  <c:v>784.14720432823594</c:v>
                </c:pt>
                <c:pt idx="15" formatCode="#,##0_ ">
                  <c:v>749.87019999999995</c:v>
                </c:pt>
                <c:pt idx="16" formatCode="#,##0_ ">
                  <c:v>715</c:v>
                </c:pt>
              </c:numCache>
            </c:numRef>
          </c:val>
          <c:smooth val="0"/>
          <c:extLst>
            <c:ext xmlns:c16="http://schemas.microsoft.com/office/drawing/2014/chart" uri="{C3380CC4-5D6E-409C-BE32-E72D297353CC}">
              <c16:uniqueId val="{00000022-F509-486E-BA5B-0C670B1520C8}"/>
            </c:ext>
          </c:extLst>
        </c:ser>
        <c:dLbls>
          <c:showLegendKey val="0"/>
          <c:showVal val="0"/>
          <c:showCatName val="0"/>
          <c:showSerName val="0"/>
          <c:showPercent val="0"/>
          <c:showBubbleSize val="0"/>
        </c:dLbls>
        <c:marker val="1"/>
        <c:smooth val="0"/>
        <c:axId val="92753920"/>
        <c:axId val="92756224"/>
      </c:lineChart>
      <c:catAx>
        <c:axId val="92753920"/>
        <c:scaling>
          <c:orientation val="minMax"/>
        </c:scaling>
        <c:delete val="0"/>
        <c:axPos val="b"/>
        <c:numFmt formatCode="General" sourceLinked="1"/>
        <c:majorTickMark val="out"/>
        <c:minorTickMark val="none"/>
        <c:tickLblPos val="nextTo"/>
        <c:txPr>
          <a:bodyPr rot="-2700000"/>
          <a:lstStyle/>
          <a:p>
            <a:pPr>
              <a:defRPr sz="900" baseline="0"/>
            </a:pPr>
            <a:endParaRPr lang="ja-JP"/>
          </a:p>
        </c:txPr>
        <c:crossAx val="92756224"/>
        <c:crosses val="autoZero"/>
        <c:auto val="1"/>
        <c:lblAlgn val="ctr"/>
        <c:lblOffset val="100"/>
        <c:noMultiLvlLbl val="0"/>
      </c:catAx>
      <c:valAx>
        <c:axId val="92756224"/>
        <c:scaling>
          <c:orientation val="minMax"/>
          <c:max val="1000"/>
          <c:min val="500"/>
        </c:scaling>
        <c:delete val="0"/>
        <c:axPos val="l"/>
        <c:majorGridlines/>
        <c:title>
          <c:tx>
            <c:rich>
              <a:bodyPr rot="0" vert="eaVert" anchor="ctr" anchorCtr="0"/>
              <a:lstStyle/>
              <a:p>
                <a:pPr>
                  <a:defRPr/>
                </a:pPr>
                <a:r>
                  <a:rPr lang="ja-JP" altLang="en-US" sz="800" b="0">
                    <a:latin typeface="+mn-ea"/>
                    <a:ea typeface="+mn-ea"/>
                  </a:rPr>
                  <a:t>人口（万人）</a:t>
                </a:r>
              </a:p>
            </c:rich>
          </c:tx>
          <c:layout/>
          <c:overlay val="0"/>
        </c:title>
        <c:numFmt formatCode="0" sourceLinked="1"/>
        <c:majorTickMark val="out"/>
        <c:minorTickMark val="none"/>
        <c:tickLblPos val="nextTo"/>
        <c:txPr>
          <a:bodyPr/>
          <a:lstStyle/>
          <a:p>
            <a:pPr>
              <a:defRPr sz="900" baseline="0"/>
            </a:pPr>
            <a:endParaRPr lang="ja-JP"/>
          </a:p>
        </c:txPr>
        <c:crossAx val="92753920"/>
        <c:crosses val="autoZero"/>
        <c:crossBetween val="between"/>
        <c:majorUnit val="50"/>
      </c:valAx>
    </c:plotArea>
    <c:legend>
      <c:legendPos val="r"/>
      <c:layout>
        <c:manualLayout>
          <c:xMode val="edge"/>
          <c:yMode val="edge"/>
          <c:x val="0.21524467472654002"/>
          <c:y val="0.92594571632303169"/>
          <c:w val="0.65119170984455954"/>
          <c:h val="7.4054283676968119E-2"/>
        </c:manualLayout>
      </c:layout>
      <c:overlay val="0"/>
      <c:txPr>
        <a:bodyPr/>
        <a:lstStyle/>
        <a:p>
          <a:pPr>
            <a:defRPr sz="900" baseline="0">
              <a:latin typeface="ＭＳ ゴシック" panose="020B0609070205080204" pitchFamily="49" charset="-128"/>
              <a:ea typeface="ＭＳ ゴシック" panose="020B0609070205080204" pitchFamily="49" charset="-128"/>
            </a:defRPr>
          </a:pPr>
          <a:endParaRPr lang="ja-JP"/>
        </a:p>
      </c:txPr>
    </c:legend>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0.10506</cdr:x>
      <cdr:y>0.11466</cdr:y>
    </cdr:from>
    <cdr:to>
      <cdr:x>0.78056</cdr:x>
      <cdr:y>0.96139</cdr:y>
    </cdr:to>
    <cdr:grpSp>
      <cdr:nvGrpSpPr>
        <cdr:cNvPr id="6" name="グループ化 5" title="建替時期別延床面積（施設類型別）について示した棒グラフ"/>
        <cdr:cNvGrpSpPr/>
      </cdr:nvGrpSpPr>
      <cdr:grpSpPr>
        <a:xfrm xmlns:a="http://schemas.openxmlformats.org/drawingml/2006/main">
          <a:off x="679673" y="371472"/>
          <a:ext cx="4370066" cy="2743210"/>
          <a:chOff x="679673" y="371472"/>
          <a:chExt cx="4370066" cy="2743210"/>
        </a:xfrm>
      </cdr:grpSpPr>
      <cdr:sp macro="" textlink="">
        <cdr:nvSpPr>
          <cdr:cNvPr id="3" name="右矢印 2"/>
          <cdr:cNvSpPr/>
        </cdr:nvSpPr>
        <cdr:spPr>
          <a:xfrm xmlns:a="http://schemas.openxmlformats.org/drawingml/2006/main">
            <a:off x="741650" y="428622"/>
            <a:ext cx="1364004" cy="209548"/>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nvGrpSpPr>
          <cdr:cNvPr id="5" name="グループ化 4"/>
          <cdr:cNvGrpSpPr/>
        </cdr:nvGrpSpPr>
        <cdr:grpSpPr>
          <a:xfrm xmlns:a="http://schemas.openxmlformats.org/drawingml/2006/main">
            <a:off x="679673" y="371472"/>
            <a:ext cx="4370066" cy="2743210"/>
            <a:chOff x="679673" y="371472"/>
            <a:chExt cx="4370066" cy="2743210"/>
          </a:xfrm>
        </cdr:grpSpPr>
        <cdr:sp macro="" textlink="">
          <cdr:nvSpPr>
            <cdr:cNvPr id="2" name="正方形/長方形 1"/>
            <cdr:cNvSpPr/>
          </cdr:nvSpPr>
          <cdr:spPr>
            <a:xfrm xmlns:a="http://schemas.openxmlformats.org/drawingml/2006/main">
              <a:off x="679673" y="371472"/>
              <a:ext cx="1464085" cy="2743210"/>
            </a:xfrm>
            <a:prstGeom xmlns:a="http://schemas.openxmlformats.org/drawingml/2006/main" prst="rect">
              <a:avLst/>
            </a:prstGeom>
            <a:noFill xmlns:a="http://schemas.openxmlformats.org/drawingml/2006/main"/>
            <a:ln xmlns:a="http://schemas.openxmlformats.org/drawingml/2006/main" w="38100">
              <a:prstDash val="dash"/>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sp>
        <cdr:sp macro="" textlink="">
          <cdr:nvSpPr>
            <cdr:cNvPr id="4" name="角丸四角形吹き出し 3"/>
            <cdr:cNvSpPr/>
          </cdr:nvSpPr>
          <cdr:spPr>
            <a:xfrm xmlns:a="http://schemas.openxmlformats.org/drawingml/2006/main">
              <a:off x="2779957" y="742944"/>
              <a:ext cx="2269782" cy="722404"/>
            </a:xfrm>
            <a:prstGeom xmlns:a="http://schemas.openxmlformats.org/drawingml/2006/main" prst="wedgeRoundRectCallout">
              <a:avLst>
                <a:gd name="adj1" fmla="val -77494"/>
                <a:gd name="adj2" fmla="val -70617"/>
                <a:gd name="adj3" fmla="val 16667"/>
              </a:avLst>
            </a:prstGeom>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wrap="square" lIns="36000" tIns="36000" rIns="36000" bIns="36000" anchor="ctr" anchorCtr="0">
              <a:noAutofit/>
            </a:bodyPr>
            <a:lstStyle xmlns:a="http://schemas.openxmlformats.org/drawingml/2006/main"/>
            <a:p xmlns:a="http://schemas.openxmlformats.org/drawingml/2006/main">
              <a:r>
                <a:rPr lang="ja-JP" altLang="en-US">
                  <a:latin typeface="ＭＳ Ｐゴシック" panose="020B0600070205080204" pitchFamily="50" charset="-128"/>
                  <a:ea typeface="ＭＳ Ｐゴシック" panose="020B0600070205080204" pitchFamily="50" charset="-128"/>
                </a:rPr>
                <a:t>今後</a:t>
              </a:r>
              <a:r>
                <a:rPr lang="en-US" altLang="ja-JP">
                  <a:latin typeface="ＭＳ Ｐゴシック" panose="020B0600070205080204" pitchFamily="50" charset="-128"/>
                  <a:ea typeface="ＭＳ Ｐゴシック" panose="020B0600070205080204" pitchFamily="50" charset="-128"/>
                </a:rPr>
                <a:t>10</a:t>
              </a:r>
              <a:r>
                <a:rPr lang="ja-JP" altLang="en-US">
                  <a:latin typeface="ＭＳ Ｐゴシック" panose="020B0600070205080204" pitchFamily="50" charset="-128"/>
                  <a:ea typeface="ＭＳ Ｐゴシック" panose="020B0600070205080204" pitchFamily="50" charset="-128"/>
                </a:rPr>
                <a:t>年間で、築後</a:t>
              </a:r>
              <a:r>
                <a:rPr lang="en-US" altLang="ja-JP">
                  <a:latin typeface="ＭＳ Ｐゴシック" panose="020B0600070205080204" pitchFamily="50" charset="-128"/>
                  <a:ea typeface="ＭＳ Ｐゴシック" panose="020B0600070205080204" pitchFamily="50" charset="-128"/>
                </a:rPr>
                <a:t>50</a:t>
              </a:r>
              <a:r>
                <a:rPr lang="ja-JP" altLang="en-US">
                  <a:latin typeface="ＭＳ Ｐゴシック" panose="020B0600070205080204" pitchFamily="50" charset="-128"/>
                  <a:ea typeface="ＭＳ Ｐゴシック" panose="020B0600070205080204" pitchFamily="50" charset="-128"/>
                </a:rPr>
                <a:t>年を経過する施設は全体の約</a:t>
              </a:r>
              <a:r>
                <a:rPr lang="en-US" altLang="ja-JP">
                  <a:latin typeface="ＭＳ Ｐゴシック" panose="020B0600070205080204" pitchFamily="50" charset="-128"/>
                  <a:ea typeface="ＭＳ Ｐゴシック" panose="020B0600070205080204" pitchFamily="50" charset="-128"/>
                </a:rPr>
                <a:t>4</a:t>
              </a:r>
              <a:r>
                <a:rPr lang="ja-JP" altLang="en-US">
                  <a:latin typeface="ＭＳ Ｐゴシック" panose="020B0600070205080204" pitchFamily="50" charset="-128"/>
                  <a:ea typeface="ＭＳ Ｐゴシック" panose="020B0600070205080204" pitchFamily="50" charset="-128"/>
                </a:rPr>
                <a:t>割を占める</a:t>
              </a:r>
            </a:p>
          </cdr:txBody>
        </cdr:sp>
      </cdr:grpSp>
    </cdr:grpSp>
  </cdr:relSizeAnchor>
</c:userShapes>
</file>

<file path=word/drawings/drawing2.xml><?xml version="1.0" encoding="utf-8"?>
<c:userShapes xmlns:c="http://schemas.openxmlformats.org/drawingml/2006/chart">
  <cdr:relSizeAnchor xmlns:cdr="http://schemas.openxmlformats.org/drawingml/2006/chartDrawing">
    <cdr:from>
      <cdr:x>0.63532</cdr:x>
      <cdr:y>0.36893</cdr:y>
    </cdr:from>
    <cdr:to>
      <cdr:x>0.92715</cdr:x>
      <cdr:y>0.6566</cdr:y>
    </cdr:to>
    <cdr:cxnSp macro="">
      <cdr:nvCxnSpPr>
        <cdr:cNvPr id="3" name="直線矢印コネクタ 2"/>
        <cdr:cNvCxnSpPr/>
      </cdr:nvCxnSpPr>
      <cdr:spPr>
        <a:xfrm xmlns:a="http://schemas.openxmlformats.org/drawingml/2006/main">
          <a:off x="3499248" y="1221581"/>
          <a:ext cx="1607344" cy="952500"/>
        </a:xfrm>
        <a:prstGeom xmlns:a="http://schemas.openxmlformats.org/drawingml/2006/main" prst="straightConnector1">
          <a:avLst/>
        </a:prstGeom>
        <a:ln xmlns:a="http://schemas.openxmlformats.org/drawingml/2006/main" w="76200">
          <a:solidFill>
            <a:srgbClr val="190EFF"/>
          </a:solidFill>
          <a:prstDash val="sysDot"/>
          <a:tailEnd type="triangle"/>
        </a:ln>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835BB-26A7-420F-8A4C-11CD10391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834</Words>
  <Characters>4758</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2022-03-02T04:02:00Z</dcterms:created>
  <dcterms:modified xsi:type="dcterms:W3CDTF">2022-03-02T05:00:00Z</dcterms:modified>
</cp:coreProperties>
</file>