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D3" w:rsidRPr="00E66DDA" w:rsidRDefault="006429A4">
      <w:pPr>
        <w:autoSpaceDE w:val="0"/>
        <w:autoSpaceDN w:val="0"/>
        <w:adjustRightInd w:val="0"/>
        <w:spacing w:line="300" w:lineRule="atLeast"/>
        <w:ind w:left="840" w:hanging="21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○大阪府補助金交付規則</w:t>
      </w:r>
    </w:p>
    <w:p w:rsidR="00D623D3" w:rsidRPr="00E66DDA" w:rsidRDefault="006429A4">
      <w:pPr>
        <w:autoSpaceDE w:val="0"/>
        <w:autoSpaceDN w:val="0"/>
        <w:adjustRightInd w:val="0"/>
        <w:spacing w:line="300" w:lineRule="atLeast"/>
        <w:jc w:val="righ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昭和四十五年十月一日</w:t>
      </w:r>
    </w:p>
    <w:p w:rsidR="00D623D3" w:rsidRPr="00E66DDA" w:rsidRDefault="006429A4">
      <w:pPr>
        <w:autoSpaceDE w:val="0"/>
        <w:autoSpaceDN w:val="0"/>
        <w:adjustRightInd w:val="0"/>
        <w:spacing w:line="300" w:lineRule="atLeast"/>
        <w:jc w:val="righ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大阪府規則第八十五号</w:t>
      </w:r>
    </w:p>
    <w:p w:rsidR="00D623D3" w:rsidRPr="00E66DDA" w:rsidRDefault="006429A4">
      <w:pPr>
        <w:autoSpaceDE w:val="0"/>
        <w:autoSpaceDN w:val="0"/>
        <w:adjustRightInd w:val="0"/>
        <w:spacing w:line="300" w:lineRule="atLeast"/>
        <w:jc w:val="righ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改正　平成二三年三月三一日規則第一九号</w:t>
      </w:r>
    </w:p>
    <w:p w:rsidR="00D623D3" w:rsidRPr="00E66DDA" w:rsidRDefault="006429A4">
      <w:pPr>
        <w:autoSpaceDE w:val="0"/>
        <w:autoSpaceDN w:val="0"/>
        <w:adjustRightInd w:val="0"/>
        <w:spacing w:line="300" w:lineRule="atLeast"/>
        <w:jc w:val="righ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平成二八年三月三〇日規則第六六号</w:t>
      </w:r>
    </w:p>
    <w:p w:rsidR="00D623D3" w:rsidRPr="00E66DDA" w:rsidRDefault="006429A4">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大阪府補助金交付規則をここに公布する。</w:t>
      </w:r>
    </w:p>
    <w:p w:rsidR="00D623D3" w:rsidRPr="00E66DDA" w:rsidRDefault="006429A4">
      <w:pPr>
        <w:autoSpaceDE w:val="0"/>
        <w:autoSpaceDN w:val="0"/>
        <w:adjustRightInd w:val="0"/>
        <w:spacing w:line="300" w:lineRule="atLeast"/>
        <w:ind w:left="6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大阪府補助金交付規則</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（目的）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（定義）</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第二条　この規則において、次の各号に掲げる用語の意義は、当該各号に定めるところによる。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補助事業　補助金の交付の対象となる事務又は事業をいう。</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補助事業者　補助事業を行う者をいう。ただし、次のいずれかに該当する者を除く。</w:t>
      </w:r>
    </w:p>
    <w:p w:rsidR="00D623D3" w:rsidRPr="00E66DDA" w:rsidRDefault="006429A4">
      <w:pPr>
        <w:autoSpaceDE w:val="0"/>
        <w:autoSpaceDN w:val="0"/>
        <w:adjustRightInd w:val="0"/>
        <w:spacing w:line="300" w:lineRule="atLeast"/>
        <w:ind w:left="6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D623D3" w:rsidRPr="00E66DDA" w:rsidRDefault="006429A4">
      <w:pPr>
        <w:autoSpaceDE w:val="0"/>
        <w:autoSpaceDN w:val="0"/>
        <w:adjustRightInd w:val="0"/>
        <w:spacing w:line="300" w:lineRule="atLeast"/>
        <w:ind w:left="6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ロ　法人にあっては罰金の刑、個人にあっては禁錮以上の刑に処せられ、その執行を終わり、又はその執行を受けることがなくなった日から一年を経過しない者</w:t>
      </w:r>
    </w:p>
    <w:p w:rsidR="00D623D3" w:rsidRPr="00E66DDA" w:rsidRDefault="006429A4">
      <w:pPr>
        <w:autoSpaceDE w:val="0"/>
        <w:autoSpaceDN w:val="0"/>
        <w:adjustRightInd w:val="0"/>
        <w:spacing w:line="300" w:lineRule="atLeast"/>
        <w:ind w:left="6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間接補助事業　間接補助金の交付の対象となる事務又は事業をいう。</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五　間接補助事業者　間接補助事業を行う者をいう。ただし、第二号イからハまでのいずれかに該当する者を除く。</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（平二三規則一九・平二八規則六六・一部改正）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（法令、条例又は他の規則との関係）</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第三条　補助金に関しては、法令、条例又は他の規則に特別の定めのあるものを除くほか、この規則の定めるところによる。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（補助金の交付の申請）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第四条　補助金の交付の申請をしようとする者は、次に掲げる事項を記載した補助金交付申請書を、知事に対し、その定める期日までに提出しなければならない。</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申請者の氏名又は名称及び住所</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補助事業の目的及び内容</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補助事業の経費の配分、経費の使用方法、補助事業の完了の予定期日その他補助事業の遂行に関する計画</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交付を受けようとする補助金の額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五　前各号に掲げるもののほか、知事が必要と認める事項</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前項の申請書には、次に掲げる事項を記載した書類を添付しなければならない。</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補助事業の経費のうち補助金によって賄われる部分以外の部分の負担者、負担額及び負担方法</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補助事業の効果</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前二号に掲げるもののほか、知事が必要と認める事項</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（補助金の交付の決定）</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第五条　知事は、補助金の交付の申請があったときは、当該申請に係る書類等により当該申請の内容を審査</w:t>
      </w:r>
      <w:r w:rsidRPr="00E66DDA">
        <w:rPr>
          <w:rFonts w:asciiTheme="majorEastAsia" w:eastAsiaTheme="majorEastAsia" w:hAnsiTheme="majorEastAsia" w:cs="ＭＳ 明朝" w:hint="eastAsia"/>
          <w:color w:val="000000"/>
          <w:kern w:val="0"/>
          <w:szCs w:val="20"/>
        </w:rPr>
        <w:lastRenderedPageBreak/>
        <w:t>し、補助金を交付すべきものと認めたときは、補助金の交付の決定をするものとする。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知事は、前項の場合において、適正な交付を行うため必要があるときは、補助金の交付の申請に係る事項につき修正を加えて補助金の交付の決定をするものとする。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（補助金の交付の条件）</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第六条　知事は、補助金の交付の決定をする場合においては、次に掲げる条件を付するものとする。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補助事業に要する経費の配分の変更（知事の定める軽微な変更を除く。）をする場合においては、知事の承認を受けるべきこと。</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補助事業の内容の変更（知事の定める軽微な変更を除く。）をする場合においては、知事の承認を受けるべきこと。</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補助事業を中止し、又は廃止する場合においては、知事の承認を受けるべきこと。</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補助事業が予定の期間内に完了しない場合又は補助事業の遂行が困難となった場合においては、速やかに知事に報告してその指示を受けるべきこと。</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（補助金の交付の決定の通知）</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第七条　知事は、補助金の交付の決定をしたときは、速やかにその決定の内容及びこれに付した条件を、補助金の交付の申請をした者に通知するものとする。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（事情変更による決定の取消し等）</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知事が前項の規定により補助金の交付の決定を取り消す場合は、次の各号のいずれかに掲げる場合に限るものとする。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天災地変その他補助金の交付の決定後生じた事情の変更により補助事業の全部又は一部を継続する必要がなくなった場合</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第七条の規定は、第一項の処分をした場合について準用する。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（補助事業及び間接補助事業の遂行）</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補助事業者は、間接補助事業者が当該間接補助金の交付の目的に従い善良な管理者の注意をもって間接補助事業を行うように努めなければならない。</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（状況報告）</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第十条　補助事業者は、知事の請求に基づき、補助事業の遂行の状況に関し、知事に報告しなければならない。</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（補助事業の遂行等の命令）</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lastRenderedPageBreak/>
        <w:t>２　知事は、補助事業者が前項の命令に違反したときは、その者に対し、当該補助事業の遂行の一時停止を命ずるものとする。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（実績報告）</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（補助金の額の確定等）</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（是正のための措置）</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第十二条の規定は、前項の規定による命令に従って行う補助事業について準用する。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（決定の取消し）</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第十五条　知事は、補助事業者が、次の各号のいずれかに該当するときは、補助金の交付の決定の全部又は一部を取り消すものとする。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補助金の他の用途への使用をし、その他補助事業に関して補助金の交付の決定の内容又はこれに付した条件その他法令等又はこれに基づく知事の処分に違反したとき。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第二条第二号ロ及びハに掲げる者と同等以上の重大な不正行為をしたと知事が認めるとき。</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知事は、間接補助事業者が、次の各号のいずれかに該当するときは、補助事業者に対し、当該間接補助金に係る補助金の交付の決定の全部又は一部を取り消すものとする。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間接補助金の他の用途への使用をし、その他間接補助事業に関して法令等に違反したとき。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第二条第二号ロ及びハに掲げる者と同等以上の重大な不正行為をしたと知事が認めるとき。</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４　第七条の規定は、第一項又は第二項の規定による取消しをした場合について準用する。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（平二三規則一九・平二八規則六六・一部改正）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（補助金の返還）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第十六条　知事は、補助金の交付の決定を取り消した場合において、補助事業の当該取消しに係る部分に関し、既に補助金が交付されているときは、期限を定めて、その返還を命ずるものとする。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知事は、補助事業者に交付すべき補助金の額を確定した場合において、既にその額を超える補助金が交付されているときは、期限を定めて、その返還を命ずるものとする。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lastRenderedPageBreak/>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（加算金及び延滞金）</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５　第一項又は前項の規定に定める加算金又は延滞金の額の計算につきこれらの規定に定める年当たりの割合は、</w:t>
      </w:r>
      <w:r w:rsidRPr="00E66DDA">
        <w:rPr>
          <w:rFonts w:asciiTheme="majorEastAsia" w:eastAsiaTheme="majorEastAsia" w:hAnsiTheme="majorEastAsia" w:cs="ＭＳ 明朝"/>
          <w:color w:val="000000"/>
          <w:kern w:val="0"/>
          <w:szCs w:val="20"/>
        </w:rPr>
        <w:ruby>
          <w:rubyPr>
            <w:rubyAlign w:val="distributeSpace"/>
            <w:hps w:val="10"/>
            <w:hpsRaise w:val="18"/>
            <w:hpsBaseText w:val="20"/>
            <w:lid w:val="ja-JP"/>
          </w:rubyPr>
          <w:rt>
            <w:r w:rsidR="006429A4" w:rsidRPr="00E66DDA">
              <w:rPr>
                <w:rFonts w:asciiTheme="majorEastAsia" w:eastAsiaTheme="majorEastAsia" w:hAnsiTheme="majorEastAsia" w:cs="ＭＳ 明朝" w:hint="eastAsia"/>
                <w:color w:val="000000"/>
                <w:kern w:val="0"/>
                <w:szCs w:val="20"/>
              </w:rPr>
              <w:t>じゆん</w:t>
            </w:r>
          </w:rt>
          <w:rubyBase>
            <w:r w:rsidR="006429A4" w:rsidRPr="00E66DDA">
              <w:rPr>
                <w:rFonts w:asciiTheme="majorEastAsia" w:eastAsiaTheme="majorEastAsia" w:hAnsiTheme="majorEastAsia" w:cs="ＭＳ 明朝" w:hint="eastAsia"/>
                <w:color w:val="000000"/>
                <w:kern w:val="0"/>
                <w:szCs w:val="20"/>
              </w:rPr>
              <w:t>閏</w:t>
            </w:r>
          </w:rubyBase>
        </w:ruby>
      </w:r>
      <w:r w:rsidRPr="00E66DDA">
        <w:rPr>
          <w:rFonts w:asciiTheme="majorEastAsia" w:eastAsiaTheme="majorEastAsia" w:hAnsiTheme="majorEastAsia" w:cs="ＭＳ 明朝" w:hint="eastAsia"/>
          <w:color w:val="000000"/>
          <w:kern w:val="0"/>
          <w:szCs w:val="20"/>
        </w:rPr>
        <w:t>年の日を含む期間についても、三百六十五日当たりの割合とする。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（他の補助金の一時停止等）</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（財産の処分の制限）</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不動産</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船舶、航空機、浮標、浮さん橋及び浮ドック</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前二号に掲げるものの従物</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機械及び重要な器具で、知事が定めるもの</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五　前各号に掲げるもののほか、知事が補助金の交付の目的を達成するため特に必要があると認めて定めるもの</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6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附　則</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（施行期日）</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１　この規則は、昭和四十五年十月十六日から施行する。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lastRenderedPageBreak/>
        <w:t>（適用区分）</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この規則は、この規則の施行の日以後に交付の決定がなされる補助金について適用し、同日前に交付の決定のあつた補助金についてはなお従前の例による。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（経過措置）</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この規則施行の際、現に提出されている補助金の交付申請書は、第四条の規定により提出されたものとみなす。</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（規則の廃止）</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４　次に掲げる規則は、廃止する。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大阪府市町村振興補助金交付規則（昭和三十七年大阪府規則第四十五号）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大阪府事業内職業訓練費補助金交付規則（昭和三十三年大阪府規則第七十六号）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大阪府漁業生産奨励補助金交付規則（昭和三十三年大阪府規則第一号）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大阪府林業関係事業補助金交付規則（昭和三十二年大阪府規則第十号）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五　大阪府開墾事業補助金交付規則（昭和三十一年大阪府規則第五十五号）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六　開拓事業入植施設補助規則（昭和二十六年大阪府規則第六十八号）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七　大阪府開拓営農促進補助金交付規則（昭和三十三年大阪府規則第六十九号）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八　土木費補助規則（大正十二年大阪府令第七十六号）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九　大阪府水防費補助規則（昭和二十六年大阪府規則第百七号）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十　大阪府防災建築街区造成費補助金交付規則（昭和四十二年大阪府規則第八号）</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（規則の一部改正）</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５　納税貯蓄組合法施行細則（昭和二十六年大阪府規則第百十八号）の一部を次のように改正する。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〔次のよう〕略</w:t>
      </w:r>
    </w:p>
    <w:p w:rsidR="00D623D3" w:rsidRPr="00E66DDA" w:rsidRDefault="006429A4">
      <w:pPr>
        <w:autoSpaceDE w:val="0"/>
        <w:autoSpaceDN w:val="0"/>
        <w:adjustRightInd w:val="0"/>
        <w:spacing w:line="300" w:lineRule="atLeast"/>
        <w:ind w:left="6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附　則（平成二三年規則第一九号）</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（施行期日）</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１　この規則は、平成二十三年四月一日から施行する。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（適用区分）</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改正後の大阪府補助金交付規則の規定は、この規則の施行の日以後に交付の決定がなされる補助金について適用し、同日前に交付の決定のあった補助金については、なお従前の例による。</w:t>
      </w:r>
    </w:p>
    <w:p w:rsidR="00D623D3" w:rsidRPr="00E66DDA" w:rsidRDefault="006429A4">
      <w:pPr>
        <w:autoSpaceDE w:val="0"/>
        <w:autoSpaceDN w:val="0"/>
        <w:adjustRightInd w:val="0"/>
        <w:spacing w:line="300" w:lineRule="atLeast"/>
        <w:ind w:left="6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附　則（平成二八年規則第六六号）</w:t>
      </w:r>
    </w:p>
    <w:p w:rsidR="00D623D3" w:rsidRDefault="006429A4">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この規則は、公布の日から施行する。</w:t>
      </w: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D623D3" w:rsidRPr="00E66DDA" w:rsidRDefault="00D623D3">
      <w:pPr>
        <w:autoSpaceDE w:val="0"/>
        <w:autoSpaceDN w:val="0"/>
        <w:adjustRightInd w:val="0"/>
        <w:spacing w:line="300" w:lineRule="atLeast"/>
        <w:jc w:val="left"/>
        <w:rPr>
          <w:rFonts w:asciiTheme="majorEastAsia" w:eastAsiaTheme="majorEastAsia" w:hAnsiTheme="majorEastAsia" w:cs="ＭＳ 明朝"/>
          <w:color w:val="000000"/>
          <w:kern w:val="0"/>
          <w:szCs w:val="20"/>
        </w:rPr>
      </w:pPr>
      <w:bookmarkStart w:id="0" w:name="last"/>
      <w:bookmarkEnd w:id="0"/>
    </w:p>
    <w:sectPr w:rsidR="00D623D3" w:rsidRPr="00E66DDA" w:rsidSect="00D75A0E">
      <w:headerReference w:type="even" r:id="rId7"/>
      <w:headerReference w:type="default" r:id="rId8"/>
      <w:footerReference w:type="even" r:id="rId9"/>
      <w:footerReference w:type="default" r:id="rId10"/>
      <w:headerReference w:type="first" r:id="rId11"/>
      <w:footerReference w:type="first" r:id="rId12"/>
      <w:pgSz w:w="11905" w:h="16837" w:code="9"/>
      <w:pgMar w:top="1134" w:right="1134" w:bottom="1134" w:left="1134" w:header="737" w:footer="624" w:gutter="0"/>
      <w:pgNumType w:start="28"/>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A10" w:rsidRDefault="00A90A10" w:rsidP="00617CAB">
      <w:r>
        <w:separator/>
      </w:r>
    </w:p>
  </w:endnote>
  <w:endnote w:type="continuationSeparator" w:id="0">
    <w:p w:rsidR="00A90A10" w:rsidRDefault="00A90A10" w:rsidP="0061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E" w:rsidRDefault="00D75A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213005"/>
      <w:docPartObj>
        <w:docPartGallery w:val="Page Numbers (Bottom of Page)"/>
        <w:docPartUnique/>
      </w:docPartObj>
    </w:sdtPr>
    <w:sdtContent>
      <w:bookmarkStart w:id="1" w:name="_GoBack" w:displacedByCustomXml="prev"/>
      <w:bookmarkEnd w:id="1" w:displacedByCustomXml="prev"/>
      <w:p w:rsidR="00D75A0E" w:rsidRDefault="00D75A0E">
        <w:pPr>
          <w:pStyle w:val="a5"/>
          <w:jc w:val="center"/>
        </w:pPr>
        <w:r>
          <w:fldChar w:fldCharType="begin"/>
        </w:r>
        <w:r>
          <w:instrText>PAGE   \* MERGEFORMAT</w:instrText>
        </w:r>
        <w:r>
          <w:fldChar w:fldCharType="separate"/>
        </w:r>
        <w:r w:rsidRPr="00D75A0E">
          <w:rPr>
            <w:noProof/>
            <w:lang w:val="ja-JP"/>
          </w:rPr>
          <w:t>28</w:t>
        </w:r>
        <w:r>
          <w:fldChar w:fldCharType="end"/>
        </w:r>
      </w:p>
    </w:sdtContent>
  </w:sdt>
  <w:p w:rsidR="00617CAB" w:rsidRDefault="00617CAB" w:rsidP="00617CA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8153"/>
      <w:docPartObj>
        <w:docPartGallery w:val="Page Numbers (Bottom of Page)"/>
        <w:docPartUnique/>
      </w:docPartObj>
    </w:sdtPr>
    <w:sdtContent>
      <w:p w:rsidR="00D75A0E" w:rsidRDefault="00D75A0E">
        <w:pPr>
          <w:pStyle w:val="a5"/>
          <w:jc w:val="center"/>
        </w:pPr>
        <w:r>
          <w:t>28</w:t>
        </w:r>
      </w:p>
    </w:sdtContent>
  </w:sdt>
  <w:p w:rsidR="00C47E4E" w:rsidRDefault="00C47E4E" w:rsidP="001C049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A10" w:rsidRDefault="00A90A10" w:rsidP="00617CAB">
      <w:r>
        <w:separator/>
      </w:r>
    </w:p>
  </w:footnote>
  <w:footnote w:type="continuationSeparator" w:id="0">
    <w:p w:rsidR="00A90A10" w:rsidRDefault="00A90A10" w:rsidP="0061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E" w:rsidRDefault="00D75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E" w:rsidRDefault="00D75A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DA" w:rsidRPr="00224632" w:rsidRDefault="00E66DDA">
    <w:pPr>
      <w:pStyle w:val="a3"/>
      <w:rPr>
        <w:sz w:val="28"/>
        <w:szCs w:val="28"/>
        <w:bdr w:val="single" w:sz="4" w:space="0" w:color="auto"/>
      </w:rPr>
    </w:pPr>
    <w:r w:rsidRPr="00224632">
      <w:rPr>
        <w:rFonts w:hint="eastAsia"/>
        <w:sz w:val="28"/>
        <w:szCs w:val="28"/>
        <w:bdr w:val="single" w:sz="4" w:space="0" w:color="auto"/>
      </w:rPr>
      <w:t>Ⅲ　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0"/>
  <w:drawingGridVerticalSpacing w:val="29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A4"/>
    <w:rsid w:val="0017618D"/>
    <w:rsid w:val="001C0497"/>
    <w:rsid w:val="00224632"/>
    <w:rsid w:val="00617CAB"/>
    <w:rsid w:val="006429A4"/>
    <w:rsid w:val="0095373B"/>
    <w:rsid w:val="00A90A10"/>
    <w:rsid w:val="00BA7C2A"/>
    <w:rsid w:val="00BF1C4E"/>
    <w:rsid w:val="00C47E4E"/>
    <w:rsid w:val="00D47BA2"/>
    <w:rsid w:val="00D623D3"/>
    <w:rsid w:val="00D7076C"/>
    <w:rsid w:val="00D75A0E"/>
    <w:rsid w:val="00E6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5E5808E"/>
  <w14:defaultImageDpi w14:val="0"/>
  <w15:docId w15:val="{26D17D8F-3274-4BFC-94EB-89E671A8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A4"/>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AB"/>
    <w:pPr>
      <w:tabs>
        <w:tab w:val="center" w:pos="4252"/>
        <w:tab w:val="right" w:pos="8504"/>
      </w:tabs>
      <w:snapToGrid w:val="0"/>
    </w:pPr>
  </w:style>
  <w:style w:type="character" w:customStyle="1" w:styleId="a4">
    <w:name w:val="ヘッダー (文字)"/>
    <w:basedOn w:val="a0"/>
    <w:link w:val="a3"/>
    <w:uiPriority w:val="99"/>
    <w:rsid w:val="00617CAB"/>
    <w:rPr>
      <w:rFonts w:ascii="ＭＳ ゴシック" w:eastAsia="ＭＳ ゴシック"/>
      <w:sz w:val="20"/>
    </w:rPr>
  </w:style>
  <w:style w:type="paragraph" w:styleId="a5">
    <w:name w:val="footer"/>
    <w:basedOn w:val="a"/>
    <w:link w:val="a6"/>
    <w:uiPriority w:val="99"/>
    <w:unhideWhenUsed/>
    <w:rsid w:val="00617CAB"/>
    <w:pPr>
      <w:tabs>
        <w:tab w:val="center" w:pos="4252"/>
        <w:tab w:val="right" w:pos="8504"/>
      </w:tabs>
      <w:snapToGrid w:val="0"/>
    </w:pPr>
  </w:style>
  <w:style w:type="character" w:customStyle="1" w:styleId="a6">
    <w:name w:val="フッター (文字)"/>
    <w:basedOn w:val="a0"/>
    <w:link w:val="a5"/>
    <w:uiPriority w:val="99"/>
    <w:rsid w:val="00617CAB"/>
    <w:rPr>
      <w:rFonts w:ascii="ＭＳ ゴシック"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7665A-C17A-4C1F-A0AE-DAF4F0FD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三千代</dc:creator>
  <cp:lastModifiedBy>渡部　さくら</cp:lastModifiedBy>
  <cp:revision>14</cp:revision>
  <dcterms:created xsi:type="dcterms:W3CDTF">2017-03-22T08:31:00Z</dcterms:created>
  <dcterms:modified xsi:type="dcterms:W3CDTF">2022-03-04T05:25:00Z</dcterms:modified>
</cp:coreProperties>
</file>