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0C1A" w14:textId="227248F7" w:rsidR="00116892" w:rsidRDefault="00116892" w:rsidP="00A35F36">
      <w:pPr>
        <w:autoSpaceDE w:val="0"/>
        <w:autoSpaceDN w:val="0"/>
        <w:adjustRightInd w:val="0"/>
        <w:spacing w:line="300" w:lineRule="atLeast"/>
        <w:jc w:val="left"/>
        <w:rPr>
          <w:rFonts w:ascii="ＭＳ 明朝" w:eastAsia="ＭＳ 明朝" w:hAnsi="ＭＳ 明朝" w:cs="ＭＳ 明朝"/>
          <w:color w:val="000000"/>
          <w:kern w:val="0"/>
          <w:szCs w:val="21"/>
        </w:rPr>
      </w:pPr>
      <w:r w:rsidRPr="004E3FA8">
        <w:rPr>
          <w:noProof/>
        </w:rPr>
        <mc:AlternateContent>
          <mc:Choice Requires="wps">
            <w:drawing>
              <wp:anchor distT="0" distB="0" distL="114300" distR="114300" simplePos="0" relativeHeight="251659264" behindDoc="0" locked="0" layoutInCell="1" allowOverlap="1" wp14:anchorId="43A18D2C" wp14:editId="5E7BA663">
                <wp:simplePos x="0" y="0"/>
                <wp:positionH relativeFrom="margin">
                  <wp:posOffset>4820920</wp:posOffset>
                </wp:positionH>
                <wp:positionV relativeFrom="paragraph">
                  <wp:posOffset>-130810</wp:posOffset>
                </wp:positionV>
                <wp:extent cx="1275261" cy="304800"/>
                <wp:effectExtent l="0" t="0" r="20320" b="19050"/>
                <wp:wrapNone/>
                <wp:docPr id="72" name="フローチャート: 代替処理 72"/>
                <wp:cNvGraphicFramePr/>
                <a:graphic xmlns:a="http://schemas.openxmlformats.org/drawingml/2006/main">
                  <a:graphicData uri="http://schemas.microsoft.com/office/word/2010/wordprocessingShape">
                    <wps:wsp>
                      <wps:cNvSpPr/>
                      <wps:spPr>
                        <a:xfrm>
                          <a:off x="0" y="0"/>
                          <a:ext cx="1275261" cy="304800"/>
                        </a:xfrm>
                        <a:prstGeom prst="flowChartAlternateProcess">
                          <a:avLst/>
                        </a:prstGeom>
                        <a:solidFill>
                          <a:sysClr val="window" lastClr="FFFFFF"/>
                        </a:solidFill>
                        <a:ln w="25400" cap="flat" cmpd="sng" algn="ctr">
                          <a:solidFill>
                            <a:srgbClr val="F79646"/>
                          </a:solidFill>
                          <a:prstDash val="solid"/>
                        </a:ln>
                        <a:effectLst/>
                      </wps:spPr>
                      <wps:txbx>
                        <w:txbxContent>
                          <w:p w14:paraId="7303FE37" w14:textId="097474CB" w:rsidR="005062ED" w:rsidRPr="00116892" w:rsidRDefault="00593BEA" w:rsidP="00116892">
                            <w:pPr>
                              <w:spacing w:line="320" w:lineRule="exact"/>
                              <w:jc w:val="center"/>
                              <w:rPr>
                                <w:rFonts w:ascii="UD デジタル 教科書体 NP-B" w:eastAsia="UD デジタル 教科書体 NP-B"/>
                                <w:sz w:val="32"/>
                                <w:szCs w:val="32"/>
                              </w:rPr>
                            </w:pPr>
                            <w:r w:rsidRPr="00116892">
                              <w:rPr>
                                <w:rFonts w:ascii="UD デジタル 教科書体 NP-B" w:eastAsia="UD デジタル 教科書体 NP-B" w:hAnsi="Meiryo UI" w:hint="eastAsia"/>
                                <w:sz w:val="32"/>
                                <w:szCs w:val="32"/>
                              </w:rPr>
                              <w:t>参考</w:t>
                            </w:r>
                            <w:r w:rsidR="005062ED" w:rsidRPr="00116892">
                              <w:rPr>
                                <w:rFonts w:ascii="UD デジタル 教科書体 NP-B" w:eastAsia="UD デジタル 教科書体 NP-B" w:hAnsi="Meiryo UI" w:hint="eastAsia"/>
                                <w:sz w:val="32"/>
                                <w:szCs w:val="32"/>
                              </w:rPr>
                              <w:t>資料</w:t>
                            </w:r>
                            <w:r w:rsidR="00F86E44">
                              <w:rPr>
                                <w:rFonts w:ascii="UD デジタル 教科書体 NP-B" w:eastAsia="UD デジタル 教科書体 NP-B" w:hAnsi="Meiryo UI" w:hint="eastAsia"/>
                                <w:sz w:val="32"/>
                                <w:szCs w:val="32"/>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A18D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2" o:spid="_x0000_s1026" type="#_x0000_t176" style="position:absolute;margin-left:379.6pt;margin-top:-10.3pt;width:100.4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" fillcolor="window" strokecolor="#f79646" strokeweight="2pt">
                <v:textbox inset=",0,,0">
                  <w:txbxContent>
                    <w:p w14:paraId="7303FE37" w14:textId="097474CB" w:rsidR="005062ED" w:rsidRPr="00116892" w:rsidRDefault="00593BEA" w:rsidP="00116892">
                      <w:pPr>
                        <w:spacing w:line="320" w:lineRule="exact"/>
                        <w:jc w:val="center"/>
                        <w:rPr>
                          <w:rFonts w:ascii="UD デジタル 教科書体 NP-B" w:eastAsia="UD デジタル 教科書体 NP-B"/>
                          <w:sz w:val="32"/>
                          <w:szCs w:val="32"/>
                        </w:rPr>
                      </w:pPr>
                      <w:r w:rsidRPr="00116892">
                        <w:rPr>
                          <w:rFonts w:ascii="UD デジタル 教科書体 NP-B" w:eastAsia="UD デジタル 教科書体 NP-B" w:hAnsi="Meiryo UI" w:hint="eastAsia"/>
                          <w:sz w:val="32"/>
                          <w:szCs w:val="32"/>
                        </w:rPr>
                        <w:t>参考</w:t>
                      </w:r>
                      <w:r w:rsidR="005062ED" w:rsidRPr="00116892">
                        <w:rPr>
                          <w:rFonts w:ascii="UD デジタル 教科書体 NP-B" w:eastAsia="UD デジタル 教科書体 NP-B" w:hAnsi="Meiryo UI" w:hint="eastAsia"/>
                          <w:sz w:val="32"/>
                          <w:szCs w:val="32"/>
                        </w:rPr>
                        <w:t>資料</w:t>
                      </w:r>
                      <w:r w:rsidR="00F86E44">
                        <w:rPr>
                          <w:rFonts w:ascii="UD デジタル 教科書体 NP-B" w:eastAsia="UD デジタル 教科書体 NP-B" w:hAnsi="Meiryo UI" w:hint="eastAsia"/>
                          <w:sz w:val="32"/>
                          <w:szCs w:val="32"/>
                        </w:rPr>
                        <w:t>１</w:t>
                      </w:r>
                    </w:p>
                  </w:txbxContent>
                </v:textbox>
                <w10:wrap anchorx="margin"/>
              </v:shape>
            </w:pict>
          </mc:Fallback>
        </mc:AlternateContent>
      </w:r>
    </w:p>
    <w:p w14:paraId="3B55057E" w14:textId="3FAE72AE" w:rsidR="00953845" w:rsidRPr="00953845" w:rsidRDefault="0055378A" w:rsidP="00A35F36">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○大阪府インターネット上の誹謗中傷や差別等の人権侵害のない社会づくり条例</w:t>
      </w:r>
    </w:p>
    <w:p w14:paraId="18276897" w14:textId="01A53E55" w:rsidR="00843B93" w:rsidRDefault="0055378A" w:rsidP="0095384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令和四年三月二十九日</w:t>
      </w:r>
    </w:p>
    <w:p w14:paraId="3AE4368F" w14:textId="77777777" w:rsidR="00843B93" w:rsidRDefault="0055378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大阪府条例第四十八号</w:t>
      </w:r>
    </w:p>
    <w:p w14:paraId="600DCD49"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大阪府インターネット上の誹謗中傷や差別等の人権侵害のない社会づくり条例を公布する。</w:t>
      </w:r>
    </w:p>
    <w:p w14:paraId="0C895259" w14:textId="77777777" w:rsidR="00843B93" w:rsidRDefault="0055378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w:t>
      </w:r>
    </w:p>
    <w:p w14:paraId="0B28D83B"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38FC163E"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今後、「</w:t>
      </w:r>
      <w:r>
        <w:rPr>
          <w:rFonts w:ascii="ＭＳ 明朝" w:eastAsia="ＭＳ 明朝" w:hAnsi="ＭＳ 明朝" w:cs="ＭＳ 明朝"/>
          <w:color w:val="000000"/>
          <w:kern w:val="0"/>
          <w:sz w:val="20"/>
          <w:szCs w:val="20"/>
        </w:rPr>
        <w:t>Society5.0</w:t>
      </w:r>
      <w:r>
        <w:rPr>
          <w:rFonts w:ascii="ＭＳ 明朝" w:eastAsia="ＭＳ 明朝"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14:paraId="39EE14F3"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5378A">
              <w:rPr>
                <w:rFonts w:ascii="ＭＳ 明朝" w:eastAsia="ＭＳ 明朝" w:hAnsi="ＭＳ 明朝" w:cs="ＭＳ 明朝" w:hint="eastAsia"/>
                <w:color w:val="000000"/>
                <w:kern w:val="0"/>
                <w:sz w:val="20"/>
                <w:szCs w:val="20"/>
              </w:rPr>
              <w:t>ひぼう</w:t>
            </w:r>
          </w:rt>
          <w:rubyBase>
            <w:r w:rsidR="0055378A">
              <w:rPr>
                <w:rFonts w:ascii="ＭＳ 明朝" w:eastAsia="ＭＳ 明朝" w:hAnsi="ＭＳ 明朝" w:cs="ＭＳ 明朝" w:hint="eastAsia"/>
                <w:color w:val="000000"/>
                <w:kern w:val="0"/>
                <w:sz w:val="20"/>
                <w:szCs w:val="20"/>
              </w:rPr>
              <w:t>誹謗</w:t>
            </w:r>
          </w:rubyBase>
        </w:ruby>
      </w:r>
      <w:r>
        <w:rPr>
          <w:rFonts w:ascii="ＭＳ 明朝" w:eastAsia="ＭＳ 明朝" w:hAnsi="ＭＳ 明朝" w:cs="ＭＳ 明朝" w:hint="eastAsia"/>
          <w:color w:val="000000"/>
          <w:kern w:val="0"/>
          <w:sz w:val="20"/>
          <w:szCs w:val="20"/>
        </w:rPr>
        <w:t>中傷等で心が傷つき、最悪の場合、自ら命を絶ってしまう事態を招くこともある。</w:t>
      </w:r>
    </w:p>
    <w:p w14:paraId="7DA6929A"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7A532676"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62F77B45"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4B40F064" w14:textId="77777777" w:rsidR="00843B93" w:rsidRDefault="0055378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1552FC81" w14:textId="77777777" w:rsidR="00A031F9" w:rsidRPr="00953845" w:rsidRDefault="0055378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この条例は、インタ</w:t>
      </w:r>
      <w:r w:rsidRPr="00953845">
        <w:rPr>
          <w:rFonts w:ascii="ＭＳ 明朝" w:eastAsia="ＭＳ 明朝" w:hAnsi="ＭＳ 明朝" w:cs="ＭＳ 明朝" w:hint="eastAsia"/>
          <w:color w:val="000000"/>
          <w:kern w:val="0"/>
          <w:sz w:val="20"/>
          <w:szCs w:val="20"/>
        </w:rPr>
        <w:t>ーネット上の誹謗中傷等の人権侵害を防止し、府民の誰もが加害者にも被害者にもならないよう、府の責務及び府民の役割を明らかにするとともに、府の施策の基本となる事項を</w:t>
      </w:r>
      <w:r w:rsidR="00B45EE7" w:rsidRPr="00953845">
        <w:rPr>
          <w:rFonts w:ascii="ＭＳ 明朝" w:eastAsia="ＭＳ 明朝" w:hAnsi="ＭＳ 明朝" w:cs="ＭＳ 明朝" w:hint="eastAsia"/>
          <w:color w:val="000000"/>
          <w:kern w:val="0"/>
          <w:sz w:val="20"/>
          <w:szCs w:val="20"/>
        </w:rPr>
        <w:t>定め</w:t>
      </w:r>
      <w:r w:rsidR="006058FB" w:rsidRPr="00953845">
        <w:rPr>
          <w:rFonts w:ascii="ＭＳ 明朝" w:eastAsia="ＭＳ 明朝" w:hAnsi="ＭＳ 明朝" w:cs="ＭＳ 明朝" w:hint="eastAsia"/>
          <w:color w:val="000000"/>
          <w:kern w:val="0"/>
          <w:sz w:val="20"/>
          <w:szCs w:val="20"/>
        </w:rPr>
        <w:t>ることにより、これを推進</w:t>
      </w:r>
      <w:r w:rsidR="00B45EE7" w:rsidRPr="00953845">
        <w:rPr>
          <w:rFonts w:ascii="ＭＳ 明朝" w:eastAsia="ＭＳ 明朝" w:hAnsi="ＭＳ 明朝" w:cs="ＭＳ 明朝" w:hint="eastAsia"/>
          <w:color w:val="000000"/>
          <w:kern w:val="0"/>
          <w:sz w:val="20"/>
          <w:szCs w:val="20"/>
        </w:rPr>
        <w:t>することを</w:t>
      </w:r>
      <w:r w:rsidRPr="00953845">
        <w:rPr>
          <w:rFonts w:ascii="ＭＳ 明朝" w:eastAsia="ＭＳ 明朝" w:hAnsi="ＭＳ 明朝" w:cs="ＭＳ 明朝" w:hint="eastAsia"/>
          <w:color w:val="000000"/>
          <w:kern w:val="0"/>
          <w:sz w:val="20"/>
          <w:szCs w:val="20"/>
        </w:rPr>
        <w:t>目的とする。</w:t>
      </w:r>
    </w:p>
    <w:p w14:paraId="2BADA1FA"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（定義）</w:t>
      </w:r>
    </w:p>
    <w:p w14:paraId="3F2BC7BE" w14:textId="77777777" w:rsidR="00A031F9" w:rsidRPr="009F5532"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14:paraId="0D9A8849" w14:textId="77777777" w:rsidR="00A031F9" w:rsidRPr="00897183"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b/>
          <w:color w:val="000000"/>
          <w:kern w:val="0"/>
          <w:sz w:val="20"/>
          <w:szCs w:val="20"/>
          <w:u w:val="single"/>
        </w:rPr>
      </w:pPr>
      <w:r>
        <w:rPr>
          <w:rFonts w:ascii="ＭＳ 明朝" w:eastAsia="ＭＳ 明朝" w:hAnsi="ＭＳ 明朝" w:cs="ＭＳ 明朝" w:hint="eastAsia"/>
          <w:color w:val="000000"/>
          <w:kern w:val="0"/>
          <w:sz w:val="20"/>
          <w:szCs w:val="20"/>
        </w:rPr>
        <w:t xml:space="preserve">　</w:t>
      </w:r>
      <w:r w:rsidRPr="00675026">
        <w:rPr>
          <w:rFonts w:ascii="ＭＳ 明朝" w:eastAsia="ＭＳ 明朝" w:hAnsi="ＭＳ 明朝" w:cs="ＭＳ 明朝" w:hint="eastAsia"/>
          <w:color w:val="000000"/>
          <w:kern w:val="0"/>
          <w:sz w:val="20"/>
          <w:szCs w:val="20"/>
        </w:rPr>
        <w:t>一</w:t>
      </w:r>
      <w:r w:rsidRPr="00C40D2D">
        <w:rPr>
          <w:rFonts w:ascii="ＭＳ 明朝" w:eastAsia="ＭＳ 明朝" w:hAnsi="ＭＳ 明朝" w:cs="ＭＳ 明朝" w:hint="eastAsia"/>
          <w:b/>
          <w:color w:val="000000"/>
          <w:kern w:val="0"/>
          <w:sz w:val="20"/>
          <w:szCs w:val="20"/>
        </w:rPr>
        <w:t xml:space="preserve">　</w:t>
      </w:r>
      <w:r>
        <w:rPr>
          <w:rFonts w:ascii="ＭＳ 明朝" w:eastAsia="ＭＳ 明朝" w:hAnsi="ＭＳ 明朝" w:cs="ＭＳ 明朝" w:hint="eastAsia"/>
          <w:color w:val="000000"/>
          <w:kern w:val="0"/>
          <w:sz w:val="20"/>
          <w:szCs w:val="20"/>
        </w:rPr>
        <w:t>誹謗中傷等　インターネット上において、誹謗中傷、プライバシーの侵害</w:t>
      </w:r>
      <w:r w:rsidRPr="00642B2C">
        <w:rPr>
          <w:rFonts w:ascii="ＭＳ 明朝" w:eastAsia="ＭＳ 明朝" w:hAnsi="ＭＳ 明朝" w:cs="ＭＳ 明朝" w:hint="eastAsia"/>
          <w:color w:val="000000"/>
          <w:kern w:val="0"/>
          <w:sz w:val="20"/>
          <w:szCs w:val="20"/>
        </w:rPr>
        <w:t>及び</w:t>
      </w:r>
      <w:r>
        <w:rPr>
          <w:rFonts w:ascii="ＭＳ 明朝" w:eastAsia="ＭＳ 明朝" w:hAnsi="ＭＳ 明朝" w:cs="ＭＳ 明朝" w:hint="eastAsia"/>
          <w:color w:val="000000"/>
          <w:kern w:val="0"/>
          <w:sz w:val="20"/>
          <w:szCs w:val="20"/>
        </w:rPr>
        <w:t>不当な差別的言動</w:t>
      </w:r>
      <w:r w:rsidRPr="00CB3F86">
        <w:rPr>
          <w:rFonts w:ascii="ＭＳ ゴシック" w:eastAsia="ＭＳ ゴシック" w:hAnsi="ＭＳ ゴシック" w:cs="ＭＳ 明朝" w:hint="eastAsia"/>
          <w:bCs/>
          <w:color w:val="000000"/>
          <w:kern w:val="0"/>
          <w:sz w:val="20"/>
          <w:szCs w:val="20"/>
        </w:rPr>
        <w:t>（</w:t>
      </w:r>
      <w:r w:rsidRPr="00CB3F86">
        <w:rPr>
          <w:rFonts w:ascii="ＭＳ ゴシック" w:eastAsia="ＭＳ ゴシック" w:hAnsi="ＭＳ ゴシック" w:cs="ＭＳ 明朝"/>
          <w:bCs/>
          <w:color w:val="000000"/>
          <w:kern w:val="0"/>
          <w:sz w:val="20"/>
          <w:szCs w:val="20"/>
        </w:rPr>
        <w:t>人種、民族、信条、性別、</w:t>
      </w:r>
      <w:r w:rsidRPr="00CB3F86">
        <w:rPr>
          <w:rFonts w:ascii="ＭＳ ゴシック" w:eastAsia="ＭＳ ゴシック" w:hAnsi="ＭＳ ゴシック" w:cs="ＭＳ 明朝" w:hint="eastAsia"/>
          <w:bCs/>
          <w:color w:val="000000"/>
          <w:kern w:val="0"/>
          <w:sz w:val="20"/>
          <w:szCs w:val="20"/>
        </w:rPr>
        <w:t>社会的身分</w:t>
      </w:r>
      <w:r w:rsidRPr="00CB3F86">
        <w:rPr>
          <w:rFonts w:ascii="ＭＳ ゴシック" w:eastAsia="ＭＳ ゴシック" w:hAnsi="ＭＳ ゴシック" w:cs="ＭＳ 明朝"/>
          <w:bCs/>
          <w:color w:val="000000"/>
          <w:kern w:val="0"/>
          <w:sz w:val="20"/>
          <w:szCs w:val="20"/>
        </w:rPr>
        <w:t>、</w:t>
      </w:r>
      <w:r w:rsidRPr="00CB3F86">
        <w:rPr>
          <w:rFonts w:ascii="ＭＳ ゴシック" w:eastAsia="ＭＳ ゴシック" w:hAnsi="ＭＳ ゴシック" w:cs="ＭＳ 明朝" w:hint="eastAsia"/>
          <w:bCs/>
          <w:color w:val="000000"/>
          <w:kern w:val="0"/>
          <w:sz w:val="20"/>
          <w:szCs w:val="20"/>
        </w:rPr>
        <w:t>門地、</w:t>
      </w:r>
      <w:r w:rsidRPr="00CB3F86">
        <w:rPr>
          <w:rFonts w:ascii="ＭＳ ゴシック" w:eastAsia="ＭＳ ゴシック" w:hAnsi="ＭＳ ゴシック" w:cs="ＭＳ 明朝"/>
          <w:bCs/>
          <w:color w:val="000000"/>
          <w:kern w:val="0"/>
          <w:sz w:val="20"/>
          <w:szCs w:val="20"/>
        </w:rPr>
        <w:t>障</w:t>
      </w:r>
      <w:r w:rsidRPr="00CB3F86">
        <w:rPr>
          <w:rFonts w:ascii="ＭＳ ゴシック" w:eastAsia="ＭＳ ゴシック" w:hAnsi="ＭＳ ゴシック" w:cs="ＭＳ 明朝" w:hint="eastAsia"/>
          <w:bCs/>
          <w:color w:val="000000"/>
          <w:kern w:val="0"/>
          <w:sz w:val="20"/>
          <w:szCs w:val="20"/>
        </w:rPr>
        <w:t>害、疾病、性的指向、性自認等</w:t>
      </w:r>
      <w:r w:rsidRPr="00CB3F86">
        <w:rPr>
          <w:rFonts w:ascii="ＭＳ ゴシック" w:eastAsia="ＭＳ ゴシック" w:hAnsi="ＭＳ ゴシック" w:cs="ＭＳ 明朝"/>
          <w:bCs/>
          <w:color w:val="000000"/>
          <w:kern w:val="0"/>
          <w:sz w:val="20"/>
          <w:szCs w:val="20"/>
        </w:rPr>
        <w:t>の</w:t>
      </w:r>
      <w:r w:rsidRPr="00CB3F86">
        <w:rPr>
          <w:rFonts w:ascii="ＭＳ ゴシック" w:eastAsia="ＭＳ ゴシック" w:hAnsi="ＭＳ ゴシック" w:cs="ＭＳ 明朝" w:hint="eastAsia"/>
          <w:bCs/>
          <w:color w:val="000000"/>
          <w:kern w:val="0"/>
          <w:sz w:val="20"/>
          <w:szCs w:val="20"/>
        </w:rPr>
        <w:t>共通の属性</w:t>
      </w:r>
      <w:r w:rsidRPr="00CB3F86">
        <w:rPr>
          <w:rFonts w:ascii="ＭＳ ゴシック" w:eastAsia="ＭＳ ゴシック" w:hAnsi="ＭＳ ゴシック" w:cs="ＭＳ 明朝"/>
          <w:bCs/>
          <w:color w:val="000000"/>
          <w:kern w:val="0"/>
          <w:sz w:val="20"/>
          <w:szCs w:val="20"/>
        </w:rPr>
        <w:t>を理由と</w:t>
      </w:r>
      <w:r w:rsidRPr="00CB3F86">
        <w:rPr>
          <w:rFonts w:ascii="ＭＳ ゴシック" w:eastAsia="ＭＳ ゴシック" w:hAnsi="ＭＳ ゴシック" w:cs="ＭＳ 明朝" w:hint="eastAsia"/>
          <w:bCs/>
          <w:color w:val="000000"/>
          <w:kern w:val="0"/>
          <w:sz w:val="20"/>
          <w:szCs w:val="20"/>
        </w:rPr>
        <w:t>してする侮辱、嫌がらせ等の言動又は当該属性を理由として不当な差別的取扱いをすることを助長し</w:t>
      </w:r>
      <w:r w:rsidR="008C2458" w:rsidRPr="00CB3F86">
        <w:rPr>
          <w:rFonts w:ascii="ＭＳ ゴシック" w:eastAsia="ＭＳ ゴシック" w:hAnsi="ＭＳ ゴシック" w:cs="ＭＳ 明朝" w:hint="eastAsia"/>
          <w:bCs/>
          <w:color w:val="000000"/>
          <w:kern w:val="0"/>
          <w:sz w:val="20"/>
          <w:szCs w:val="20"/>
        </w:rPr>
        <w:t>、</w:t>
      </w:r>
      <w:r w:rsidRPr="00CB3F86">
        <w:rPr>
          <w:rFonts w:ascii="ＭＳ ゴシック" w:eastAsia="ＭＳ ゴシック" w:hAnsi="ＭＳ ゴシック" w:cs="ＭＳ 明朝" w:hint="eastAsia"/>
          <w:bCs/>
          <w:color w:val="000000"/>
          <w:kern w:val="0"/>
          <w:sz w:val="20"/>
          <w:szCs w:val="20"/>
        </w:rPr>
        <w:t>若しくは誘発すると判断できる言動をいう。以下同じ。）</w:t>
      </w:r>
      <w:r w:rsidRPr="00846888">
        <w:rPr>
          <w:rFonts w:ascii="ＭＳ 明朝" w:eastAsia="ＭＳ 明朝" w:hAnsi="ＭＳ 明朝" w:cs="ＭＳ 明朝" w:hint="eastAsia"/>
          <w:color w:val="000000"/>
          <w:kern w:val="0"/>
          <w:sz w:val="20"/>
          <w:szCs w:val="20"/>
        </w:rPr>
        <w:t>等</w:t>
      </w:r>
      <w:r w:rsidRPr="002C3F73">
        <w:rPr>
          <w:rFonts w:ascii="ＭＳ 明朝" w:eastAsia="ＭＳ 明朝" w:hAnsi="ＭＳ 明朝" w:cs="ＭＳ 明朝" w:hint="eastAsia"/>
          <w:color w:val="000000"/>
          <w:kern w:val="0"/>
          <w:sz w:val="20"/>
          <w:szCs w:val="20"/>
        </w:rPr>
        <w:t>による</w:t>
      </w:r>
      <w:r>
        <w:rPr>
          <w:rFonts w:ascii="ＭＳ 明朝" w:eastAsia="ＭＳ 明朝" w:hAnsi="ＭＳ 明朝" w:cs="ＭＳ 明朝" w:hint="eastAsia"/>
          <w:color w:val="000000"/>
          <w:kern w:val="0"/>
          <w:sz w:val="20"/>
          <w:szCs w:val="20"/>
        </w:rPr>
        <w:t>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7C6B1E33" w14:textId="77777777" w:rsidR="00A031F9" w:rsidRPr="00675026"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w:t>
      </w:r>
      <w:r w:rsidRPr="00675026">
        <w:rPr>
          <w:rFonts w:ascii="ＭＳ 明朝" w:eastAsia="ＭＳ 明朝" w:hAnsi="ＭＳ 明朝" w:cs="ＭＳ 明朝" w:hint="eastAsia"/>
          <w:color w:val="000000"/>
          <w:kern w:val="0"/>
          <w:sz w:val="20"/>
          <w:szCs w:val="20"/>
        </w:rPr>
        <w:t xml:space="preserve">　被害者　誹謗中傷等により平穏な日常生活又は経済活動等を害された者をいう。</w:t>
      </w:r>
    </w:p>
    <w:p w14:paraId="347287E2" w14:textId="77777777" w:rsidR="00A031F9" w:rsidRPr="00675026"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w:t>
      </w:r>
      <w:r w:rsidRPr="00675026">
        <w:rPr>
          <w:rFonts w:ascii="ＭＳ 明朝" w:eastAsia="ＭＳ 明朝" w:hAnsi="ＭＳ 明朝" w:cs="ＭＳ 明朝" w:hint="eastAsia"/>
          <w:color w:val="000000"/>
          <w:kern w:val="0"/>
          <w:sz w:val="20"/>
          <w:szCs w:val="20"/>
        </w:rPr>
        <w:t xml:space="preserve">　行為者　誹謗中傷等により被害者を発生させた者をいう。</w:t>
      </w:r>
    </w:p>
    <w:p w14:paraId="28D3BE99" w14:textId="77777777" w:rsidR="00A031F9"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color w:val="000000"/>
          <w:kern w:val="0"/>
          <w:sz w:val="20"/>
          <w:szCs w:val="20"/>
        </w:rPr>
      </w:pPr>
      <w:r w:rsidRPr="00675026">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四　</w:t>
      </w:r>
      <w:r w:rsidRPr="00E265D3">
        <w:rPr>
          <w:rFonts w:ascii="ＭＳ 明朝" w:eastAsia="ＭＳ 明朝" w:hAnsi="ＭＳ 明朝" w:cs="ＭＳ 明朝" w:hint="eastAsia"/>
          <w:color w:val="000000"/>
          <w:kern w:val="0"/>
          <w:sz w:val="20"/>
          <w:szCs w:val="20"/>
        </w:rPr>
        <w:t>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5E43B0B9"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（府の責務）</w:t>
      </w:r>
    </w:p>
    <w:p w14:paraId="65DF8B70"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第三条　府は</w:t>
      </w:r>
      <w:r>
        <w:rPr>
          <w:rFonts w:ascii="ＭＳ 明朝" w:eastAsia="ＭＳ 明朝" w:hAnsi="ＭＳ 明朝" w:cs="ＭＳ 明朝" w:hint="eastAsia"/>
          <w:color w:val="000000"/>
          <w:kern w:val="0"/>
          <w:sz w:val="20"/>
          <w:szCs w:val="20"/>
        </w:rPr>
        <w:t>、行為者及び被害者を発生させないための施策、被害者を支援するための施策並びに行為者が再び誹謗中傷等を行うことを抑制するための施策を実施する。</w:t>
      </w:r>
    </w:p>
    <w:p w14:paraId="4BF5268C"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（議会の責務）</w:t>
      </w:r>
    </w:p>
    <w:p w14:paraId="16D4A10E"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第四条　議会及び議員は、この条例の趣旨にのっとり、不断の研</w:t>
      </w:r>
      <w:r w:rsidRPr="009F5532">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031F9" w:rsidRPr="009F5532">
              <w:rPr>
                <w:rFonts w:ascii="ＭＳ 明朝" w:eastAsia="ＭＳ 明朝" w:hAnsi="ＭＳ 明朝" w:cs="ＭＳ 明朝" w:hint="eastAsia"/>
                <w:color w:val="000000"/>
                <w:kern w:val="0"/>
                <w:sz w:val="20"/>
                <w:szCs w:val="20"/>
              </w:rPr>
              <w:t>さん</w:t>
            </w:r>
          </w:rt>
          <w:rubyBase>
            <w:r w:rsidR="00A031F9" w:rsidRPr="009F5532">
              <w:rPr>
                <w:rFonts w:ascii="ＭＳ 明朝" w:eastAsia="ＭＳ 明朝" w:hAnsi="ＭＳ 明朝" w:cs="ＭＳ 明朝" w:hint="eastAsia"/>
                <w:color w:val="000000"/>
                <w:kern w:val="0"/>
                <w:sz w:val="20"/>
                <w:szCs w:val="20"/>
              </w:rPr>
              <w:t>鑽</w:t>
            </w:r>
          </w:rubyBase>
        </w:ruby>
      </w:r>
      <w:r w:rsidRPr="009F5532">
        <w:rPr>
          <w:rFonts w:ascii="ＭＳ 明朝" w:eastAsia="ＭＳ 明朝" w:hAnsi="ＭＳ 明朝" w:cs="ＭＳ 明朝" w:hint="eastAsia"/>
          <w:color w:val="000000"/>
          <w:kern w:val="0"/>
          <w:sz w:val="20"/>
          <w:szCs w:val="20"/>
        </w:rPr>
        <w:t>によりインターネットリテラシーの向上</w:t>
      </w:r>
      <w:r w:rsidRPr="009F5532">
        <w:rPr>
          <w:rFonts w:ascii="ＭＳ 明朝" w:eastAsia="ＭＳ 明朝" w:hAnsi="ＭＳ 明朝" w:cs="ＭＳ 明朝" w:hint="eastAsia"/>
          <w:color w:val="000000"/>
          <w:kern w:val="0"/>
          <w:sz w:val="20"/>
          <w:szCs w:val="20"/>
        </w:rPr>
        <w:lastRenderedPageBreak/>
        <w:t>に努め、府民の範となって活動し、及び行動する。</w:t>
      </w:r>
    </w:p>
    <w:p w14:paraId="7633418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（府民の役割）</w:t>
      </w:r>
    </w:p>
    <w:p w14:paraId="276658D3"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第五条　府民は、自</w:t>
      </w:r>
      <w:r>
        <w:rPr>
          <w:rFonts w:ascii="ＭＳ 明朝" w:eastAsia="ＭＳ 明朝" w:hAnsi="ＭＳ 明朝" w:cs="ＭＳ 明朝" w:hint="eastAsia"/>
          <w:color w:val="000000"/>
          <w:kern w:val="0"/>
          <w:sz w:val="20"/>
          <w:szCs w:val="20"/>
        </w:rPr>
        <w:t>らが行為者となることがないよう、インターネットリテラシーの向上に努めるとともに、被害者が置かれている状況及び被害者の支援の必要性についての理解を深めるよう努めるものとする。</w:t>
      </w:r>
    </w:p>
    <w:p w14:paraId="1C6A5CB6"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（事業者の責務）</w:t>
      </w:r>
    </w:p>
    <w:p w14:paraId="37738597"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 xml:space="preserve">第六条　</w:t>
      </w:r>
      <w:r w:rsidRPr="00CB3F86">
        <w:rPr>
          <w:rFonts w:ascii="ＭＳ ゴシック" w:eastAsia="ＭＳ ゴシック" w:hAnsi="ＭＳ ゴシック" w:cs="ＭＳ 明朝"/>
          <w:bCs/>
          <w:color w:val="000000"/>
          <w:kern w:val="0"/>
          <w:sz w:val="20"/>
          <w:szCs w:val="20"/>
        </w:rPr>
        <w:t>事業者は、</w:t>
      </w:r>
      <w:r w:rsidRPr="00CB3F86">
        <w:rPr>
          <w:rFonts w:ascii="ＭＳ ゴシック" w:eastAsia="ＭＳ ゴシック" w:hAnsi="ＭＳ ゴシック" w:cs="ＭＳ 明朝" w:hint="eastAsia"/>
          <w:bCs/>
          <w:color w:val="000000"/>
          <w:kern w:val="0"/>
          <w:sz w:val="20"/>
          <w:szCs w:val="20"/>
        </w:rPr>
        <w:t>この条例の趣旨</w:t>
      </w:r>
      <w:r w:rsidRPr="00CB3F86">
        <w:rPr>
          <w:rFonts w:ascii="ＭＳ ゴシック" w:eastAsia="ＭＳ ゴシック" w:hAnsi="ＭＳ ゴシック" w:cs="ＭＳ 明朝"/>
          <w:bCs/>
          <w:color w:val="000000"/>
          <w:kern w:val="0"/>
          <w:sz w:val="20"/>
          <w:szCs w:val="20"/>
        </w:rPr>
        <w:t>にのっとり、</w:t>
      </w:r>
      <w:r w:rsidRPr="00CB3F86">
        <w:rPr>
          <w:rFonts w:ascii="ＭＳ ゴシック" w:eastAsia="ＭＳ ゴシック" w:hAnsi="ＭＳ ゴシック" w:cs="ＭＳ 明朝" w:hint="eastAsia"/>
          <w:bCs/>
          <w:color w:val="000000"/>
          <w:kern w:val="0"/>
          <w:sz w:val="20"/>
          <w:szCs w:val="20"/>
        </w:rPr>
        <w:t>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65D8B2A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（連携協力）</w:t>
      </w:r>
    </w:p>
    <w:p w14:paraId="454B2888"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第七条</w:t>
      </w:r>
      <w:r w:rsidRPr="009F5532">
        <w:rPr>
          <w:rFonts w:ascii="ＭＳ 明朝" w:eastAsia="ＭＳ 明朝" w:hAnsi="ＭＳ 明朝" w:cs="ＭＳ 明朝" w:hint="eastAsia"/>
          <w:color w:val="000000"/>
          <w:kern w:val="0"/>
          <w:sz w:val="20"/>
          <w:szCs w:val="20"/>
        </w:rPr>
        <w:t xml:space="preserve">　府は、第三条の施策を円滑に実施するため、国、市町村、支援団体その他の関係機関と連携協力を図らなければならない。</w:t>
      </w:r>
    </w:p>
    <w:p w14:paraId="6F5EBE26"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（基本的施策）</w:t>
      </w:r>
    </w:p>
    <w:p w14:paraId="20B1A25B"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第八条</w:t>
      </w:r>
      <w:r w:rsidRPr="009F5532">
        <w:rPr>
          <w:rFonts w:ascii="ＭＳ 明朝" w:eastAsia="ＭＳ 明朝" w:hAnsi="ＭＳ 明朝" w:cs="ＭＳ 明朝" w:hint="eastAsia"/>
          <w:color w:val="000000"/>
          <w:kern w:val="0"/>
          <w:sz w:val="20"/>
          <w:szCs w:val="20"/>
        </w:rPr>
        <w:t xml:space="preserve">　府は</w:t>
      </w:r>
      <w:r>
        <w:rPr>
          <w:rFonts w:ascii="ＭＳ 明朝" w:eastAsia="ＭＳ 明朝" w:hAnsi="ＭＳ 明朝" w:cs="ＭＳ 明朝" w:hint="eastAsia"/>
          <w:color w:val="000000"/>
          <w:kern w:val="0"/>
          <w:sz w:val="20"/>
          <w:szCs w:val="20"/>
        </w:rPr>
        <w:t>、次に掲げる施策に取り組むものとする。</w:t>
      </w:r>
    </w:p>
    <w:p w14:paraId="59AE3BEC"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府民の年齢、立場等に応じたインターネットリテラシーの向上に資する施策</w:t>
      </w:r>
    </w:p>
    <w:p w14:paraId="0C3DB5CA"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被害者の心理的負担の軽減等に関する相談支援体制の整備</w:t>
      </w:r>
    </w:p>
    <w:p w14:paraId="3673ACD2"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行為者の誹謗中傷等を抑制するための相談支援体制の整備</w:t>
      </w:r>
    </w:p>
    <w:p w14:paraId="0EB9D51A" w14:textId="77777777" w:rsidR="00A031F9"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color w:val="000000"/>
          <w:kern w:val="0"/>
          <w:sz w:val="20"/>
          <w:szCs w:val="20"/>
        </w:rPr>
      </w:pPr>
      <w:r w:rsidRPr="00C40D2D">
        <w:rPr>
          <w:rFonts w:ascii="ＭＳ 明朝" w:eastAsia="ＭＳ 明朝" w:hAnsi="ＭＳ 明朝" w:cs="ＭＳ 明朝" w:hint="eastAsia"/>
          <w:color w:val="000000"/>
          <w:kern w:val="0"/>
          <w:sz w:val="20"/>
          <w:szCs w:val="20"/>
        </w:rPr>
        <w:t xml:space="preserve">　</w:t>
      </w:r>
      <w:r w:rsidRPr="00675026">
        <w:rPr>
          <w:rFonts w:ascii="ＭＳ 明朝" w:eastAsia="ＭＳ 明朝" w:hAnsi="ＭＳ 明朝" w:cs="ＭＳ 明朝" w:hint="eastAsia"/>
          <w:color w:val="000000"/>
          <w:kern w:val="0"/>
          <w:sz w:val="20"/>
          <w:szCs w:val="20"/>
        </w:rPr>
        <w:t>四</w:t>
      </w:r>
      <w:r w:rsidRPr="00C40D2D">
        <w:rPr>
          <w:rFonts w:ascii="ＭＳ 明朝" w:eastAsia="ＭＳ 明朝" w:hAnsi="ＭＳ 明朝" w:cs="ＭＳ 明朝" w:hint="eastAsia"/>
          <w:b/>
          <w:color w:val="000000"/>
          <w:kern w:val="0"/>
          <w:sz w:val="20"/>
          <w:szCs w:val="20"/>
        </w:rPr>
        <w:t xml:space="preserve">　</w:t>
      </w:r>
      <w:r>
        <w:rPr>
          <w:rFonts w:ascii="ＭＳ 明朝" w:eastAsia="ＭＳ 明朝" w:hAnsi="ＭＳ 明朝" w:cs="ＭＳ 明朝" w:hint="eastAsia"/>
          <w:color w:val="000000"/>
          <w:kern w:val="0"/>
          <w:sz w:val="20"/>
          <w:szCs w:val="20"/>
        </w:rPr>
        <w:t>前各号に掲げるもののほか、第一条の目的を達成するために必要な施策</w:t>
      </w:r>
    </w:p>
    <w:p w14:paraId="0A30EDA3"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（インターネットリテラシーの向上）</w:t>
      </w:r>
    </w:p>
    <w:p w14:paraId="1219399E"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第九条</w:t>
      </w:r>
      <w:r w:rsidRPr="009F5532">
        <w:rPr>
          <w:rFonts w:ascii="ＭＳ 明朝" w:eastAsia="ＭＳ 明朝" w:hAnsi="ＭＳ 明朝" w:cs="ＭＳ 明朝" w:hint="eastAsia"/>
          <w:color w:val="000000"/>
          <w:kern w:val="0"/>
          <w:sz w:val="20"/>
          <w:szCs w:val="20"/>
        </w:rPr>
        <w:t xml:space="preserve">　府は、府民の年齢、立場等に応じたインターネットリテラシーを学ぶ機会を提供するため</w:t>
      </w:r>
      <w:r>
        <w:rPr>
          <w:rFonts w:ascii="ＭＳ 明朝" w:eastAsia="ＭＳ 明朝" w:hAnsi="ＭＳ 明朝" w:cs="ＭＳ 明朝" w:hint="eastAsia"/>
          <w:color w:val="000000"/>
          <w:kern w:val="0"/>
          <w:sz w:val="20"/>
          <w:szCs w:val="20"/>
        </w:rPr>
        <w:t>、研修会、講演会等の開催のほか、教材等の紹介、情報提供等必要な施策を実施するものとする。</w:t>
      </w:r>
    </w:p>
    <w:p w14:paraId="6CC42D19"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3D031BF5" w14:textId="77777777" w:rsidR="00A031F9" w:rsidRPr="00707C7B"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707C7B">
        <w:rPr>
          <w:rFonts w:ascii="ＭＳ 明朝" w:eastAsia="ＭＳ 明朝" w:hAnsi="ＭＳ 明朝" w:cs="ＭＳ 明朝" w:hint="eastAsia"/>
          <w:color w:val="000000"/>
          <w:kern w:val="0"/>
          <w:sz w:val="20"/>
          <w:szCs w:val="20"/>
        </w:rPr>
        <w:t>（被害者の相談支援体制）</w:t>
      </w:r>
    </w:p>
    <w:p w14:paraId="3B5453DB"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第十条</w:t>
      </w:r>
      <w:r w:rsidRPr="00707C7B">
        <w:rPr>
          <w:rFonts w:ascii="ＭＳ 明朝" w:eastAsia="ＭＳ 明朝" w:hAnsi="ＭＳ 明朝" w:cs="ＭＳ 明朝" w:hint="eastAsia"/>
          <w:color w:val="000000"/>
          <w:kern w:val="0"/>
          <w:sz w:val="20"/>
          <w:szCs w:val="20"/>
        </w:rPr>
        <w:t xml:space="preserve">　府は、被害者の不安、被害者に生じた不利益等を解消し、及び被害者が抱える心理的負担の軽</w:t>
      </w:r>
      <w:r>
        <w:rPr>
          <w:rFonts w:ascii="ＭＳ 明朝" w:eastAsia="ＭＳ 明朝" w:hAnsi="ＭＳ 明朝" w:cs="ＭＳ 明朝" w:hint="eastAsia"/>
          <w:color w:val="000000"/>
          <w:kern w:val="0"/>
          <w:sz w:val="20"/>
          <w:szCs w:val="20"/>
        </w:rPr>
        <w:t>減等を図るため、相談支援体制を整備するものとし、次に掲げる事項を行うものとする。</w:t>
      </w:r>
    </w:p>
    <w:p w14:paraId="2D21C7D6"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14:paraId="03FC16F7"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14:paraId="7909BA60"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前二号に掲げるもののほか、被害者の相談対応として必要な事項</w:t>
      </w:r>
    </w:p>
    <w:p w14:paraId="053FDB02"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7DC17F04"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（行為者等の相談支援体制）</w:t>
      </w:r>
    </w:p>
    <w:p w14:paraId="0332AB80"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第十一条</w:t>
      </w:r>
      <w:r w:rsidRPr="009F5532">
        <w:rPr>
          <w:rFonts w:ascii="ＭＳ 明朝" w:eastAsia="ＭＳ 明朝" w:hAnsi="ＭＳ 明朝" w:cs="ＭＳ 明朝" w:hint="eastAsia"/>
          <w:color w:val="000000"/>
          <w:kern w:val="0"/>
          <w:sz w:val="20"/>
          <w:szCs w:val="20"/>
        </w:rPr>
        <w:t xml:space="preserve">　府は、行為者の誹謗中傷等を抑制するため、相談支援体制を整備するものとし、次に掲げる事</w:t>
      </w:r>
      <w:r>
        <w:rPr>
          <w:rFonts w:ascii="ＭＳ 明朝" w:eastAsia="ＭＳ 明朝" w:hAnsi="ＭＳ 明朝" w:cs="ＭＳ 明朝" w:hint="eastAsia"/>
          <w:color w:val="000000"/>
          <w:kern w:val="0"/>
          <w:sz w:val="20"/>
          <w:szCs w:val="20"/>
        </w:rPr>
        <w:t>項を行うものとする。</w:t>
      </w:r>
    </w:p>
    <w:p w14:paraId="49EA0878"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14:paraId="3253BB90"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14:paraId="514F573B"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前二号に掲げるもののほか、行為者の相談対応として必要な事項</w:t>
      </w:r>
    </w:p>
    <w:p w14:paraId="6BD25D0E"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0048CE23" w14:textId="63AF45CC"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14:paraId="0418C57F"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（削除の要請等）</w:t>
      </w:r>
    </w:p>
    <w:p w14:paraId="455D5621"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lastRenderedPageBreak/>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に対する当該侵害情報の削除の要請又は国その他の関係機関に対する当該侵害情報の通報を行うことができる。</w:t>
      </w:r>
    </w:p>
    <w:p w14:paraId="28BE12A8"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（説示又は助言）</w:t>
      </w:r>
    </w:p>
    <w:p w14:paraId="1EDE827D"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5940A583"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（府民への啓発）</w:t>
      </w:r>
    </w:p>
    <w:p w14:paraId="201A83F5"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第十四条</w:t>
      </w:r>
      <w:r w:rsidRPr="009F5532">
        <w:rPr>
          <w:rFonts w:ascii="ＭＳ 明朝" w:eastAsia="ＭＳ 明朝" w:hAnsi="ＭＳ 明朝" w:cs="ＭＳ 明朝" w:hint="eastAsia"/>
          <w:color w:val="000000"/>
          <w:kern w:val="0"/>
          <w:sz w:val="20"/>
          <w:szCs w:val="20"/>
        </w:rPr>
        <w:t xml:space="preserve">　府は、この条例の趣旨にのっとり、インターネット上の誹謗中傷等の人権侵害の問題に関する府民の理解を深めるため、広報その他の啓発活動を行うものとする。</w:t>
      </w:r>
    </w:p>
    <w:p w14:paraId="34452107"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（審議会への諮問）</w:t>
      </w:r>
    </w:p>
    <w:p w14:paraId="5B10C6E8"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2DABA96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（財政上の措置）</w:t>
      </w:r>
    </w:p>
    <w:p w14:paraId="2D8F405E" w14:textId="77777777" w:rsidR="00A031F9" w:rsidRPr="00707C7B"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第十六条</w:t>
      </w:r>
      <w:r w:rsidRPr="009F5532">
        <w:rPr>
          <w:rFonts w:ascii="ＭＳ 明朝" w:eastAsia="ＭＳ 明朝" w:hAnsi="ＭＳ 明朝" w:cs="ＭＳ 明朝" w:hint="eastAsia"/>
          <w:color w:val="000000"/>
          <w:kern w:val="0"/>
          <w:sz w:val="20"/>
          <w:szCs w:val="20"/>
        </w:rPr>
        <w:t xml:space="preserve">　府は、</w:t>
      </w:r>
      <w:r w:rsidRPr="00707C7B">
        <w:rPr>
          <w:rFonts w:ascii="ＭＳ 明朝" w:eastAsia="ＭＳ 明朝" w:hAnsi="ＭＳ 明朝" w:cs="ＭＳ 明朝" w:hint="eastAsia"/>
          <w:color w:val="000000"/>
          <w:kern w:val="0"/>
          <w:sz w:val="20"/>
          <w:szCs w:val="20"/>
        </w:rPr>
        <w:t>第一条の目的を達成するために必要な財政上の措置を講ずるよう努めなければならない。</w:t>
      </w:r>
    </w:p>
    <w:p w14:paraId="6BA52F76" w14:textId="77777777" w:rsidR="00A031F9" w:rsidRPr="009F5532" w:rsidRDefault="00A031F9" w:rsidP="00A031F9">
      <w:pPr>
        <w:autoSpaceDE w:val="0"/>
        <w:autoSpaceDN w:val="0"/>
        <w:adjustRightInd w:val="0"/>
        <w:spacing w:line="330" w:lineRule="exact"/>
        <w:ind w:left="6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附　則</w:t>
      </w:r>
    </w:p>
    <w:p w14:paraId="3B1AAF7D"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（施行期日）</w:t>
      </w:r>
    </w:p>
    <w:p w14:paraId="09CB1E5D"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１　この条例は、令和四年四月一日から施行する。</w:t>
      </w:r>
    </w:p>
    <w:p w14:paraId="505881FE"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（検討）</w:t>
      </w:r>
    </w:p>
    <w:p w14:paraId="6E7FCD8E" w14:textId="77777777" w:rsidR="00A031F9"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w:t>
      </w:r>
      <w:r>
        <w:rPr>
          <w:rFonts w:ascii="ＭＳ 明朝" w:eastAsia="ＭＳ 明朝" w:hAnsi="ＭＳ 明朝" w:cs="ＭＳ 明朝" w:hint="eastAsia"/>
          <w:color w:val="000000"/>
          <w:kern w:val="0"/>
          <w:sz w:val="20"/>
          <w:szCs w:val="20"/>
        </w:rPr>
        <w:t>議の設置等及び府の組織体制について検討を加え、その結果に応じて必要な措置を講ずるものとする。</w:t>
      </w:r>
    </w:p>
    <w:p w14:paraId="37FDAA16" w14:textId="77777777" w:rsidR="00A031F9" w:rsidRPr="00CB3F86" w:rsidRDefault="00A031F9" w:rsidP="00A031F9">
      <w:pPr>
        <w:autoSpaceDE w:val="0"/>
        <w:autoSpaceDN w:val="0"/>
        <w:adjustRightInd w:val="0"/>
        <w:spacing w:line="330" w:lineRule="exact"/>
        <w:ind w:left="6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附　則</w:t>
      </w:r>
    </w:p>
    <w:p w14:paraId="1972DE3E"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（施行期日）</w:t>
      </w:r>
    </w:p>
    <w:p w14:paraId="66C4B89A" w14:textId="77BB106E"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u w:val="single"/>
        </w:rPr>
      </w:pPr>
      <w:r w:rsidRPr="00CB3F86">
        <w:rPr>
          <w:rFonts w:ascii="ＭＳ ゴシック" w:eastAsia="ＭＳ ゴシック" w:hAnsi="ＭＳ ゴシック" w:cs="ＭＳ 明朝" w:hint="eastAsia"/>
          <w:bCs/>
          <w:color w:val="000000"/>
          <w:kern w:val="0"/>
          <w:sz w:val="20"/>
          <w:szCs w:val="20"/>
        </w:rPr>
        <w:t>１　この条例は、令和六年四月一日から施行する。ただし、第一条</w:t>
      </w:r>
      <w:r w:rsidR="00804F06" w:rsidRPr="00CB3F86">
        <w:rPr>
          <w:rFonts w:ascii="ＭＳ ゴシック" w:eastAsia="ＭＳ ゴシック" w:hAnsi="ＭＳ ゴシック" w:cs="ＭＳ 明朝" w:hint="eastAsia"/>
          <w:bCs/>
          <w:color w:val="000000"/>
          <w:kern w:val="0"/>
          <w:sz w:val="20"/>
          <w:szCs w:val="20"/>
        </w:rPr>
        <w:t>及び次</w:t>
      </w:r>
      <w:r w:rsidRPr="00CB3F86">
        <w:rPr>
          <w:rFonts w:ascii="ＭＳ ゴシック" w:eastAsia="ＭＳ ゴシック" w:hAnsi="ＭＳ ゴシック" w:cs="ＭＳ 明朝" w:hint="eastAsia"/>
          <w:bCs/>
          <w:color w:val="000000"/>
          <w:kern w:val="0"/>
          <w:sz w:val="20"/>
          <w:szCs w:val="20"/>
        </w:rPr>
        <w:t>項の規定は、公布の日から施行する。</w:t>
      </w:r>
    </w:p>
    <w:p w14:paraId="23EAE21C"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（準備行為）</w:t>
      </w:r>
    </w:p>
    <w:p w14:paraId="2F1E975D" w14:textId="3A309D16" w:rsidR="005E7895" w:rsidRPr="00CB3F86" w:rsidRDefault="00A031F9" w:rsidP="00CB3F86">
      <w:pPr>
        <w:autoSpaceDE w:val="0"/>
        <w:autoSpaceDN w:val="0"/>
        <w:adjustRightInd w:val="0"/>
        <w:spacing w:line="300" w:lineRule="atLeast"/>
        <w:ind w:left="2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 xml:space="preserve">２　</w:t>
      </w:r>
      <w:r w:rsidR="006C3074" w:rsidRPr="00CB3F86">
        <w:rPr>
          <w:rFonts w:ascii="ＭＳ ゴシック" w:eastAsia="ＭＳ ゴシック" w:hAnsi="ＭＳ ゴシック" w:cs="ＭＳ 明朝" w:hint="eastAsia"/>
          <w:bCs/>
          <w:color w:val="000000"/>
          <w:kern w:val="0"/>
          <w:sz w:val="20"/>
          <w:szCs w:val="20"/>
        </w:rPr>
        <w:t>第二条の規定による</w:t>
      </w:r>
      <w:r w:rsidRPr="00CB3F86">
        <w:rPr>
          <w:rFonts w:ascii="ＭＳ ゴシック" w:eastAsia="ＭＳ ゴシック" w:hAnsi="ＭＳ ゴシック" w:cs="ＭＳ 明朝" w:hint="eastAsia"/>
          <w:bCs/>
          <w:color w:val="000000"/>
          <w:kern w:val="0"/>
          <w:sz w:val="20"/>
          <w:szCs w:val="20"/>
        </w:rPr>
        <w:t>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sectPr w:rsidR="005E7895" w:rsidRPr="00CB3F86">
      <w:foot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D524" w14:textId="77777777" w:rsidR="000F00EE" w:rsidRDefault="000F00EE" w:rsidP="007A2BA4">
      <w:r>
        <w:separator/>
      </w:r>
    </w:p>
  </w:endnote>
  <w:endnote w:type="continuationSeparator" w:id="0">
    <w:p w14:paraId="4660ABF8" w14:textId="77777777" w:rsidR="000F00EE" w:rsidRDefault="000F00EE" w:rsidP="007A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21048"/>
      <w:docPartObj>
        <w:docPartGallery w:val="Page Numbers (Bottom of Page)"/>
        <w:docPartUnique/>
      </w:docPartObj>
    </w:sdtPr>
    <w:sdtEndPr/>
    <w:sdtContent>
      <w:sdt>
        <w:sdtPr>
          <w:id w:val="1728636285"/>
          <w:docPartObj>
            <w:docPartGallery w:val="Page Numbers (Top of Page)"/>
            <w:docPartUnique/>
          </w:docPartObj>
        </w:sdtPr>
        <w:sdtEndPr/>
        <w:sdtContent>
          <w:p w14:paraId="3A719D48" w14:textId="77777777" w:rsidR="005062ED" w:rsidRDefault="005062E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33ABA5F4" w14:textId="77777777" w:rsidR="005062ED" w:rsidRDefault="00506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4A4E" w14:textId="77777777" w:rsidR="000F00EE" w:rsidRDefault="000F00EE" w:rsidP="007A2BA4">
      <w:r>
        <w:separator/>
      </w:r>
    </w:p>
  </w:footnote>
  <w:footnote w:type="continuationSeparator" w:id="0">
    <w:p w14:paraId="5083FBCF" w14:textId="77777777" w:rsidR="000F00EE" w:rsidRDefault="000F00EE" w:rsidP="007A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7"/>
    <w:rsid w:val="000F00EE"/>
    <w:rsid w:val="00116892"/>
    <w:rsid w:val="001C483D"/>
    <w:rsid w:val="00256B0E"/>
    <w:rsid w:val="00276220"/>
    <w:rsid w:val="00331172"/>
    <w:rsid w:val="003A6891"/>
    <w:rsid w:val="004257ED"/>
    <w:rsid w:val="00462667"/>
    <w:rsid w:val="004D52A0"/>
    <w:rsid w:val="004D7C3F"/>
    <w:rsid w:val="004E4490"/>
    <w:rsid w:val="0050553F"/>
    <w:rsid w:val="005062ED"/>
    <w:rsid w:val="00506E91"/>
    <w:rsid w:val="0055378A"/>
    <w:rsid w:val="00593BEA"/>
    <w:rsid w:val="005E7895"/>
    <w:rsid w:val="006000EF"/>
    <w:rsid w:val="006058FB"/>
    <w:rsid w:val="006231B7"/>
    <w:rsid w:val="006C3074"/>
    <w:rsid w:val="007A2BA4"/>
    <w:rsid w:val="007D04DB"/>
    <w:rsid w:val="00804F06"/>
    <w:rsid w:val="00834D43"/>
    <w:rsid w:val="00843B93"/>
    <w:rsid w:val="00887966"/>
    <w:rsid w:val="008C2458"/>
    <w:rsid w:val="00915621"/>
    <w:rsid w:val="00953845"/>
    <w:rsid w:val="009B7552"/>
    <w:rsid w:val="00A031F9"/>
    <w:rsid w:val="00A35F36"/>
    <w:rsid w:val="00B065FF"/>
    <w:rsid w:val="00B45EE7"/>
    <w:rsid w:val="00BE5B5C"/>
    <w:rsid w:val="00C232DF"/>
    <w:rsid w:val="00C77BE1"/>
    <w:rsid w:val="00CB3F86"/>
    <w:rsid w:val="00CE3D5A"/>
    <w:rsid w:val="00DB4926"/>
    <w:rsid w:val="00E55A39"/>
    <w:rsid w:val="00F27B8A"/>
    <w:rsid w:val="00F8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2BFACC"/>
  <w14:defaultImageDpi w14:val="0"/>
  <w15:docId w15:val="{0D1C47A1-798E-490B-9019-297A446A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621"/>
    <w:rPr>
      <w:rFonts w:asciiTheme="majorHAnsi" w:eastAsiaTheme="majorEastAsia" w:hAnsiTheme="majorHAnsi" w:cstheme="majorBidi"/>
      <w:sz w:val="18"/>
      <w:szCs w:val="18"/>
    </w:rPr>
  </w:style>
  <w:style w:type="paragraph" w:styleId="a5">
    <w:name w:val="header"/>
    <w:basedOn w:val="a"/>
    <w:link w:val="a6"/>
    <w:uiPriority w:val="99"/>
    <w:unhideWhenUsed/>
    <w:rsid w:val="007A2BA4"/>
    <w:pPr>
      <w:tabs>
        <w:tab w:val="center" w:pos="4252"/>
        <w:tab w:val="right" w:pos="8504"/>
      </w:tabs>
      <w:snapToGrid w:val="0"/>
    </w:pPr>
  </w:style>
  <w:style w:type="character" w:customStyle="1" w:styleId="a6">
    <w:name w:val="ヘッダー (文字)"/>
    <w:basedOn w:val="a0"/>
    <w:link w:val="a5"/>
    <w:uiPriority w:val="99"/>
    <w:rsid w:val="007A2BA4"/>
  </w:style>
  <w:style w:type="paragraph" w:styleId="a7">
    <w:name w:val="footer"/>
    <w:basedOn w:val="a"/>
    <w:link w:val="a8"/>
    <w:uiPriority w:val="99"/>
    <w:unhideWhenUsed/>
    <w:rsid w:val="007A2BA4"/>
    <w:pPr>
      <w:tabs>
        <w:tab w:val="center" w:pos="4252"/>
        <w:tab w:val="right" w:pos="8504"/>
      </w:tabs>
      <w:snapToGrid w:val="0"/>
    </w:pPr>
  </w:style>
  <w:style w:type="character" w:customStyle="1" w:styleId="a8">
    <w:name w:val="フッター (文字)"/>
    <w:basedOn w:val="a0"/>
    <w:link w:val="a7"/>
    <w:uiPriority w:val="99"/>
    <w:rsid w:val="007A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玉作　智</dc:creator>
  <cp:keywords/>
  <dc:description/>
  <cp:lastModifiedBy>本間　隆泰</cp:lastModifiedBy>
  <cp:revision>19</cp:revision>
  <cp:lastPrinted>2024-02-07T01:25:00Z</cp:lastPrinted>
  <dcterms:created xsi:type="dcterms:W3CDTF">2023-07-24T04:55:00Z</dcterms:created>
  <dcterms:modified xsi:type="dcterms:W3CDTF">2024-02-07T01:25:00Z</dcterms:modified>
</cp:coreProperties>
</file>