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CA" w:rsidRPr="00B90849" w:rsidRDefault="000B514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sidRPr="00B90849">
        <w:rPr>
          <w:rFonts w:ascii="ＭＳ 明朝" w:eastAsia="ＭＳ 明朝" w:hAnsi="ＭＳ 明朝" w:cs="ＭＳ 明朝" w:hint="eastAsia"/>
          <w:color w:val="000000"/>
          <w:kern w:val="0"/>
          <w:szCs w:val="21"/>
        </w:rPr>
        <w:t>○大阪府障害者</w:t>
      </w:r>
      <w:r w:rsidR="00304C22" w:rsidRPr="00B90849">
        <w:rPr>
          <w:rFonts w:ascii="ＭＳ 明朝" w:eastAsia="ＭＳ 明朝" w:hAnsi="ＭＳ 明朝" w:cs="ＭＳ 明朝" w:hint="eastAsia"/>
          <w:color w:val="000000"/>
          <w:kern w:val="0"/>
          <w:szCs w:val="21"/>
        </w:rPr>
        <w:t>等</w:t>
      </w:r>
      <w:r w:rsidRPr="00B90849">
        <w:rPr>
          <w:rFonts w:ascii="ＭＳ 明朝" w:eastAsia="ＭＳ 明朝" w:hAnsi="ＭＳ 明朝" w:cs="ＭＳ 明朝" w:hint="eastAsia"/>
          <w:color w:val="000000"/>
          <w:kern w:val="0"/>
          <w:szCs w:val="21"/>
        </w:rPr>
        <w:t>の雇用の促進等と就労の支援に関する条例</w:t>
      </w:r>
    </w:p>
    <w:p w:rsidR="000A6F57" w:rsidRPr="00B90849" w:rsidRDefault="000A6F57">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目次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前文</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第一章　総則（第一条―第六条）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第二章　障害者</w:t>
      </w:r>
      <w:r w:rsidR="000A6F57"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の雇用の促進等と就労の支援に関する施策（第七条―第十五条）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第三章　府と関係がある事業主の障害者の雇用義務に基づく雇用の促進等（第十六条―第二十三条）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第四章　雑則（第二十四条）</w:t>
      </w:r>
    </w:p>
    <w:p w:rsidR="00EF7ECA" w:rsidRPr="00B90849" w:rsidRDefault="000B5147">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附則</w:t>
      </w:r>
    </w:p>
    <w:p w:rsidR="006A528C" w:rsidRPr="00B90849" w:rsidRDefault="006A52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しかしながら、大阪における障害者の雇用をめぐる情勢は厳しく、働く意思と能力を有する障害者に働く機会が十分に提供されているとはいえない。</w:t>
      </w:r>
    </w:p>
    <w:p w:rsidR="000A6F57" w:rsidRPr="00B90849" w:rsidRDefault="000A6F5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さらに、障害者だけではなく、働く意思と能力がありながら様々な事情により働くことができない状態にある人たちが、自らの能力を発揮するため働く場所を求めてきたが、こうした人たちにも働く機会が十分に提供されているとはいえない状況である。</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こうした状況を改善するためには、障害者</w:t>
      </w:r>
      <w:r w:rsidR="00520CAA"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に働く機会を提供する事業主の取組を社会全体として促進していくことが重要である。</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とりわけ、</w:t>
      </w:r>
      <w:r w:rsidR="00520CAA" w:rsidRPr="00B90849">
        <w:rPr>
          <w:rFonts w:ascii="ＭＳ 明朝" w:eastAsia="ＭＳ 明朝" w:hAnsi="ＭＳ 明朝" w:cs="ＭＳ 明朝" w:hint="eastAsia"/>
          <w:color w:val="000000"/>
          <w:kern w:val="0"/>
          <w:sz w:val="20"/>
          <w:szCs w:val="20"/>
        </w:rPr>
        <w:t>障害者の雇用に関し、</w:t>
      </w:r>
      <w:r w:rsidRPr="00B90849">
        <w:rPr>
          <w:rFonts w:ascii="ＭＳ 明朝" w:eastAsia="ＭＳ 明朝" w:hAnsi="ＭＳ 明朝" w:cs="ＭＳ 明朝" w:hint="eastAsia"/>
          <w:color w:val="000000"/>
          <w:kern w:val="0"/>
          <w:sz w:val="20"/>
          <w:szCs w:val="20"/>
        </w:rPr>
        <w:t>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また、直ちに雇用に結び付かない人に対しても、その能力や</w:t>
      </w:r>
      <w:r w:rsidR="00520CAA" w:rsidRPr="00B90849">
        <w:rPr>
          <w:rFonts w:ascii="ＭＳ 明朝" w:eastAsia="ＭＳ 明朝" w:hAnsi="ＭＳ 明朝" w:cs="ＭＳ 明朝" w:hint="eastAsia"/>
          <w:color w:val="000000"/>
          <w:kern w:val="0"/>
          <w:sz w:val="20"/>
          <w:szCs w:val="20"/>
        </w:rPr>
        <w:t>事情</w:t>
      </w:r>
      <w:r w:rsidRPr="00B90849">
        <w:rPr>
          <w:rFonts w:ascii="ＭＳ 明朝" w:eastAsia="ＭＳ 明朝" w:hAnsi="ＭＳ 明朝" w:cs="ＭＳ 明朝" w:hint="eastAsia"/>
          <w:color w:val="000000"/>
          <w:kern w:val="0"/>
          <w:sz w:val="20"/>
          <w:szCs w:val="20"/>
        </w:rPr>
        <w:t>に応じて、障害者支援施設等における就労や在宅就業といった多様な働き方が可能となるような環境を整備することが求められる。</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w:t>
      </w:r>
      <w:r w:rsidR="00BD7C23"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E63930" w:rsidRPr="00B90849" w:rsidRDefault="00E63930">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第一章　総則</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（目的）</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第一条　この条例は、障害者</w:t>
      </w:r>
      <w:r w:rsidR="0060422C" w:rsidRPr="00B90849">
        <w:rPr>
          <w:rFonts w:ascii="ＭＳ 明朝" w:eastAsia="ＭＳ 明朝" w:hAnsi="ＭＳ 明朝" w:cs="ＭＳ 明朝" w:hint="eastAsia"/>
          <w:color w:val="000000"/>
          <w:kern w:val="0"/>
          <w:sz w:val="20"/>
          <w:szCs w:val="20"/>
        </w:rPr>
        <w:t>その他の就職することが困難な者（以下「障害者等」という。）</w:t>
      </w:r>
      <w:r w:rsidRPr="00B90849">
        <w:rPr>
          <w:rFonts w:ascii="ＭＳ 明朝" w:eastAsia="ＭＳ 明朝" w:hAnsi="ＭＳ 明朝" w:cs="ＭＳ 明朝" w:hint="eastAsia"/>
          <w:color w:val="000000"/>
          <w:kern w:val="0"/>
          <w:sz w:val="20"/>
          <w:szCs w:val="20"/>
        </w:rPr>
        <w:t>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w:t>
      </w:r>
      <w:r w:rsidR="0060422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の雇用の促進等を図り、もって障害の有無</w:t>
      </w:r>
      <w:r w:rsidR="0060422C" w:rsidRPr="00B90849">
        <w:rPr>
          <w:rFonts w:ascii="ＭＳ 明朝" w:eastAsia="ＭＳ 明朝" w:hAnsi="ＭＳ 明朝" w:cs="ＭＳ 明朝" w:hint="eastAsia"/>
          <w:color w:val="000000"/>
          <w:kern w:val="0"/>
          <w:sz w:val="20"/>
          <w:szCs w:val="20"/>
        </w:rPr>
        <w:t>その他事情</w:t>
      </w:r>
      <w:r w:rsidRPr="00B90849">
        <w:rPr>
          <w:rFonts w:ascii="ＭＳ 明朝" w:eastAsia="ＭＳ 明朝" w:hAnsi="ＭＳ 明朝" w:cs="ＭＳ 明朝" w:hint="eastAsia"/>
          <w:color w:val="000000"/>
          <w:kern w:val="0"/>
          <w:sz w:val="20"/>
          <w:szCs w:val="20"/>
        </w:rPr>
        <w:t>にかかわらず働くことに生きがいを感じながら安心して暮らすことのできる地域社会の実現に寄与することを目的とする。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（基本理念）</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第二条　障害者</w:t>
      </w:r>
      <w:r w:rsidR="00AC5C38"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の雇用の促進等と就労の支援は、障害者</w:t>
      </w:r>
      <w:r w:rsidR="00AC5C38"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が社会を構成する一員として社会経済活動に参加する機会が与えられることを旨として、行われなければならない。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（府の責務）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第三条　府は、前条に定める基本理念にのっとり、障害者</w:t>
      </w:r>
      <w:r w:rsidR="00AC5C38"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の雇用の促進等と就労の支援のための施策を策定し、並びに国、市町村、事業主、事業主団体、府民及び民間の団体と協力してこれを実施する責務を有する。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（事業主の責務）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第四条　事業主は、障害者への雇用の機会の提供に努めなければならない立場にあることを認識し、進んで</w:t>
      </w:r>
      <w:r w:rsidRPr="00B90849">
        <w:rPr>
          <w:rFonts w:ascii="ＭＳ 明朝" w:eastAsia="ＭＳ 明朝" w:hAnsi="ＭＳ 明朝" w:cs="ＭＳ 明朝" w:hint="eastAsia"/>
          <w:color w:val="000000"/>
          <w:kern w:val="0"/>
          <w:sz w:val="20"/>
          <w:szCs w:val="20"/>
        </w:rPr>
        <w:lastRenderedPageBreak/>
        <w:t>障害者の雇用の機会の創出及び拡大を図らなければならない。</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事業主は、障害者一人一人の特性について理解を高め、その特性に配慮した雇用管理を行うなど、障害者が働きやすい職場環境の整備に努めなければならない。</w:t>
      </w:r>
    </w:p>
    <w:p w:rsidR="0087665E" w:rsidRPr="00B90849" w:rsidRDefault="0087665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（事業主団体の責務）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第五条　事業主団体は、その構成員である事業主に対し、障害者</w:t>
      </w:r>
      <w:r w:rsidR="006A528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の雇用の促進等のために必要な情報の提供及び助言に努めるものとする。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（府民の責務）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第六条　府民は、障害者</w:t>
      </w:r>
      <w:r w:rsidR="006A528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の雇用と就労に関する理解を高めるとともに、府が実施する障害者</w:t>
      </w:r>
      <w:r w:rsidR="006A528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の雇用の促進等と就労の支援のための施策に協力するよう努めるものとする。</w:t>
      </w:r>
    </w:p>
    <w:p w:rsidR="00D968AC" w:rsidRPr="00B90849" w:rsidRDefault="00D968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第二章　障害者</w:t>
      </w:r>
      <w:r w:rsidR="00D968A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の雇用の促進等と就労の支援に関する施策</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（職業教育の充実）</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（職業訓練の充実）</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第八条　府は、大阪障害者職業能力開発校等において、障害者</w:t>
      </w:r>
      <w:r w:rsidR="00944E3D"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に職業に必要な技能及びこれに関する知識を習得させるための職業訓練の充実を図るものとする。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（企業への就職等の支援）</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第九条　府は、障害者支援施設等（地方自治法施行令（昭和二十二年政令第十六号）第百六十七条の二第一項第三号に規定する障害者支援施設</w:t>
      </w:r>
      <w:r w:rsidR="00A62615"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をいう。以下同じ。）において生産活動に従事する障害者</w:t>
      </w:r>
      <w:r w:rsidR="00B5000E"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の企業への就職等を支援するため、雇用情報の提供、職業指導及び職業紹介を行う等必要な措置を講ずるものとする。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（重度の障害者の雇用の機会の創出及び拡大）</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（就業及び生活上の支援）</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第十一条　府は、法第二十七条第二項に規定する障害者就業・生活支援センターその他の関係機関と連携して、障害者</w:t>
      </w:r>
      <w:r w:rsidR="00DE4D3C"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が職業生活における自立を図るための就業の支援及び就業に伴い必要となる日常生活又は社会生活上の支援を行うものとする。</w:t>
      </w:r>
    </w:p>
    <w:p w:rsidR="00FD44D6" w:rsidRPr="00B90849" w:rsidRDefault="00FD44D6" w:rsidP="00E63930">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（障害者等の職場環境整備等支援組織）</w:t>
      </w:r>
    </w:p>
    <w:p w:rsidR="00FD44D6" w:rsidRPr="00B90849" w:rsidRDefault="00FD44D6" w:rsidP="00FD44D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FD44D6" w:rsidRPr="00B90849" w:rsidRDefault="00FD44D6" w:rsidP="00FD44D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知事は、前項の規定による認定をしようとするときは、あらかじめ、障害者等の職場環境整備等支援組織認定等審議会の意見を聴かなければならない。</w:t>
      </w:r>
    </w:p>
    <w:p w:rsidR="00FD44D6" w:rsidRPr="00B90849" w:rsidRDefault="00FD44D6" w:rsidP="00FD44D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FD44D6" w:rsidRPr="00B90849" w:rsidRDefault="00FD44D6" w:rsidP="00FD44D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４　知事は、障害者等の職場環境整備等支援組織が第一項の基準に適合しないものとなったと認めるときは、同項の認定を取り消すことができる。</w:t>
      </w:r>
    </w:p>
    <w:p w:rsidR="00EF7ECA" w:rsidRPr="00B90849" w:rsidRDefault="000B5147" w:rsidP="00E63930">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（障害者支援施設等からの物品の買入れ等）</w:t>
      </w:r>
    </w:p>
    <w:p w:rsidR="00EF7ECA" w:rsidRPr="00B90849" w:rsidRDefault="008444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w:t>
      </w:r>
      <w:r w:rsidR="000B5147" w:rsidRPr="00B90849">
        <w:rPr>
          <w:rFonts w:ascii="ＭＳ 明朝" w:eastAsia="ＭＳ 明朝" w:hAnsi="ＭＳ 明朝" w:cs="ＭＳ 明朝" w:hint="eastAsia"/>
          <w:color w:val="000000"/>
          <w:kern w:val="0"/>
          <w:sz w:val="20"/>
          <w:szCs w:val="20"/>
        </w:rPr>
        <w:t>及び法第</w:t>
      </w:r>
      <w:r w:rsidR="000B5147" w:rsidRPr="00B90849">
        <w:rPr>
          <w:rFonts w:ascii="ＭＳ 明朝" w:eastAsia="ＭＳ 明朝" w:hAnsi="ＭＳ 明朝" w:cs="ＭＳ 明朝" w:hint="eastAsia"/>
          <w:color w:val="000000"/>
          <w:kern w:val="0"/>
          <w:sz w:val="20"/>
          <w:szCs w:val="20"/>
        </w:rPr>
        <w:lastRenderedPageBreak/>
        <w:t>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B924FD" w:rsidRPr="00B90849" w:rsidRDefault="00B924FD" w:rsidP="00B924F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B924FD" w:rsidRPr="00B90849" w:rsidRDefault="00B924FD" w:rsidP="00B924F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C26EEA" w:rsidRPr="00B90849" w:rsidRDefault="00C26EEA" w:rsidP="00C26EE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（公契約等の活用）</w:t>
      </w:r>
    </w:p>
    <w:p w:rsidR="00C26EEA" w:rsidRPr="00B90849" w:rsidRDefault="00C26EEA" w:rsidP="00C26EE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C26EEA" w:rsidRPr="00B90849" w:rsidRDefault="00C26EEA" w:rsidP="00C26EE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（府職員の採用）</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第十三条　府は、自ら率先して障害者を採用するものとする。</w:t>
      </w:r>
    </w:p>
    <w:p w:rsidR="00133F04" w:rsidRPr="00B90849" w:rsidRDefault="00133F0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府は、障害者以外の就職することが困難な者について、採用の機会の創出及び拡大に向けた環境整備を図るよう努めるものとする。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（啓発活動の実施）</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第十四条　府は、国、市町村、事業主団体及び民間の団体と協力して障害者</w:t>
      </w:r>
      <w:r w:rsidR="00B35F03"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の雇用と就労に関し、事業主及び府民の理解を高めるため、啓発活動を行うものとする。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（顕彰）</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第十五条　知事は、障害者</w:t>
      </w:r>
      <w:r w:rsidR="00402696" w:rsidRPr="00B90849">
        <w:rPr>
          <w:rFonts w:ascii="ＭＳ 明朝" w:eastAsia="ＭＳ 明朝" w:hAnsi="ＭＳ 明朝" w:cs="ＭＳ 明朝" w:hint="eastAsia"/>
          <w:color w:val="000000"/>
          <w:kern w:val="0"/>
          <w:sz w:val="20"/>
          <w:szCs w:val="20"/>
        </w:rPr>
        <w:t>等</w:t>
      </w:r>
      <w:r w:rsidRPr="00B90849">
        <w:rPr>
          <w:rFonts w:ascii="ＭＳ 明朝" w:eastAsia="ＭＳ 明朝" w:hAnsi="ＭＳ 明朝" w:cs="ＭＳ 明朝" w:hint="eastAsia"/>
          <w:color w:val="000000"/>
          <w:kern w:val="0"/>
          <w:sz w:val="20"/>
          <w:szCs w:val="20"/>
        </w:rPr>
        <w:t>の雇用の促進等に関し、特に優れた取組をした事業主の顕彰を行うものとする。</w:t>
      </w:r>
    </w:p>
    <w:p w:rsidR="00847840" w:rsidRPr="00B90849" w:rsidRDefault="008478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知事は、前項に規定する顕彰を行うときは、あらかじめ、障害者等の職場環境整備等支援組織認定等審議会の意見を聴かなければならない。</w:t>
      </w:r>
    </w:p>
    <w:p w:rsidR="00847840" w:rsidRPr="00B90849" w:rsidRDefault="0084784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EF7ECA" w:rsidRPr="00B90849" w:rsidRDefault="000B514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第三章　府と関係がある事業主の障害者の雇用義務に基づく雇用の促進等</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（府と関係がある事業主の責務）</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第十六条　府と契約を締結し、府の補助金の交付を受け、又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（障害者雇用状況の報告）</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一　府と売買、貸借、請負その他の契約で規則で定めるものを締結するとき。ただし、規則で定める随意契約の方法により締結する場合を除く。</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二　府の補助金の交付の決定を受けるとき。</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三　府の公の施設について指定管理者の指定を受けるとき（公募に応じて当該指定の申請をした場合に限る。）。</w:t>
      </w:r>
    </w:p>
    <w:p w:rsidR="00EF7ECA" w:rsidRPr="00B90849" w:rsidRDefault="000B5147" w:rsidP="00FF36E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前項の規定は、次条第一項の規定により作成した同項に規定する障害者雇入れ計画の期間が終了していない場合は、適用しない。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（障害者雇入れ計画の作成等）</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第十八条　前条第一項の規定による報告をした事業主のうちその雇用障害者数が法定雇用障害者数未満である者は、その雇用障害者数が法定雇用障害者数以上となるようにするため、規則で定めるところにより、対象障害者の雇入れに関する計画（以下「障害者雇入れ計画」という。）を作成し、知事に提出しなければならない。これを変更したときも、同様とする。</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（障害者雇入れ計画の達成の援助）</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（障害者雇入れ計画の進捗状況の報告）</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第二十条　計画作成事業主は、規則で定めるところにより、定期に、その作成した障害者雇入れ計画の進捗状況を知事に報告しなければならない。</w:t>
      </w:r>
    </w:p>
    <w:p w:rsidR="00EF7ECA" w:rsidRPr="00B90849" w:rsidRDefault="000B5147" w:rsidP="00FF36E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（障害者雇入れ計画の達成状況の報告）</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（報告の徴収及び立入調査）</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前項の規定により立入調査又は質問をする職員は、その身分を示す証明書を携帯し、関係者に提示しなければならない。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（公表）</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一　第十七条第一項、第二十条第一項及び第二十一条の規定による報告をせず、又は虚偽の報告をしたとき。</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二　第十八条第一項の規定による障害者雇入れ計画の提出をせず、又は虚偽の障害者雇入れ計画の提出をしたとき。</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三　第十八条第二項及び第二十条第二項の規定による勧告に従わなかったとき。</w:t>
      </w:r>
    </w:p>
    <w:p w:rsidR="00EF7ECA" w:rsidRPr="00B90849" w:rsidRDefault="000B514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EF7ECA" w:rsidRPr="00B90849" w:rsidRDefault="000B5147">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第四章　雑則</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（規則への委任）</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第二十四条　この条例に定めるもののほか、この条例の施行に関し必要な事項は、規則で定める。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則（平成二二年条例第五四号）</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この条例は、平成二十二年七月一日から施行する。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則（平成二二年条例第九四号）抄</w:t>
      </w:r>
    </w:p>
    <w:p w:rsidR="00EF7ECA" w:rsidRPr="00B90849" w:rsidRDefault="000B514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（施行期日）</w:t>
      </w:r>
    </w:p>
    <w:p w:rsidR="00EF7ECA" w:rsidRPr="00B90849" w:rsidRDefault="000B514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１　この条例は、平成二十三年四月一日から施行する。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則（平成二四年条例第五三号）</w:t>
      </w:r>
    </w:p>
    <w:p w:rsidR="00EF7ECA" w:rsidRPr="00B90849" w:rsidRDefault="000B514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この条例は、平成二十四年四月一日から施行する。</w:t>
      </w:r>
    </w:p>
    <w:p w:rsidR="00EF7ECA" w:rsidRPr="00B90849" w:rsidRDefault="000B514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則（平成三〇年条例第四三号）</w:t>
      </w:r>
    </w:p>
    <w:p w:rsidR="00EF7ECA" w:rsidRPr="00B90849" w:rsidRDefault="000B5147" w:rsidP="003E77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この条例は、平成三十年四月一日から施行する。ただし、第一条の規定は、公布の日から施行する。</w:t>
      </w:r>
      <w:bookmarkStart w:id="1" w:name="last"/>
      <w:bookmarkEnd w:id="1"/>
    </w:p>
    <w:p w:rsidR="00883711" w:rsidRPr="00B90849" w:rsidRDefault="00883711" w:rsidP="00883711">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附　則</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（施行期日）</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１　この条例は、平成三十一年四月一日から施行する。</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（大阪府附属機関条例の一部改正）</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1"/>
        <w:gridCol w:w="4541"/>
      </w:tblGrid>
      <w:tr w:rsidR="00883711" w:rsidRPr="00B90849" w:rsidTr="00883711">
        <w:trPr>
          <w:trHeight w:val="249"/>
        </w:trPr>
        <w:tc>
          <w:tcPr>
            <w:tcW w:w="4522" w:type="dxa"/>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改正後</w:t>
            </w:r>
          </w:p>
        </w:tc>
        <w:tc>
          <w:tcPr>
            <w:tcW w:w="4523" w:type="dxa"/>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改正前</w:t>
            </w:r>
          </w:p>
        </w:tc>
      </w:tr>
      <w:tr w:rsidR="00883711" w:rsidRPr="00B90849" w:rsidTr="00883711">
        <w:trPr>
          <w:trHeight w:val="240"/>
        </w:trPr>
        <w:tc>
          <w:tcPr>
            <w:tcW w:w="4522" w:type="dxa"/>
            <w:tcBorders>
              <w:bottom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c>
          <w:tcPr>
            <w:tcW w:w="4523" w:type="dxa"/>
            <w:tcBorders>
              <w:bottom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r>
      <w:tr w:rsidR="00883711" w:rsidRPr="00B90849" w:rsidTr="00883711">
        <w:trPr>
          <w:trHeight w:val="2133"/>
        </w:trPr>
        <w:tc>
          <w:tcPr>
            <w:tcW w:w="4522" w:type="dxa"/>
            <w:tcBorders>
              <w:top w:val="nil"/>
              <w:bottom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別表第一（第二条関係）</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 xml:space="preserve">　一　（略）</w:t>
            </w:r>
          </w:p>
          <w:tbl>
            <w:tblPr>
              <w:tblW w:w="39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1361"/>
              <w:gridCol w:w="2551"/>
            </w:tblGrid>
            <w:tr w:rsidR="00883711" w:rsidRPr="00B90849" w:rsidTr="00883711">
              <w:trPr>
                <w:trHeight w:val="277"/>
              </w:trPr>
              <w:tc>
                <w:tcPr>
                  <w:tcW w:w="1361" w:type="dxa"/>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名称</w:t>
                  </w:r>
                </w:p>
              </w:tc>
              <w:tc>
                <w:tcPr>
                  <w:tcW w:w="2551" w:type="dxa"/>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担任する事務</w:t>
                  </w:r>
                </w:p>
              </w:tc>
            </w:tr>
            <w:tr w:rsidR="00883711" w:rsidRPr="00B90849" w:rsidTr="00883711">
              <w:trPr>
                <w:trHeight w:val="170"/>
              </w:trPr>
              <w:tc>
                <w:tcPr>
                  <w:tcW w:w="1361" w:type="dxa"/>
                  <w:tcBorders>
                    <w:bottom w:val="single" w:sz="4" w:space="0" w:color="auto"/>
                  </w:tcBorders>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tcBorders>
                    <w:bottom w:val="single" w:sz="4" w:space="0" w:color="auto"/>
                  </w:tcBorders>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501"/>
              </w:trPr>
              <w:tc>
                <w:tcPr>
                  <w:tcW w:w="1361" w:type="dxa"/>
                  <w:tcBorders>
                    <w:bottom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大阪府市文化振興会議</w:t>
                  </w:r>
                </w:p>
              </w:tc>
              <w:tc>
                <w:tcPr>
                  <w:tcW w:w="2551" w:type="dxa"/>
                  <w:tcBorders>
                    <w:bottom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1814"/>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大阪府障害者等の職場環境整備等支援組織認定等審議会</w:t>
                  </w:r>
                </w:p>
              </w:tc>
              <w:tc>
                <w:tcPr>
                  <w:tcW w:w="2551" w:type="dxa"/>
                  <w:tcBorders>
                    <w:top w:val="single" w:sz="4" w:space="0" w:color="auto"/>
                  </w:tcBorders>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等の雇用の促進等と就労の支援に関する条例（平成二十一年大阪府条例第八十四号）第十一条の二第二項及び第十五条第二項に規定する事項についての調査審議並びに障害者その他の就職することが困難な者の働きやすい職場環境の整備等に関する専門的な事項についての建議に関する事務</w:t>
                  </w:r>
                </w:p>
              </w:tc>
            </w:tr>
            <w:tr w:rsidR="00883711" w:rsidRPr="00B90849" w:rsidTr="00883711">
              <w:trPr>
                <w:trHeight w:val="275"/>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2998"/>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大阪府障害者の雇用の促進等のための契約制限等措置審議会</w:t>
                  </w:r>
                </w:p>
              </w:tc>
              <w:tc>
                <w:tcPr>
                  <w:tcW w:w="255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等の雇用の促進等と就労の支援に関する条例第二十三条第一項又は第二項の規定によりその氏名等を公表した事業主を府が締結する契約の相手方としないこととする等の措置についての調査審議に関する事務</w:t>
                  </w:r>
                </w:p>
              </w:tc>
            </w:tr>
            <w:tr w:rsidR="00883711" w:rsidRPr="00B90849" w:rsidTr="00883711">
              <w:trPr>
                <w:trHeight w:val="249"/>
              </w:trPr>
              <w:tc>
                <w:tcPr>
                  <w:tcW w:w="1361" w:type="dxa"/>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bl>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 xml:space="preserve">　二―四　（略）</w:t>
            </w:r>
          </w:p>
        </w:tc>
        <w:tc>
          <w:tcPr>
            <w:tcW w:w="4523" w:type="dxa"/>
            <w:tcBorders>
              <w:top w:val="nil"/>
              <w:bottom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別表第一（第二条関係）</w:t>
            </w:r>
          </w:p>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 xml:space="preserve">　一　（略）</w:t>
            </w:r>
          </w:p>
          <w:tbl>
            <w:tblPr>
              <w:tblW w:w="39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1361"/>
              <w:gridCol w:w="2551"/>
            </w:tblGrid>
            <w:tr w:rsidR="00883711" w:rsidRPr="00B90849" w:rsidTr="00883711">
              <w:trPr>
                <w:trHeight w:val="277"/>
              </w:trPr>
              <w:tc>
                <w:tcPr>
                  <w:tcW w:w="1361" w:type="dxa"/>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名称</w:t>
                  </w:r>
                </w:p>
              </w:tc>
              <w:tc>
                <w:tcPr>
                  <w:tcW w:w="2551" w:type="dxa"/>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担任する事務</w:t>
                  </w:r>
                </w:p>
              </w:tc>
            </w:tr>
            <w:tr w:rsidR="00883711" w:rsidRPr="00B90849" w:rsidTr="00883711">
              <w:trPr>
                <w:trHeight w:val="170"/>
              </w:trPr>
              <w:tc>
                <w:tcPr>
                  <w:tcW w:w="1361" w:type="dxa"/>
                  <w:tcBorders>
                    <w:bottom w:val="single" w:sz="4" w:space="0" w:color="auto"/>
                  </w:tcBorders>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tcBorders>
                    <w:bottom w:val="single" w:sz="4" w:space="0" w:color="auto"/>
                  </w:tcBorders>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501"/>
              </w:trPr>
              <w:tc>
                <w:tcPr>
                  <w:tcW w:w="1361" w:type="dxa"/>
                  <w:tcBorders>
                    <w:bottom w:val="nil"/>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大阪府市文化振興会議</w:t>
                  </w:r>
                </w:p>
              </w:tc>
              <w:tc>
                <w:tcPr>
                  <w:tcW w:w="2551" w:type="dxa"/>
                  <w:tcBorders>
                    <w:bottom w:val="nil"/>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3219"/>
              </w:trPr>
              <w:tc>
                <w:tcPr>
                  <w:tcW w:w="1361" w:type="dxa"/>
                  <w:tcBorders>
                    <w:top w:val="nil"/>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c>
                <w:tcPr>
                  <w:tcW w:w="2551" w:type="dxa"/>
                  <w:tcBorders>
                    <w:top w:val="nil"/>
                  </w:tcBorders>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r>
            <w:tr w:rsidR="00883711" w:rsidRPr="00B90849" w:rsidTr="00883711">
              <w:trPr>
                <w:trHeight w:val="275"/>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r w:rsidR="00883711" w:rsidRPr="00B90849" w:rsidTr="00883711">
              <w:trPr>
                <w:trHeight w:val="330"/>
              </w:trPr>
              <w:tc>
                <w:tcPr>
                  <w:tcW w:w="136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大阪府障害者の雇用の促進等のための契約制限等措置審議会</w:t>
                  </w:r>
                </w:p>
              </w:tc>
              <w:tc>
                <w:tcPr>
                  <w:tcW w:w="2551" w:type="dxa"/>
                  <w:tcBorders>
                    <w:top w:val="single" w:sz="4" w:space="0" w:color="auto"/>
                  </w:tcBorders>
                  <w:shd w:val="clear" w:color="auto" w:fill="auto"/>
                  <w:tcMar>
                    <w:top w:w="28" w:type="dxa"/>
                    <w:left w:w="28" w:type="dxa"/>
                    <w:bottom w:w="28" w:type="dxa"/>
                    <w:right w:w="28" w:type="dxa"/>
                  </w:tcMar>
                  <w:vAlign w:val="cente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大阪府障害者の雇用の促進等と就労の支援に関する条例（平成二十一年大阪府条例第八十四号）第二十三条第一項又は第二項の規定によりその氏名等を公表した事業主を府が締結する契約の相手方としないこととする等の措置についての調査審議に関する事務</w:t>
                  </w:r>
                </w:p>
              </w:tc>
            </w:tr>
            <w:tr w:rsidR="00883711" w:rsidRPr="00B90849" w:rsidTr="00883711">
              <w:trPr>
                <w:trHeight w:val="249"/>
              </w:trPr>
              <w:tc>
                <w:tcPr>
                  <w:tcW w:w="1361" w:type="dxa"/>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c>
                <w:tcPr>
                  <w:tcW w:w="2551" w:type="dxa"/>
                  <w:shd w:val="clear" w:color="auto" w:fill="auto"/>
                  <w:tcMar>
                    <w:top w:w="28" w:type="dxa"/>
                    <w:left w:w="28" w:type="dxa"/>
                    <w:bottom w:w="28" w:type="dxa"/>
                    <w:right w:w="28" w:type="dxa"/>
                  </w:tcMar>
                </w:tcPr>
                <w:p w:rsidR="00883711" w:rsidRPr="00B90849" w:rsidRDefault="00883711" w:rsidP="00DE4AB8">
                  <w:pPr>
                    <w:framePr w:hSpace="142" w:wrap="around" w:vAnchor="text" w:hAnchor="margin" w:x="99" w:y="184"/>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（略）</w:t>
                  </w:r>
                </w:p>
              </w:tc>
            </w:tr>
          </w:tbl>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90849">
              <w:rPr>
                <w:rFonts w:ascii="ＭＳ 明朝" w:eastAsia="ＭＳ 明朝" w:hAnsi="ＭＳ 明朝" w:cs="ＭＳ 明朝" w:hint="eastAsia"/>
                <w:color w:val="000000"/>
                <w:kern w:val="0"/>
                <w:sz w:val="20"/>
                <w:szCs w:val="20"/>
              </w:rPr>
              <w:t xml:space="preserve">　二―四　（略）</w:t>
            </w:r>
          </w:p>
        </w:tc>
      </w:tr>
      <w:tr w:rsidR="00883711" w:rsidRPr="00B90849" w:rsidTr="00883711">
        <w:trPr>
          <w:trHeight w:val="231"/>
        </w:trPr>
        <w:tc>
          <w:tcPr>
            <w:tcW w:w="4522" w:type="dxa"/>
            <w:tcBorders>
              <w:top w:val="nil"/>
              <w:bottom w:val="single" w:sz="4" w:space="0" w:color="auto"/>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c>
          <w:tcPr>
            <w:tcW w:w="4523" w:type="dxa"/>
            <w:tcBorders>
              <w:top w:val="nil"/>
            </w:tcBorders>
          </w:tcPr>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tc>
      </w:tr>
    </w:tbl>
    <w:p w:rsidR="00883711" w:rsidRPr="00B90849" w:rsidRDefault="00883711" w:rsidP="008837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883711" w:rsidRPr="00B90849" w:rsidRDefault="00883711" w:rsidP="003E77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sectPr w:rsidR="00883711" w:rsidRPr="00B90849">
      <w:footerReference w:type="default" r:id="rId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5F" w:rsidRDefault="00B9075F" w:rsidP="00B9075F">
      <w:r>
        <w:separator/>
      </w:r>
    </w:p>
  </w:endnote>
  <w:endnote w:type="continuationSeparator" w:id="0">
    <w:p w:rsidR="00B9075F" w:rsidRDefault="00B9075F" w:rsidP="00B9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230941"/>
      <w:docPartObj>
        <w:docPartGallery w:val="Page Numbers (Bottom of Page)"/>
        <w:docPartUnique/>
      </w:docPartObj>
    </w:sdtPr>
    <w:sdtEndPr>
      <w:rPr>
        <w:rFonts w:ascii="ＭＳ ゴシック" w:eastAsia="ＭＳ ゴシック" w:hAnsi="ＭＳ ゴシック"/>
        <w:sz w:val="22"/>
      </w:rPr>
    </w:sdtEndPr>
    <w:sdtContent>
      <w:p w:rsidR="00B9075F" w:rsidRPr="00B9075F" w:rsidRDefault="00B9075F">
        <w:pPr>
          <w:pStyle w:val="a7"/>
          <w:jc w:val="center"/>
          <w:rPr>
            <w:rFonts w:ascii="ＭＳ ゴシック" w:eastAsia="ＭＳ ゴシック" w:hAnsi="ＭＳ ゴシック"/>
            <w:sz w:val="22"/>
          </w:rPr>
        </w:pPr>
        <w:r w:rsidRPr="00B9075F">
          <w:rPr>
            <w:rFonts w:ascii="ＭＳ ゴシック" w:eastAsia="ＭＳ ゴシック" w:hAnsi="ＭＳ ゴシック"/>
            <w:sz w:val="22"/>
          </w:rPr>
          <w:fldChar w:fldCharType="begin"/>
        </w:r>
        <w:r w:rsidRPr="00B9075F">
          <w:rPr>
            <w:rFonts w:ascii="ＭＳ ゴシック" w:eastAsia="ＭＳ ゴシック" w:hAnsi="ＭＳ ゴシック"/>
            <w:sz w:val="22"/>
          </w:rPr>
          <w:instrText>PAGE   \* MERGEFORMAT</w:instrText>
        </w:r>
        <w:r w:rsidRPr="00B9075F">
          <w:rPr>
            <w:rFonts w:ascii="ＭＳ ゴシック" w:eastAsia="ＭＳ ゴシック" w:hAnsi="ＭＳ ゴシック"/>
            <w:sz w:val="22"/>
          </w:rPr>
          <w:fldChar w:fldCharType="separate"/>
        </w:r>
        <w:r w:rsidR="007E6735" w:rsidRPr="007E6735">
          <w:rPr>
            <w:rFonts w:ascii="ＭＳ ゴシック" w:eastAsia="ＭＳ ゴシック" w:hAnsi="ＭＳ ゴシック"/>
            <w:noProof/>
            <w:sz w:val="22"/>
            <w:lang w:val="ja-JP"/>
          </w:rPr>
          <w:t>2</w:t>
        </w:r>
        <w:r w:rsidRPr="00B9075F">
          <w:rPr>
            <w:rFonts w:ascii="ＭＳ ゴシック" w:eastAsia="ＭＳ ゴシック" w:hAnsi="ＭＳ ゴシック"/>
            <w:sz w:val="22"/>
          </w:rPr>
          <w:fldChar w:fldCharType="end"/>
        </w:r>
      </w:p>
    </w:sdtContent>
  </w:sdt>
  <w:p w:rsidR="00B9075F" w:rsidRDefault="00B907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5F" w:rsidRDefault="00B9075F" w:rsidP="00B9075F">
      <w:r>
        <w:separator/>
      </w:r>
    </w:p>
  </w:footnote>
  <w:footnote w:type="continuationSeparator" w:id="0">
    <w:p w:rsidR="00B9075F" w:rsidRDefault="00B9075F" w:rsidP="00B9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DC"/>
    <w:rsid w:val="000A6F57"/>
    <w:rsid w:val="000B5147"/>
    <w:rsid w:val="000D3026"/>
    <w:rsid w:val="00133F04"/>
    <w:rsid w:val="00304C22"/>
    <w:rsid w:val="0030590B"/>
    <w:rsid w:val="003E77DC"/>
    <w:rsid w:val="00402696"/>
    <w:rsid w:val="00520CAA"/>
    <w:rsid w:val="0060422C"/>
    <w:rsid w:val="006A528C"/>
    <w:rsid w:val="006D7678"/>
    <w:rsid w:val="007D5858"/>
    <w:rsid w:val="007E6735"/>
    <w:rsid w:val="00844407"/>
    <w:rsid w:val="00847840"/>
    <w:rsid w:val="0087665E"/>
    <w:rsid w:val="00883711"/>
    <w:rsid w:val="00944E3D"/>
    <w:rsid w:val="00A62615"/>
    <w:rsid w:val="00AC5C38"/>
    <w:rsid w:val="00B1136A"/>
    <w:rsid w:val="00B35F03"/>
    <w:rsid w:val="00B5000E"/>
    <w:rsid w:val="00B9075F"/>
    <w:rsid w:val="00B90849"/>
    <w:rsid w:val="00B924FD"/>
    <w:rsid w:val="00BD7C23"/>
    <w:rsid w:val="00C26EEA"/>
    <w:rsid w:val="00C55E09"/>
    <w:rsid w:val="00D968AC"/>
    <w:rsid w:val="00DE4AB8"/>
    <w:rsid w:val="00DE4D3C"/>
    <w:rsid w:val="00E63930"/>
    <w:rsid w:val="00EF7ECA"/>
    <w:rsid w:val="00F70816"/>
    <w:rsid w:val="00FD44D6"/>
    <w:rsid w:val="00FF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0ADA53-D441-4C33-92A2-000744F0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3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36A"/>
    <w:rPr>
      <w:rFonts w:asciiTheme="majorHAnsi" w:eastAsiaTheme="majorEastAsia" w:hAnsiTheme="majorHAnsi" w:cstheme="majorBidi"/>
      <w:sz w:val="18"/>
      <w:szCs w:val="18"/>
    </w:rPr>
  </w:style>
  <w:style w:type="paragraph" w:styleId="a5">
    <w:name w:val="header"/>
    <w:basedOn w:val="a"/>
    <w:link w:val="a6"/>
    <w:uiPriority w:val="99"/>
    <w:unhideWhenUsed/>
    <w:rsid w:val="00B9075F"/>
    <w:pPr>
      <w:tabs>
        <w:tab w:val="center" w:pos="4252"/>
        <w:tab w:val="right" w:pos="8504"/>
      </w:tabs>
      <w:snapToGrid w:val="0"/>
    </w:pPr>
  </w:style>
  <w:style w:type="character" w:customStyle="1" w:styleId="a6">
    <w:name w:val="ヘッダー (文字)"/>
    <w:basedOn w:val="a0"/>
    <w:link w:val="a5"/>
    <w:uiPriority w:val="99"/>
    <w:rsid w:val="00B9075F"/>
  </w:style>
  <w:style w:type="paragraph" w:styleId="a7">
    <w:name w:val="footer"/>
    <w:basedOn w:val="a"/>
    <w:link w:val="a8"/>
    <w:uiPriority w:val="99"/>
    <w:unhideWhenUsed/>
    <w:rsid w:val="00B9075F"/>
    <w:pPr>
      <w:tabs>
        <w:tab w:val="center" w:pos="4252"/>
        <w:tab w:val="right" w:pos="8504"/>
      </w:tabs>
      <w:snapToGrid w:val="0"/>
    </w:pPr>
  </w:style>
  <w:style w:type="character" w:customStyle="1" w:styleId="a8">
    <w:name w:val="フッター (文字)"/>
    <w:basedOn w:val="a0"/>
    <w:link w:val="a7"/>
    <w:uiPriority w:val="99"/>
    <w:rsid w:val="00B9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7408</Words>
  <Characters>261</Characters>
  <Application>Microsoft Office Word</Application>
  <DocSecurity>0</DocSecurity>
  <Lines>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理恵子</dc:creator>
  <cp:keywords/>
  <dc:description/>
  <cp:lastModifiedBy>鈴木　章子</cp:lastModifiedBy>
  <cp:revision>3</cp:revision>
  <cp:lastPrinted>2019-06-11T09:41:00Z</cp:lastPrinted>
  <dcterms:created xsi:type="dcterms:W3CDTF">2019-10-30T11:01:00Z</dcterms:created>
  <dcterms:modified xsi:type="dcterms:W3CDTF">2019-10-30T11:02:00Z</dcterms:modified>
</cp:coreProperties>
</file>