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EF" w:rsidRDefault="00587C6C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令和２</w:t>
      </w:r>
      <w:r w:rsidR="00462417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年度</w:t>
      </w:r>
      <w:r w:rsidR="003D2812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大阪府障がい者施策推進協議会　意思疎通支援部会　</w:t>
      </w:r>
    </w:p>
    <w:p w:rsidR="000B200F" w:rsidRPr="00C55407" w:rsidRDefault="009F2636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盲ろう者通訳・介助等</w:t>
      </w:r>
      <w:r w:rsidR="005D35FE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ワーキンググループ　</w:t>
      </w:r>
      <w:r w:rsidR="000B200F"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:rsid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204FA2" w:rsidRPr="00C55407" w:rsidRDefault="00204FA2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9F0314" w:rsidRDefault="00363D32" w:rsidP="00363D32">
      <w:pPr>
        <w:widowControl/>
        <w:shd w:val="clear" w:color="auto" w:fill="FFFFFF"/>
        <w:snapToGrid w:val="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　　　</w:t>
      </w:r>
      <w:r w:rsidR="00C55407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　　　　　　　　　　</w:t>
      </w:r>
      <w:r w:rsid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   </w:t>
      </w:r>
      <w:r w:rsidR="00587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令和３</w:t>
      </w:r>
      <w:r w:rsidR="000B200F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="00927968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２</w:t>
      </w:r>
      <w:r w:rsidR="000B200F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月</w:t>
      </w:r>
      <w:r w:rsidR="00587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１</w:t>
      </w:r>
      <w:r w:rsidR="00281AA7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日（</w:t>
      </w:r>
      <w:r w:rsidR="00587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月</w:t>
      </w:r>
      <w:r w:rsidR="000B200F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）1</w:t>
      </w:r>
      <w:r w:rsidR="009F2636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4</w:t>
      </w:r>
      <w:r w:rsidR="00941948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:</w:t>
      </w:r>
      <w:r w:rsidR="009F2636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0</w:t>
      </w:r>
      <w:r w:rsidR="00462417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0</w:t>
      </w:r>
      <w:r w:rsidR="000B200F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～</w:t>
      </w:r>
      <w:r w:rsidR="007A2B18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16:00</w:t>
      </w:r>
    </w:p>
    <w:p w:rsidR="000B200F" w:rsidRPr="00A110C6" w:rsidRDefault="00363D32" w:rsidP="00A110C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　　　　</w:t>
      </w:r>
      <w:r w:rsidR="00EE210A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　　　　　　　　　　　　 </w:t>
      </w:r>
      <w:r w:rsidR="008A22EF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大阪府庁新別</w:t>
      </w:r>
      <w:r w:rsidR="00C55407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館</w:t>
      </w:r>
      <w:r w:rsidR="00462417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北館</w:t>
      </w:r>
      <w:r w:rsidR="00EE210A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１</w:t>
      </w:r>
      <w:r w:rsidR="00827A34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階</w:t>
      </w:r>
      <w:r w:rsidR="003D2812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　</w:t>
      </w:r>
      <w:r w:rsidR="00EE210A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会議室兼防災活動スペース</w:t>
      </w:r>
      <w:r w:rsidR="009F2636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１</w:t>
      </w:r>
    </w:p>
    <w:p w:rsidR="00CA7193" w:rsidRDefault="00CA7193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204FA2" w:rsidRDefault="00204FA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1926F2" w:rsidRPr="00C55407" w:rsidRDefault="001926F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5A1A22" w:rsidRPr="00BD5BE1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32"/>
          <w:szCs w:val="28"/>
        </w:rPr>
        <w:t>議　題</w:t>
      </w:r>
    </w:p>
    <w:p w:rsidR="00C55407" w:rsidRPr="00971C6C" w:rsidRDefault="00927968" w:rsidP="00031BE7">
      <w:pPr>
        <w:pStyle w:val="a9"/>
        <w:widowControl/>
        <w:numPr>
          <w:ilvl w:val="0"/>
          <w:numId w:val="6"/>
        </w:numPr>
        <w:shd w:val="clear" w:color="auto" w:fill="FFFFFF"/>
        <w:snapToGrid w:val="0"/>
        <w:ind w:leftChars="0"/>
        <w:jc w:val="left"/>
        <w:rPr>
          <w:rFonts w:ascii="ＭＳ 明朝" w:eastAsia="ＭＳ 明朝" w:hAnsi="ＭＳ 明朝" w:cs="Arial"/>
          <w:b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盲ろう者通訳・介助者</w:t>
      </w:r>
      <w:r w:rsidR="007A655F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の</w:t>
      </w:r>
      <w:r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養成について</w:t>
      </w:r>
    </w:p>
    <w:p w:rsidR="00031BE7" w:rsidRPr="00971C6C" w:rsidRDefault="00927968" w:rsidP="00031BE7">
      <w:pPr>
        <w:pStyle w:val="a9"/>
        <w:widowControl/>
        <w:numPr>
          <w:ilvl w:val="0"/>
          <w:numId w:val="6"/>
        </w:numPr>
        <w:shd w:val="clear" w:color="auto" w:fill="FFFFFF"/>
        <w:snapToGrid w:val="0"/>
        <w:ind w:leftChars="0"/>
        <w:jc w:val="left"/>
        <w:rPr>
          <w:rFonts w:ascii="ＭＳ 明朝" w:eastAsia="ＭＳ 明朝" w:hAnsi="ＭＳ 明朝" w:cs="Arial"/>
          <w:b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盲ろう者通訳・介助者</w:t>
      </w:r>
      <w:r w:rsidR="007A655F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の派遣</w:t>
      </w:r>
      <w:r w:rsidR="00031BE7"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について</w:t>
      </w:r>
    </w:p>
    <w:p w:rsidR="003D2812" w:rsidRPr="00971C6C" w:rsidRDefault="008B1985" w:rsidP="00D478C3">
      <w:pPr>
        <w:widowControl/>
        <w:shd w:val="clear" w:color="auto" w:fill="FFFFFF"/>
        <w:snapToGrid w:val="0"/>
        <w:ind w:leftChars="100" w:left="1756" w:hangingChars="550" w:hanging="1546"/>
        <w:jc w:val="left"/>
        <w:rPr>
          <w:rFonts w:ascii="ＭＳ 明朝" w:eastAsia="ＭＳ 明朝" w:hAnsi="ＭＳ 明朝" w:cs="Arial"/>
          <w:b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３</w:t>
      </w:r>
      <w:r w:rsidR="00C52967"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．</w:t>
      </w:r>
      <w:r w:rsidR="00462417" w:rsidRPr="00971C6C">
        <w:rPr>
          <w:rFonts w:ascii="ＭＳ 明朝" w:eastAsia="ＭＳ 明朝" w:hAnsi="ＭＳ 明朝" w:cs="Arial"/>
          <w:b/>
          <w:kern w:val="0"/>
          <w:sz w:val="28"/>
          <w:szCs w:val="28"/>
        </w:rPr>
        <w:t xml:space="preserve"> </w:t>
      </w:r>
      <w:r w:rsidR="00564EEC"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盲ろう者支援施策について</w:t>
      </w:r>
    </w:p>
    <w:p w:rsidR="00CA0E36" w:rsidRPr="00971C6C" w:rsidRDefault="00CA0E36" w:rsidP="005B20D6">
      <w:pPr>
        <w:widowControl/>
        <w:shd w:val="clear" w:color="auto" w:fill="FFFFFF"/>
        <w:snapToGrid w:val="0"/>
        <w:jc w:val="left"/>
        <w:outlineLvl w:val="2"/>
        <w:rPr>
          <w:rFonts w:asciiTheme="minorEastAsia" w:hAnsiTheme="minorEastAsia" w:cs="Arial"/>
          <w:b/>
          <w:bCs/>
          <w:kern w:val="0"/>
          <w:sz w:val="28"/>
          <w:szCs w:val="28"/>
        </w:rPr>
      </w:pPr>
    </w:p>
    <w:p w:rsidR="001926F2" w:rsidRPr="008E6774" w:rsidRDefault="001926F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Pr="00971C6C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Theme="majorEastAsia" w:eastAsiaTheme="majorEastAsia" w:hAnsiTheme="majorEastAsia" w:cs="Arial"/>
          <w:b/>
          <w:bCs/>
          <w:kern w:val="0"/>
          <w:sz w:val="32"/>
          <w:szCs w:val="28"/>
        </w:rPr>
      </w:pPr>
      <w:r w:rsidRPr="00971C6C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28"/>
        </w:rPr>
        <w:t xml:space="preserve">配　布　</w:t>
      </w:r>
      <w:r w:rsidR="00B3060F" w:rsidRPr="00971C6C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28"/>
        </w:rPr>
        <w:t>資</w:t>
      </w:r>
      <w:r w:rsidRPr="00971C6C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28"/>
        </w:rPr>
        <w:t xml:space="preserve">　</w:t>
      </w:r>
      <w:r w:rsidR="00B3060F" w:rsidRPr="00971C6C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28"/>
        </w:rPr>
        <w:t>料</w:t>
      </w:r>
    </w:p>
    <w:p w:rsidR="005A1A22" w:rsidRDefault="00CA0E36" w:rsidP="00462417">
      <w:pPr>
        <w:widowControl/>
        <w:shd w:val="clear" w:color="auto" w:fill="FFFFFF"/>
        <w:snapToGrid w:val="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 xml:space="preserve">　</w:t>
      </w:r>
      <w:r w:rsidR="00EE210A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</w:t>
      </w:r>
      <w:r w:rsidR="00031BE7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資料１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7A655F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盲ろう者通訳・介助者養成研修修了者を同行援護従業者養成研修</w:t>
      </w:r>
    </w:p>
    <w:p w:rsidR="007A655F" w:rsidRPr="00971C6C" w:rsidRDefault="007A655F" w:rsidP="00462417">
      <w:pPr>
        <w:widowControl/>
        <w:shd w:val="clear" w:color="auto" w:fill="FFFFFF"/>
        <w:snapToGrid w:val="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 xml:space="preserve">　　　　　　一般課程修了者として修了証を交付する取扱いの見直しについて</w:t>
      </w:r>
    </w:p>
    <w:p w:rsidR="00EE210A" w:rsidRPr="00971C6C" w:rsidRDefault="00EE210A" w:rsidP="00EE210A">
      <w:pPr>
        <w:widowControl/>
        <w:shd w:val="clear" w:color="auto" w:fill="FFFFFF"/>
        <w:snapToGrid w:val="0"/>
        <w:jc w:val="left"/>
        <w:outlineLvl w:val="2"/>
        <w:rPr>
          <w:rFonts w:ascii="ＭＳ 明朝" w:eastAsia="ＭＳ 明朝" w:hAnsi="ＭＳ 明朝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 xml:space="preserve">　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【資料</w:t>
      </w:r>
      <w:r w:rsidR="00031BE7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２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E11167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盲ろう者通訳・介助者</w:t>
      </w:r>
      <w:r w:rsidR="00E11167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の登録抹消</w:t>
      </w:r>
      <w:r w:rsidR="00E11167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について</w:t>
      </w:r>
    </w:p>
    <w:p w:rsidR="00C01166" w:rsidRPr="00971C6C" w:rsidRDefault="00EE210A" w:rsidP="00EE210A">
      <w:pPr>
        <w:widowControl/>
        <w:shd w:val="clear" w:color="auto" w:fill="FFFFFF"/>
        <w:snapToGrid w:val="0"/>
        <w:jc w:val="left"/>
        <w:outlineLvl w:val="2"/>
        <w:rPr>
          <w:rFonts w:ascii="ＭＳ 明朝" w:eastAsia="ＭＳ 明朝" w:hAnsi="ＭＳ 明朝" w:cs="Arial"/>
          <w:b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 xml:space="preserve">　</w:t>
      </w:r>
      <w:r w:rsidR="00C01166"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>【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資料３</w:t>
      </w:r>
      <w:r w:rsidR="00C01166"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>】</w:t>
      </w:r>
      <w:r w:rsidR="00E11167"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盲ろう者通訳・介助</w:t>
      </w:r>
      <w:r w:rsidR="00E11167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者養成研修の実施方法について</w:t>
      </w:r>
    </w:p>
    <w:p w:rsidR="00D30CD6" w:rsidRDefault="00EE210A" w:rsidP="00D30CD6">
      <w:pPr>
        <w:widowControl/>
        <w:shd w:val="clear" w:color="auto" w:fill="FFFFFF"/>
        <w:snapToGrid w:val="0"/>
        <w:ind w:firstLineChars="100" w:firstLine="28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【資料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４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7A655F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盲ろう者の高齢化に伴う対応について</w:t>
      </w:r>
      <w:r w:rsidR="006A269C"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（</w:t>
      </w:r>
      <w:r w:rsidR="007A655F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報告</w:t>
      </w:r>
      <w:r w:rsidR="006A269C"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）</w:t>
      </w:r>
    </w:p>
    <w:p w:rsidR="009F0314" w:rsidRDefault="009F0314" w:rsidP="00D30CD6">
      <w:pPr>
        <w:widowControl/>
        <w:shd w:val="clear" w:color="auto" w:fill="FFFFFF"/>
        <w:snapToGrid w:val="0"/>
        <w:ind w:firstLineChars="100" w:firstLine="28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【資料</w:t>
      </w:r>
      <w:r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５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令和２年度大阪府盲ろう者通訳・介助者養成研修の中止について</w:t>
      </w:r>
    </w:p>
    <w:p w:rsidR="009F0314" w:rsidRPr="00971C6C" w:rsidRDefault="009F0314" w:rsidP="009F0314">
      <w:pPr>
        <w:widowControl/>
        <w:shd w:val="clear" w:color="auto" w:fill="FFFFFF"/>
        <w:snapToGrid w:val="0"/>
        <w:ind w:firstLineChars="600" w:firstLine="168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（</w:t>
      </w:r>
      <w:r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報告</w:t>
      </w:r>
      <w:r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）</w:t>
      </w:r>
    </w:p>
    <w:p w:rsidR="006A269C" w:rsidRPr="00971C6C" w:rsidRDefault="00D30CD6" w:rsidP="006A269C">
      <w:pPr>
        <w:widowControl/>
        <w:shd w:val="clear" w:color="auto" w:fill="FFFFFF"/>
        <w:snapToGrid w:val="0"/>
        <w:ind w:firstLineChars="100" w:firstLine="28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資料</w:t>
      </w:r>
      <w:r w:rsidR="009F0314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６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事業実績推移（３年間）</w:t>
      </w:r>
    </w:p>
    <w:p w:rsidR="00425FCE" w:rsidRDefault="00363D32" w:rsidP="00425FCE">
      <w:pPr>
        <w:widowControl/>
        <w:shd w:val="clear" w:color="auto" w:fill="FFFFFF"/>
        <w:snapToGrid w:val="0"/>
        <w:ind w:left="1680" w:hangingChars="600" w:hanging="1680"/>
        <w:jc w:val="left"/>
        <w:outlineLvl w:val="2"/>
        <w:rPr>
          <w:rFonts w:ascii="ＭＳ 明朝" w:eastAsia="ＭＳ 明朝" w:hAnsi="ＭＳ 明朝"/>
          <w:sz w:val="28"/>
          <w:szCs w:val="28"/>
        </w:rPr>
      </w:pPr>
      <w:r w:rsidRPr="00971C6C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425FCE" w:rsidRDefault="00425FCE" w:rsidP="007A655F">
      <w:pPr>
        <w:widowControl/>
        <w:shd w:val="clear" w:color="auto" w:fill="FFFFFF"/>
        <w:snapToGrid w:val="0"/>
        <w:ind w:leftChars="150" w:left="1575" w:hangingChars="450" w:hanging="126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【参考</w:t>
      </w:r>
      <w:r w:rsidR="007A655F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資料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7A655F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大阪府盲ろう者通訳・介助者養成研修及び現任研修に係る修了試験の導入について（平成30年度　盲ろう者通訳・介助等ワーキンググループ資料）</w:t>
      </w:r>
    </w:p>
    <w:p w:rsidR="00003061" w:rsidRPr="00425FCE" w:rsidRDefault="00003061" w:rsidP="000C1D40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003061" w:rsidRPr="00425FCE" w:rsidSect="00204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B8" w:rsidRDefault="009607B8" w:rsidP="000B200F">
      <w:r>
        <w:separator/>
      </w:r>
    </w:p>
  </w:endnote>
  <w:endnote w:type="continuationSeparator" w:id="0">
    <w:p w:rsidR="009607B8" w:rsidRDefault="009607B8" w:rsidP="000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82" w:rsidRDefault="005A23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82" w:rsidRDefault="005A23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82" w:rsidRDefault="005A23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B8" w:rsidRDefault="009607B8" w:rsidP="000B200F">
      <w:r>
        <w:separator/>
      </w:r>
    </w:p>
  </w:footnote>
  <w:footnote w:type="continuationSeparator" w:id="0">
    <w:p w:rsidR="009607B8" w:rsidRDefault="009607B8" w:rsidP="000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82" w:rsidRDefault="005A23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82" w:rsidRDefault="005A23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82" w:rsidRDefault="005A23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D"/>
    <w:multiLevelType w:val="multilevel"/>
    <w:tmpl w:val="9E92F6D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entative="1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</w:lvl>
    <w:lvl w:ilvl="2" w:tentative="1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decimal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decimal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decimal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decimal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" w15:restartNumberingAfterBreak="0">
    <w:nsid w:val="1B745599"/>
    <w:multiLevelType w:val="hybridMultilevel"/>
    <w:tmpl w:val="9C56114A"/>
    <w:lvl w:ilvl="0" w:tplc="9B4C28FE">
      <w:start w:val="1"/>
      <w:numFmt w:val="decimalFullWidth"/>
      <w:lvlText w:val="%1．"/>
      <w:lvlJc w:val="left"/>
      <w:pPr>
        <w:ind w:left="93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CD4402"/>
    <w:multiLevelType w:val="hybridMultilevel"/>
    <w:tmpl w:val="933E5E22"/>
    <w:lvl w:ilvl="0" w:tplc="C302C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433564"/>
    <w:multiLevelType w:val="multilevel"/>
    <w:tmpl w:val="1B6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D4BAD"/>
    <w:multiLevelType w:val="hybridMultilevel"/>
    <w:tmpl w:val="E1AE8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820192"/>
    <w:multiLevelType w:val="hybridMultilevel"/>
    <w:tmpl w:val="28C464FC"/>
    <w:lvl w:ilvl="0" w:tplc="3C12F4A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F"/>
    <w:rsid w:val="00003061"/>
    <w:rsid w:val="00031BE7"/>
    <w:rsid w:val="0005748F"/>
    <w:rsid w:val="000B200F"/>
    <w:rsid w:val="000B6CFE"/>
    <w:rsid w:val="000C1D40"/>
    <w:rsid w:val="001164A3"/>
    <w:rsid w:val="0013278D"/>
    <w:rsid w:val="001463BA"/>
    <w:rsid w:val="001741F2"/>
    <w:rsid w:val="001769FF"/>
    <w:rsid w:val="001926F2"/>
    <w:rsid w:val="001D17FA"/>
    <w:rsid w:val="00204FA2"/>
    <w:rsid w:val="00235112"/>
    <w:rsid w:val="002615E2"/>
    <w:rsid w:val="00277376"/>
    <w:rsid w:val="00281AA7"/>
    <w:rsid w:val="002E6B99"/>
    <w:rsid w:val="002F164B"/>
    <w:rsid w:val="00363D32"/>
    <w:rsid w:val="00396E50"/>
    <w:rsid w:val="0039748E"/>
    <w:rsid w:val="003A1280"/>
    <w:rsid w:val="003B11E4"/>
    <w:rsid w:val="003D2812"/>
    <w:rsid w:val="003E1B3D"/>
    <w:rsid w:val="003E7F0F"/>
    <w:rsid w:val="00425FCE"/>
    <w:rsid w:val="004358E3"/>
    <w:rsid w:val="00443AA3"/>
    <w:rsid w:val="00462417"/>
    <w:rsid w:val="004C59F5"/>
    <w:rsid w:val="004C77A2"/>
    <w:rsid w:val="00525D52"/>
    <w:rsid w:val="005627CA"/>
    <w:rsid w:val="00564EEC"/>
    <w:rsid w:val="00580C46"/>
    <w:rsid w:val="00583BC7"/>
    <w:rsid w:val="00587C6C"/>
    <w:rsid w:val="005A1A22"/>
    <w:rsid w:val="005A2382"/>
    <w:rsid w:val="005B20D6"/>
    <w:rsid w:val="005D35FE"/>
    <w:rsid w:val="005D6544"/>
    <w:rsid w:val="00652489"/>
    <w:rsid w:val="00670F94"/>
    <w:rsid w:val="0068178A"/>
    <w:rsid w:val="006A269C"/>
    <w:rsid w:val="007044C0"/>
    <w:rsid w:val="007A0E2A"/>
    <w:rsid w:val="007A2B18"/>
    <w:rsid w:val="007A655F"/>
    <w:rsid w:val="007C01F3"/>
    <w:rsid w:val="007D7AB2"/>
    <w:rsid w:val="007E0599"/>
    <w:rsid w:val="007E733B"/>
    <w:rsid w:val="0080473A"/>
    <w:rsid w:val="00827A34"/>
    <w:rsid w:val="008A22EF"/>
    <w:rsid w:val="008B1985"/>
    <w:rsid w:val="008E6774"/>
    <w:rsid w:val="00925181"/>
    <w:rsid w:val="00926BFB"/>
    <w:rsid w:val="00927968"/>
    <w:rsid w:val="00941948"/>
    <w:rsid w:val="009607B8"/>
    <w:rsid w:val="0096165D"/>
    <w:rsid w:val="00971C6C"/>
    <w:rsid w:val="009F0314"/>
    <w:rsid w:val="009F2636"/>
    <w:rsid w:val="00A00723"/>
    <w:rsid w:val="00A110C6"/>
    <w:rsid w:val="00A456B2"/>
    <w:rsid w:val="00A47D9F"/>
    <w:rsid w:val="00AB3BFF"/>
    <w:rsid w:val="00B0387A"/>
    <w:rsid w:val="00B26ABF"/>
    <w:rsid w:val="00B3060F"/>
    <w:rsid w:val="00B41ED2"/>
    <w:rsid w:val="00B5482A"/>
    <w:rsid w:val="00B82330"/>
    <w:rsid w:val="00BD5BE1"/>
    <w:rsid w:val="00C01166"/>
    <w:rsid w:val="00C33B14"/>
    <w:rsid w:val="00C52967"/>
    <w:rsid w:val="00C55407"/>
    <w:rsid w:val="00CA0E36"/>
    <w:rsid w:val="00CA7193"/>
    <w:rsid w:val="00CA7BD0"/>
    <w:rsid w:val="00CD485F"/>
    <w:rsid w:val="00CD4B25"/>
    <w:rsid w:val="00D30CD6"/>
    <w:rsid w:val="00D43A1E"/>
    <w:rsid w:val="00D478C3"/>
    <w:rsid w:val="00D870AD"/>
    <w:rsid w:val="00D90C64"/>
    <w:rsid w:val="00DB3749"/>
    <w:rsid w:val="00DB3C14"/>
    <w:rsid w:val="00E11167"/>
    <w:rsid w:val="00EC23A2"/>
    <w:rsid w:val="00EE210A"/>
    <w:rsid w:val="00F43711"/>
    <w:rsid w:val="00FD3B2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00F"/>
  </w:style>
  <w:style w:type="paragraph" w:styleId="a7">
    <w:name w:val="footer"/>
    <w:basedOn w:val="a"/>
    <w:link w:val="a8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0F"/>
  </w:style>
  <w:style w:type="paragraph" w:styleId="a9">
    <w:name w:val="List Paragraph"/>
    <w:basedOn w:val="a"/>
    <w:uiPriority w:val="34"/>
    <w:qFormat/>
    <w:rsid w:val="0067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2021-02-16T02:53:00Z</dcterms:created>
  <dcterms:modified xsi:type="dcterms:W3CDTF">2021-02-16T02:53:00Z</dcterms:modified>
</cp:coreProperties>
</file>