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A5" w:rsidRPr="00F742D1" w:rsidRDefault="00676035" w:rsidP="00CC396B">
      <w:pPr>
        <w:spacing w:line="240" w:lineRule="atLeast"/>
        <w:rPr>
          <w:rFonts w:ascii="ＭＳ 明朝" w:hAnsi="ＭＳ 明朝" w:hint="eastAsia"/>
          <w:dstrike/>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4492625</wp:posOffset>
                </wp:positionH>
                <wp:positionV relativeFrom="paragraph">
                  <wp:posOffset>-233680</wp:posOffset>
                </wp:positionV>
                <wp:extent cx="1979930" cy="409575"/>
                <wp:effectExtent l="0" t="0" r="1270" b="9525"/>
                <wp:wrapNone/>
                <wp:docPr id="10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09575"/>
                        </a:xfrm>
                        <a:prstGeom prst="rect">
                          <a:avLst/>
                        </a:prstGeom>
                        <a:solidFill>
                          <a:srgbClr val="FFFFFF"/>
                        </a:solidFill>
                        <a:ln w="9525">
                          <a:solidFill>
                            <a:srgbClr val="000000"/>
                          </a:solidFill>
                          <a:miter lim="800000"/>
                          <a:headEnd/>
                          <a:tailEnd/>
                        </a:ln>
                      </wps:spPr>
                      <wps:txbx>
                        <w:txbxContent>
                          <w:p w:rsidR="00EE2C95" w:rsidRDefault="00EE2C95" w:rsidP="00EE2C95">
                            <w:pPr>
                              <w:pStyle w:val="Web"/>
                              <w:spacing w:before="0" w:beforeAutospacing="0" w:after="0" w:afterAutospacing="0"/>
                              <w:jc w:val="center"/>
                            </w:pPr>
                            <w:r>
                              <w:rPr>
                                <w:rFonts w:ascii="UD デジタル 教科書体 N-B" w:eastAsia="UD デジタル 教科書体 N-B" w:cs="Times New Roman" w:hint="eastAsia"/>
                                <w:b/>
                                <w:bCs/>
                                <w:color w:val="000000"/>
                                <w:sz w:val="48"/>
                                <w:szCs w:val="48"/>
                              </w:rPr>
                              <w:t>参考資料</w:t>
                            </w:r>
                            <w:r w:rsidR="00F13677">
                              <w:rPr>
                                <w:rFonts w:ascii="UD デジタル 教科書体 N-B" w:eastAsia="UD デジタル 教科書体 N-B" w:cs="Times New Roman" w:hint="eastAsia"/>
                                <w:b/>
                                <w:bCs/>
                                <w:color w:val="000000"/>
                                <w:sz w:val="48"/>
                                <w:szCs w:val="48"/>
                              </w:rPr>
                              <w:t>１</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75pt;margin-top:-18.4pt;width:155.9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">
                <v:textbox inset=",0,,0">
                  <w:txbxContent>
                    <w:p w:rsidR="00EE2C95" w:rsidRDefault="00EE2C95" w:rsidP="00EE2C95">
                      <w:pPr>
                        <w:pStyle w:val="Web"/>
                        <w:spacing w:before="0" w:beforeAutospacing="0" w:after="0" w:afterAutospacing="0"/>
                        <w:jc w:val="center"/>
                      </w:pPr>
                      <w:r>
                        <w:rPr>
                          <w:rFonts w:ascii="UD デジタル 教科書体 N-B" w:eastAsia="UD デジタル 教科書体 N-B" w:cs="Times New Roman" w:hint="eastAsia"/>
                          <w:b/>
                          <w:bCs/>
                          <w:color w:val="000000"/>
                          <w:sz w:val="48"/>
                          <w:szCs w:val="48"/>
                        </w:rPr>
                        <w:t>参考資料</w:t>
                      </w:r>
                      <w:r w:rsidR="00F13677">
                        <w:rPr>
                          <w:rFonts w:ascii="UD デジタル 教科書体 N-B" w:eastAsia="UD デジタル 教科書体 N-B" w:cs="Times New Roman" w:hint="eastAsia"/>
                          <w:b/>
                          <w:bCs/>
                          <w:color w:val="000000"/>
                          <w:sz w:val="48"/>
                          <w:szCs w:val="48"/>
                        </w:rPr>
                        <w:t>１</w:t>
                      </w:r>
                    </w:p>
                  </w:txbxContent>
                </v:textbox>
              </v:shape>
            </w:pict>
          </mc:Fallback>
        </mc:AlternateContent>
      </w:r>
    </w:p>
    <w:p w:rsidR="00B57DA5" w:rsidRPr="00F742D1" w:rsidRDefault="00650202">
      <w:pPr>
        <w:jc w:val="center"/>
        <w:rPr>
          <w:rFonts w:ascii="ＭＳ 明朝" w:hAnsi="ＭＳ 明朝" w:hint="eastAsia"/>
          <w:sz w:val="28"/>
          <w:szCs w:val="28"/>
        </w:rPr>
      </w:pPr>
      <w:r w:rsidRPr="00F742D1">
        <w:rPr>
          <w:rFonts w:ascii="ＭＳ 明朝" w:hAnsi="ＭＳ 明朝" w:hint="eastAsia"/>
          <w:sz w:val="28"/>
          <w:szCs w:val="28"/>
        </w:rPr>
        <w:t>大阪における</w:t>
      </w:r>
      <w:r w:rsidR="00B57DA5" w:rsidRPr="00F742D1">
        <w:rPr>
          <w:rFonts w:ascii="ＭＳ 明朝" w:hAnsi="ＭＳ 明朝" w:hint="eastAsia"/>
          <w:sz w:val="28"/>
          <w:szCs w:val="28"/>
        </w:rPr>
        <w:t>肝炎専門</w:t>
      </w:r>
      <w:r w:rsidR="003A3CCF" w:rsidRPr="00F742D1">
        <w:rPr>
          <w:rFonts w:ascii="ＭＳ 明朝" w:hAnsi="ＭＳ 明朝" w:hint="eastAsia"/>
          <w:sz w:val="28"/>
          <w:szCs w:val="28"/>
        </w:rPr>
        <w:t>医療機関</w:t>
      </w:r>
      <w:r w:rsidR="00B57DA5" w:rsidRPr="00F742D1">
        <w:rPr>
          <w:rFonts w:ascii="ＭＳ 明朝" w:hAnsi="ＭＳ 明朝" w:hint="eastAsia"/>
          <w:sz w:val="28"/>
          <w:szCs w:val="28"/>
        </w:rPr>
        <w:t>及び</w:t>
      </w:r>
      <w:r w:rsidR="003A3CCF" w:rsidRPr="00F742D1">
        <w:rPr>
          <w:rFonts w:ascii="ＭＳ 明朝" w:hAnsi="ＭＳ 明朝" w:hint="eastAsia"/>
          <w:sz w:val="28"/>
          <w:szCs w:val="28"/>
        </w:rPr>
        <w:t>肝炎</w:t>
      </w:r>
      <w:r w:rsidR="00B57DA5" w:rsidRPr="00F742D1">
        <w:rPr>
          <w:rFonts w:ascii="ＭＳ 明朝" w:hAnsi="ＭＳ 明朝" w:hint="eastAsia"/>
          <w:sz w:val="28"/>
          <w:szCs w:val="28"/>
        </w:rPr>
        <w:t>協力医療機関について</w:t>
      </w:r>
    </w:p>
    <w:p w:rsidR="00B2077D" w:rsidRDefault="00B2077D" w:rsidP="004C1743">
      <w:pPr>
        <w:rPr>
          <w:rFonts w:ascii="ＭＳ 明朝" w:hAnsi="ＭＳ 明朝" w:hint="eastAsia"/>
          <w:sz w:val="22"/>
          <w:szCs w:val="22"/>
        </w:rPr>
      </w:pPr>
    </w:p>
    <w:p w:rsidR="00B57DA5" w:rsidRPr="000061BC" w:rsidRDefault="00B57DA5" w:rsidP="00F13677">
      <w:pPr>
        <w:tabs>
          <w:tab w:val="left" w:pos="8760"/>
        </w:tabs>
        <w:rPr>
          <w:rFonts w:ascii="ＭＳ 明朝" w:hAnsi="ＭＳ 明朝" w:hint="eastAsia"/>
          <w:sz w:val="24"/>
        </w:rPr>
      </w:pPr>
      <w:r>
        <w:rPr>
          <w:rFonts w:ascii="ＭＳ 明朝" w:hAnsi="ＭＳ 明朝" w:hint="eastAsia"/>
          <w:sz w:val="24"/>
        </w:rPr>
        <w:t>Ⅰ　肝炎専門及び協力医療機関の指定</w:t>
      </w:r>
      <w:r w:rsidR="00F13677">
        <w:rPr>
          <w:rFonts w:ascii="ＭＳ 明朝" w:hAnsi="ＭＳ 明朝"/>
          <w:sz w:val="24"/>
        </w:rPr>
        <w:tab/>
      </w:r>
    </w:p>
    <w:p w:rsidR="00B57DA5" w:rsidRPr="000061BC" w:rsidRDefault="00B57DA5" w:rsidP="00CC396B">
      <w:pPr>
        <w:ind w:leftChars="202" w:left="424" w:firstLineChars="117" w:firstLine="281"/>
        <w:rPr>
          <w:rFonts w:ascii="ＭＳ 明朝" w:hAnsi="ＭＳ 明朝" w:hint="eastAsia"/>
          <w:sz w:val="24"/>
        </w:rPr>
      </w:pPr>
      <w:r w:rsidRPr="000061BC">
        <w:rPr>
          <w:rFonts w:ascii="ＭＳ 明朝" w:hAnsi="ＭＳ 明朝" w:hint="eastAsia"/>
          <w:sz w:val="24"/>
        </w:rPr>
        <w:t>大阪府知事が、各医療機関の申出に基づき、</w:t>
      </w:r>
      <w:r w:rsidR="00423C30" w:rsidRPr="000061BC">
        <w:rPr>
          <w:rFonts w:ascii="ＭＳ 明朝" w:hAnsi="ＭＳ 明朝" w:hint="eastAsia"/>
          <w:sz w:val="24"/>
        </w:rPr>
        <w:t>大阪府がん対策推進委員会肝炎肝がん対策部会</w:t>
      </w:r>
      <w:r w:rsidRPr="000061BC">
        <w:rPr>
          <w:rFonts w:ascii="ＭＳ 明朝" w:hAnsi="ＭＳ 明朝" w:hint="eastAsia"/>
          <w:sz w:val="24"/>
        </w:rPr>
        <w:t>の意見を踏まえ、適当と認めるものを</w:t>
      </w:r>
      <w:r w:rsidR="0054080E" w:rsidRPr="000061BC">
        <w:rPr>
          <w:rFonts w:ascii="ＭＳ 明朝" w:hAnsi="ＭＳ 明朝" w:hint="eastAsia"/>
          <w:sz w:val="24"/>
        </w:rPr>
        <w:t>、</w:t>
      </w:r>
      <w:r w:rsidRPr="000061BC">
        <w:rPr>
          <w:rFonts w:ascii="ＭＳ 明朝" w:hAnsi="ＭＳ 明朝" w:hint="eastAsia"/>
          <w:sz w:val="24"/>
        </w:rPr>
        <w:t>次の「肝炎専門医療機関」又は「肝炎協力医療機関」として指定する。</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１ 肝炎専門医療機関</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（１）肝疾患に関する専門知識を有する医師による診断（活動度と病期を含む）と治療方針の決定ができること。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（２）Ｃ型肝炎ウイルス感染者に対するインターフェロン治療、インターフェロンフリー治療等の抗ウイルス療法ができること。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（３）肝がんの高危険群の同定と早期診断（超音波検査などによる肝がん診断）ができること。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（４）診療ガイドラインに準ずる標準的治療ができること、肝疾患のセカンドオピニオンの提示ができること。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（５）大阪府肝炎協力医療機関、かかりつけ医等地域の医療機関と連携した診療体制の展開ができること。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（６）過去１年間の肝炎治療（HBV、HCV、その他を含む）の診療実績（他の診療目的で受診する肝炎患者数は除く）があること。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（７）大阪府肝炎医療コーディネーター（以下「府コーディネーター」という。）を１名以上配置していること。なお、新規指定の場合は、指定を受けた日から１年以内に配置すること。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以上の指定要件について、いずれも対応可能または実績が確認される医療機関。</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２ 肝炎協力医療機関</w:t>
      </w:r>
    </w:p>
    <w:p w:rsidR="00CC396B" w:rsidRPr="00CC396B" w:rsidRDefault="00CC396B" w:rsidP="00CC396B">
      <w:pPr>
        <w:ind w:leftChars="472" w:left="991" w:firstLineChars="86" w:firstLine="206"/>
        <w:rPr>
          <w:rFonts w:ascii="ＭＳ 明朝" w:hAnsi="ＭＳ 明朝" w:hint="eastAsia"/>
          <w:sz w:val="24"/>
        </w:rPr>
      </w:pPr>
      <w:r w:rsidRPr="00CC396B">
        <w:rPr>
          <w:rFonts w:ascii="ＭＳ 明朝" w:hAnsi="ＭＳ 明朝" w:hint="eastAsia"/>
          <w:sz w:val="24"/>
        </w:rPr>
        <w:t>Ｃ型肝炎ウイルス感染者に対して行われる長期間にわたるインターフェロン治療、インターフェロンフリー治療等の抗ウイルス療法について、肝炎専門医療機関と連携して、インターフェロン等の維持投与を含む継続診療の実施が可能と確認される医療機関。</w:t>
      </w:r>
    </w:p>
    <w:p w:rsidR="00CC396B" w:rsidRPr="00CC396B" w:rsidRDefault="00CC396B" w:rsidP="00CC396B">
      <w:pPr>
        <w:ind w:firstLineChars="500" w:firstLine="1200"/>
        <w:rPr>
          <w:rFonts w:ascii="ＭＳ 明朝" w:hAnsi="ＭＳ 明朝" w:hint="eastAsia"/>
          <w:sz w:val="24"/>
        </w:rPr>
      </w:pPr>
      <w:r w:rsidRPr="00CC396B">
        <w:rPr>
          <w:rFonts w:ascii="ＭＳ 明朝" w:hAnsi="ＭＳ 明朝" w:hint="eastAsia"/>
          <w:sz w:val="24"/>
        </w:rPr>
        <w:t>なお、府コーディネーターを１名以上配置するよう努めること。</w:t>
      </w:r>
    </w:p>
    <w:p w:rsidR="00CC396B" w:rsidRPr="00CC396B" w:rsidRDefault="00CC396B" w:rsidP="00CC396B">
      <w:pPr>
        <w:ind w:leftChars="340" w:left="714"/>
        <w:rPr>
          <w:rFonts w:ascii="ＭＳ 明朝" w:hAnsi="ＭＳ 明朝"/>
          <w:sz w:val="24"/>
        </w:rPr>
      </w:pPr>
    </w:p>
    <w:p w:rsidR="00CC396B" w:rsidRPr="00CC396B" w:rsidRDefault="00CC396B" w:rsidP="00CC396B">
      <w:pPr>
        <w:rPr>
          <w:rFonts w:ascii="ＭＳ 明朝" w:hAnsi="ＭＳ 明朝" w:hint="eastAsia"/>
          <w:sz w:val="24"/>
        </w:rPr>
      </w:pPr>
      <w:r w:rsidRPr="00CC396B">
        <w:rPr>
          <w:rFonts w:ascii="ＭＳ 明朝" w:hAnsi="ＭＳ 明朝" w:hint="eastAsia"/>
          <w:sz w:val="24"/>
        </w:rPr>
        <w:t>Ⅱ　肝炎専門医療機関及び肝炎協力医療機関の指定に際して</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１　診療機能</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肝炎専門医療機関ではⅠの１、肝炎協力医療機関ではⅠの２の各指定要件に加え、</w:t>
      </w:r>
    </w:p>
    <w:p w:rsidR="00CC396B" w:rsidRPr="00CC396B" w:rsidRDefault="00CC396B" w:rsidP="00CC396B">
      <w:pPr>
        <w:ind w:leftChars="270" w:left="989" w:hangingChars="176" w:hanging="422"/>
        <w:rPr>
          <w:rFonts w:ascii="ＭＳ 明朝" w:hAnsi="ＭＳ 明朝" w:hint="eastAsia"/>
          <w:sz w:val="24"/>
        </w:rPr>
      </w:pPr>
      <w:r>
        <w:rPr>
          <w:rFonts w:ascii="ＭＳ 明朝" w:hAnsi="ＭＳ 明朝" w:hint="eastAsia"/>
          <w:sz w:val="24"/>
        </w:rPr>
        <w:t>（１）</w:t>
      </w:r>
      <w:r w:rsidRPr="00CC396B">
        <w:rPr>
          <w:rFonts w:ascii="ＭＳ 明朝" w:hAnsi="ＭＳ 明朝" w:hint="eastAsia"/>
          <w:sz w:val="24"/>
        </w:rPr>
        <w:t>府、市町村等が実施する肝炎ウイルス検診で感染が疑われた患者を受け入れ、原則として（一社）日本肝臓学会のＢ型及びＣ型肝炎治療にかかるガイドラインに沿った適切な診断、治療を実施すること。なお、治験等を実施する場合はその限りではないが、その旨を報告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（２）「大阪府がん対策推進委員会肝炎肝がん対策部会」から助言等が行われた場合には、これを参考に適切な検査、治療等を実施すること。</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２　従事者</w:t>
      </w:r>
    </w:p>
    <w:p w:rsidR="00CC396B" w:rsidRDefault="00CC396B" w:rsidP="00CC396B">
      <w:pPr>
        <w:ind w:leftChars="270" w:left="989" w:hangingChars="176" w:hanging="422"/>
        <w:rPr>
          <w:rFonts w:ascii="ＭＳ 明朝" w:hAnsi="ＭＳ 明朝"/>
          <w:sz w:val="24"/>
        </w:rPr>
      </w:pPr>
      <w:r w:rsidRPr="00CC396B">
        <w:rPr>
          <w:rFonts w:ascii="ＭＳ 明朝" w:hAnsi="ＭＳ 明朝" w:hint="eastAsia"/>
          <w:sz w:val="24"/>
        </w:rPr>
        <w:t>（１）「責任窓口医師」を指定し、府、市町村との診療結果等の連絡調整及び府民等からの問い合わせ等に対応すること。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（２）肝疾患治療に関する研修及び講習会等（大阪府、医師会、肝疾患診療連携拠点病院、各種関連学会等が開催するもの）に参加すること。なお、専門医療機関は毎年度１回以上参加すること。</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lastRenderedPageBreak/>
        <w:t>３　大阪府肝炎フォローアップ事業への参加・協力</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１）大阪府肝炎フォローアップ事業に参加協力すること。肝炎専門医療機関は、府、市町村が実施する肝炎ウイルス検診で感染が疑われた患者の精検結果及び治療方針等を診療結果通知書（様式４）により、患者同意のもと、府、市町村に報告すること。</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（２）なお、報告された精検結果及び治療方針等は、府、市町村ごとに集計の上、「大阪府がん対策推進委員会肝炎肝がん対策部会」で評価検討を行う。</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４　情報の公開</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府及び市町村が必要に応じて次の事項を公開することについて承諾すること。</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（１）施設名、住所、連絡先</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（２）肝炎ウイルス検診で感染が疑われた患者を受け入れる協力診療科名</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（３）責任窓口医師の氏名及び診療科名</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（４）（一社）日本肝臓学会及び（一財）日本消化器病学会の指導医、専門医の人数</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（５）府コーディネーターの人数</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（６）肝臓専門外来の有無</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（７）Ｃ型肝炎ウイルス感染者に対するインターフェロン治療、インターフェロンフリー治療等の抗ウイルス療法の可否及び初期導入実績人数（専門医療機関）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（８）肝疾患のセカンドオピニオンの提示の可否と提示実績人数（専門医療機関）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（９）肝疾患治療に関する研修及び講習会等への参加状況（専門医療機関）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（10）その他「大阪府がん対策推進委員会肝炎肝がん対策部会」が必要と認める事項</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５　情報の提供</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専門医療機関は、別途府が定める「現況報告書」を府が指定する期限までに提出すること。</w:t>
      </w:r>
    </w:p>
    <w:p w:rsidR="00CC396B" w:rsidRPr="00CC396B" w:rsidRDefault="00CC396B" w:rsidP="00CC396B">
      <w:pPr>
        <w:ind w:leftChars="340" w:left="714"/>
        <w:rPr>
          <w:rFonts w:ascii="ＭＳ 明朝" w:hAnsi="ＭＳ 明朝"/>
          <w:sz w:val="24"/>
        </w:rPr>
      </w:pP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注１）指定について医療機関の規模、標榜診療科目の種別は問わない。</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肝炎協力医療機関については、必ずしもインターフェロン治療等の実績の有無は問わないが、肝炎専門医療機関からの紹介等に対応しこれに協力してインターフェロン治療等が可能であること。</w:t>
      </w:r>
    </w:p>
    <w:p w:rsidR="00CC396B" w:rsidRPr="00CC396B" w:rsidRDefault="00CC396B" w:rsidP="00CC396B">
      <w:pPr>
        <w:ind w:leftChars="340" w:left="714"/>
        <w:rPr>
          <w:rFonts w:ascii="ＭＳ 明朝" w:hAnsi="ＭＳ 明朝"/>
          <w:sz w:val="24"/>
        </w:rPr>
      </w:pPr>
    </w:p>
    <w:p w:rsidR="00B57DA5" w:rsidRPr="000061BC" w:rsidRDefault="00CC396B" w:rsidP="00E269FF">
      <w:pPr>
        <w:ind w:leftChars="100" w:left="690" w:hangingChars="200" w:hanging="480"/>
        <w:rPr>
          <w:rFonts w:ascii="ＭＳ 明朝" w:hAnsi="ＭＳ 明朝" w:hint="eastAsia"/>
          <w:sz w:val="24"/>
        </w:rPr>
      </w:pPr>
      <w:r w:rsidRPr="00CC396B">
        <w:rPr>
          <w:rFonts w:ascii="ＭＳ 明朝" w:hAnsi="ＭＳ 明朝" w:hint="eastAsia"/>
          <w:sz w:val="24"/>
        </w:rPr>
        <w:t>注２）Ⅰ－１（７）に規定する府コーディネーターの配置については、</w:t>
      </w:r>
      <w:r w:rsidR="00E269FF">
        <w:rPr>
          <w:rFonts w:ascii="ＭＳ 明朝" w:hAnsi="ＭＳ 明朝" w:hint="eastAsia"/>
          <w:sz w:val="24"/>
        </w:rPr>
        <w:t>令和３</w:t>
      </w:r>
      <w:r w:rsidRPr="00CC396B">
        <w:rPr>
          <w:rFonts w:ascii="ＭＳ 明朝" w:hAnsi="ＭＳ 明朝" w:hint="eastAsia"/>
          <w:sz w:val="24"/>
        </w:rPr>
        <w:t>（2021）年４月１日から適用するものとする。</w:t>
      </w:r>
    </w:p>
    <w:sectPr w:rsidR="00B57DA5" w:rsidRPr="000061BC" w:rsidSect="00E269FF">
      <w:headerReference w:type="default" r:id="rId8"/>
      <w:pgSz w:w="11906" w:h="16838" w:code="9"/>
      <w:pgMar w:top="1135" w:right="851" w:bottom="1135" w:left="851" w:header="426"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44" w:rsidRDefault="00106D44">
      <w:r>
        <w:separator/>
      </w:r>
    </w:p>
  </w:endnote>
  <w:endnote w:type="continuationSeparator" w:id="0">
    <w:p w:rsidR="00106D44" w:rsidRDefault="0010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44" w:rsidRDefault="00106D44">
      <w:r>
        <w:separator/>
      </w:r>
    </w:p>
  </w:footnote>
  <w:footnote w:type="continuationSeparator" w:id="0">
    <w:p w:rsidR="00106D44" w:rsidRDefault="0010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AD" w:rsidRDefault="008127AD" w:rsidP="005F6CC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AD7"/>
    <w:multiLevelType w:val="hybridMultilevel"/>
    <w:tmpl w:val="2C2E339E"/>
    <w:lvl w:ilvl="0" w:tplc="FEFC9BDE">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 w15:restartNumberingAfterBreak="0">
    <w:nsid w:val="04EF6710"/>
    <w:multiLevelType w:val="singleLevel"/>
    <w:tmpl w:val="4F54ACF2"/>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2" w15:restartNumberingAfterBreak="0">
    <w:nsid w:val="099D0CEE"/>
    <w:multiLevelType w:val="hybridMultilevel"/>
    <w:tmpl w:val="061EE9EA"/>
    <w:lvl w:ilvl="0" w:tplc="642A0EBE">
      <w:start w:val="4"/>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2864465C"/>
    <w:multiLevelType w:val="hybridMultilevel"/>
    <w:tmpl w:val="F9387F7E"/>
    <w:lvl w:ilvl="0" w:tplc="A3883510">
      <w:start w:val="2"/>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2F76740"/>
    <w:multiLevelType w:val="hybridMultilevel"/>
    <w:tmpl w:val="38E86A04"/>
    <w:lvl w:ilvl="0" w:tplc="251E39EA">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4C52B21"/>
    <w:multiLevelType w:val="hybridMultilevel"/>
    <w:tmpl w:val="BD40B00A"/>
    <w:lvl w:ilvl="0" w:tplc="7520DFD6">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15:restartNumberingAfterBreak="0">
    <w:nsid w:val="5845279B"/>
    <w:multiLevelType w:val="singleLevel"/>
    <w:tmpl w:val="54106A60"/>
    <w:lvl w:ilvl="0">
      <w:start w:val="2"/>
      <w:numFmt w:val="lowerLetter"/>
      <w:lvlText w:val="(%1)"/>
      <w:lvlJc w:val="left"/>
      <w:pPr>
        <w:tabs>
          <w:tab w:val="num" w:pos="840"/>
        </w:tabs>
        <w:ind w:left="840" w:hanging="360"/>
      </w:pPr>
      <w:rPr>
        <w:rFonts w:hint="eastAsia"/>
      </w:rPr>
    </w:lvl>
  </w:abstractNum>
  <w:abstractNum w:abstractNumId="7" w15:restartNumberingAfterBreak="0">
    <w:nsid w:val="71231577"/>
    <w:multiLevelType w:val="singleLevel"/>
    <w:tmpl w:val="4E904E64"/>
    <w:lvl w:ilvl="0">
      <w:start w:val="1"/>
      <w:numFmt w:val="decimalFullWidth"/>
      <w:lvlText w:val="%1"/>
      <w:lvlJc w:val="left"/>
      <w:pPr>
        <w:tabs>
          <w:tab w:val="num" w:pos="360"/>
        </w:tabs>
        <w:ind w:left="360" w:hanging="360"/>
      </w:pPr>
      <w:rPr>
        <w:rFonts w:hint="eastAsia"/>
      </w:rPr>
    </w:lvl>
  </w:abstractNum>
  <w:abstractNum w:abstractNumId="8" w15:restartNumberingAfterBreak="0">
    <w:nsid w:val="786505BF"/>
    <w:multiLevelType w:val="hybridMultilevel"/>
    <w:tmpl w:val="19AC5C14"/>
    <w:lvl w:ilvl="0" w:tplc="348C32F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9A20515"/>
    <w:multiLevelType w:val="hybridMultilevel"/>
    <w:tmpl w:val="A34ABD40"/>
    <w:lvl w:ilvl="0" w:tplc="EAE01BA2">
      <w:numFmt w:val="bullet"/>
      <w:lvlText w:val="・"/>
      <w:lvlJc w:val="left"/>
      <w:pPr>
        <w:tabs>
          <w:tab w:val="num" w:pos="800"/>
        </w:tabs>
        <w:ind w:left="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9"/>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5"/>
    <w:rsid w:val="00002842"/>
    <w:rsid w:val="000061BC"/>
    <w:rsid w:val="00037788"/>
    <w:rsid w:val="0004185B"/>
    <w:rsid w:val="00056FF7"/>
    <w:rsid w:val="000B6C88"/>
    <w:rsid w:val="000E00E7"/>
    <w:rsid w:val="000E2254"/>
    <w:rsid w:val="000E7528"/>
    <w:rsid w:val="000F0DD7"/>
    <w:rsid w:val="00106D44"/>
    <w:rsid w:val="00111654"/>
    <w:rsid w:val="001138F3"/>
    <w:rsid w:val="00146EDA"/>
    <w:rsid w:val="00151ABF"/>
    <w:rsid w:val="00164FD2"/>
    <w:rsid w:val="001668F1"/>
    <w:rsid w:val="0018162E"/>
    <w:rsid w:val="00181E2A"/>
    <w:rsid w:val="001A78DA"/>
    <w:rsid w:val="001B2CEA"/>
    <w:rsid w:val="001E2F71"/>
    <w:rsid w:val="001F6EBF"/>
    <w:rsid w:val="00203A51"/>
    <w:rsid w:val="00204485"/>
    <w:rsid w:val="00221BEA"/>
    <w:rsid w:val="00221CC6"/>
    <w:rsid w:val="00251F85"/>
    <w:rsid w:val="00272486"/>
    <w:rsid w:val="00277F52"/>
    <w:rsid w:val="002C25A6"/>
    <w:rsid w:val="002D3217"/>
    <w:rsid w:val="002F2555"/>
    <w:rsid w:val="0030366C"/>
    <w:rsid w:val="00311300"/>
    <w:rsid w:val="00347CBC"/>
    <w:rsid w:val="00361DEE"/>
    <w:rsid w:val="00372BE3"/>
    <w:rsid w:val="00391F69"/>
    <w:rsid w:val="003A3CCF"/>
    <w:rsid w:val="003A701E"/>
    <w:rsid w:val="003D3096"/>
    <w:rsid w:val="003D4068"/>
    <w:rsid w:val="003E1F29"/>
    <w:rsid w:val="00405D87"/>
    <w:rsid w:val="0040639B"/>
    <w:rsid w:val="00414C9B"/>
    <w:rsid w:val="00423C30"/>
    <w:rsid w:val="004304FA"/>
    <w:rsid w:val="00451C03"/>
    <w:rsid w:val="00482F4E"/>
    <w:rsid w:val="00490C23"/>
    <w:rsid w:val="004B500B"/>
    <w:rsid w:val="004B7518"/>
    <w:rsid w:val="004C0D43"/>
    <w:rsid w:val="004C1743"/>
    <w:rsid w:val="004C3DB3"/>
    <w:rsid w:val="004D76CD"/>
    <w:rsid w:val="004F3868"/>
    <w:rsid w:val="005347B7"/>
    <w:rsid w:val="0054080E"/>
    <w:rsid w:val="0054779C"/>
    <w:rsid w:val="005624A5"/>
    <w:rsid w:val="00565030"/>
    <w:rsid w:val="00575E46"/>
    <w:rsid w:val="005817AD"/>
    <w:rsid w:val="00591D84"/>
    <w:rsid w:val="005A726F"/>
    <w:rsid w:val="005C5A3C"/>
    <w:rsid w:val="005D6F40"/>
    <w:rsid w:val="005E2C5A"/>
    <w:rsid w:val="005E7480"/>
    <w:rsid w:val="005F3391"/>
    <w:rsid w:val="005F6CC7"/>
    <w:rsid w:val="00602B01"/>
    <w:rsid w:val="00615F30"/>
    <w:rsid w:val="00624577"/>
    <w:rsid w:val="00650202"/>
    <w:rsid w:val="00665D1E"/>
    <w:rsid w:val="00671E50"/>
    <w:rsid w:val="00676035"/>
    <w:rsid w:val="00694C2E"/>
    <w:rsid w:val="0069542E"/>
    <w:rsid w:val="006B11F2"/>
    <w:rsid w:val="006B6ACE"/>
    <w:rsid w:val="006C0F77"/>
    <w:rsid w:val="006C59AA"/>
    <w:rsid w:val="006D4ECD"/>
    <w:rsid w:val="006D5B6F"/>
    <w:rsid w:val="006F6F5E"/>
    <w:rsid w:val="00705924"/>
    <w:rsid w:val="00736897"/>
    <w:rsid w:val="00757A8F"/>
    <w:rsid w:val="007B0E1A"/>
    <w:rsid w:val="007F181A"/>
    <w:rsid w:val="008127AD"/>
    <w:rsid w:val="00814AB0"/>
    <w:rsid w:val="008163B2"/>
    <w:rsid w:val="0087057D"/>
    <w:rsid w:val="00874E8A"/>
    <w:rsid w:val="00891B10"/>
    <w:rsid w:val="008E40C2"/>
    <w:rsid w:val="008F6118"/>
    <w:rsid w:val="009417C9"/>
    <w:rsid w:val="00956658"/>
    <w:rsid w:val="009616CD"/>
    <w:rsid w:val="00961B11"/>
    <w:rsid w:val="00963EDC"/>
    <w:rsid w:val="00994838"/>
    <w:rsid w:val="00995263"/>
    <w:rsid w:val="00996259"/>
    <w:rsid w:val="009E7622"/>
    <w:rsid w:val="009F2682"/>
    <w:rsid w:val="00A3550A"/>
    <w:rsid w:val="00A45CEE"/>
    <w:rsid w:val="00A538D9"/>
    <w:rsid w:val="00A638E4"/>
    <w:rsid w:val="00A70577"/>
    <w:rsid w:val="00A73621"/>
    <w:rsid w:val="00A87507"/>
    <w:rsid w:val="00AB7EE8"/>
    <w:rsid w:val="00AC354F"/>
    <w:rsid w:val="00AD0438"/>
    <w:rsid w:val="00AD6A57"/>
    <w:rsid w:val="00AD7086"/>
    <w:rsid w:val="00B2077D"/>
    <w:rsid w:val="00B301DE"/>
    <w:rsid w:val="00B3391A"/>
    <w:rsid w:val="00B350EA"/>
    <w:rsid w:val="00B40EA3"/>
    <w:rsid w:val="00B52BDE"/>
    <w:rsid w:val="00B57DA5"/>
    <w:rsid w:val="00B76C99"/>
    <w:rsid w:val="00B96806"/>
    <w:rsid w:val="00C136C2"/>
    <w:rsid w:val="00C20FF6"/>
    <w:rsid w:val="00C3336F"/>
    <w:rsid w:val="00C3487B"/>
    <w:rsid w:val="00C47776"/>
    <w:rsid w:val="00C613BD"/>
    <w:rsid w:val="00C777A8"/>
    <w:rsid w:val="00C85D0C"/>
    <w:rsid w:val="00C901BE"/>
    <w:rsid w:val="00C97EC6"/>
    <w:rsid w:val="00CC15C9"/>
    <w:rsid w:val="00CC396B"/>
    <w:rsid w:val="00CC63CF"/>
    <w:rsid w:val="00CC76DB"/>
    <w:rsid w:val="00CD2F25"/>
    <w:rsid w:val="00CE44C5"/>
    <w:rsid w:val="00CF4640"/>
    <w:rsid w:val="00CF567C"/>
    <w:rsid w:val="00D00876"/>
    <w:rsid w:val="00D051C3"/>
    <w:rsid w:val="00D05D01"/>
    <w:rsid w:val="00D1411E"/>
    <w:rsid w:val="00D267B9"/>
    <w:rsid w:val="00D3727F"/>
    <w:rsid w:val="00D40BD8"/>
    <w:rsid w:val="00D44AEF"/>
    <w:rsid w:val="00D87259"/>
    <w:rsid w:val="00DA1DB1"/>
    <w:rsid w:val="00DA5922"/>
    <w:rsid w:val="00DB4DAF"/>
    <w:rsid w:val="00DC0AEF"/>
    <w:rsid w:val="00DD32DA"/>
    <w:rsid w:val="00DE7D9A"/>
    <w:rsid w:val="00E269FF"/>
    <w:rsid w:val="00E43225"/>
    <w:rsid w:val="00E51908"/>
    <w:rsid w:val="00E60893"/>
    <w:rsid w:val="00E96766"/>
    <w:rsid w:val="00EB7E58"/>
    <w:rsid w:val="00EC2768"/>
    <w:rsid w:val="00EE2C95"/>
    <w:rsid w:val="00EF2312"/>
    <w:rsid w:val="00EF7C8A"/>
    <w:rsid w:val="00F13677"/>
    <w:rsid w:val="00F150AA"/>
    <w:rsid w:val="00F23380"/>
    <w:rsid w:val="00F266F0"/>
    <w:rsid w:val="00F65531"/>
    <w:rsid w:val="00F70D59"/>
    <w:rsid w:val="00F742D1"/>
    <w:rsid w:val="00FA2826"/>
    <w:rsid w:val="00FB434C"/>
    <w:rsid w:val="00FE544B"/>
    <w:rsid w:val="00FF624E"/>
    <w:rsid w:val="00FF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C0CADD-91EC-42E4-8DB7-0FC44010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80" w:hanging="240"/>
    </w:pPr>
    <w:rPr>
      <w:rFonts w:ascii="ＭＳ ゴシック" w:eastAsia="ＭＳ ゴシック" w:hAnsi="ＭＳ ゴシック"/>
      <w:sz w:val="24"/>
    </w:rPr>
  </w:style>
  <w:style w:type="paragraph" w:styleId="2">
    <w:name w:val="Body Text Indent 2"/>
    <w:basedOn w:val="a"/>
    <w:pPr>
      <w:tabs>
        <w:tab w:val="num" w:pos="630"/>
      </w:tabs>
      <w:ind w:left="240"/>
    </w:pPr>
    <w:rPr>
      <w:rFonts w:ascii="ＭＳ ゴシック" w:eastAsia="ＭＳ ゴシック" w:hAnsi="ＭＳ ゴシック"/>
      <w:sz w:val="22"/>
      <w:szCs w:val="22"/>
    </w:rPr>
  </w:style>
  <w:style w:type="paragraph" w:styleId="3">
    <w:name w:val="Body Text Indent 3"/>
    <w:basedOn w:val="a"/>
    <w:pPr>
      <w:tabs>
        <w:tab w:val="num" w:pos="630"/>
      </w:tabs>
      <w:ind w:left="209" w:hangingChars="95" w:hanging="209"/>
    </w:pPr>
    <w:rPr>
      <w:rFonts w:ascii="ＭＳ ゴシック" w:eastAsia="ＭＳ ゴシック" w:hAnsi="ＭＳ ゴシック"/>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Web">
    <w:name w:val="Normal (Web)"/>
    <w:basedOn w:val="a"/>
    <w:uiPriority w:val="99"/>
    <w:unhideWhenUsed/>
    <w:rsid w:val="00EE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EBFC-C9D7-415F-80B2-6BC6F684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中村</dc:creator>
  <cp:keywords/>
  <cp:lastModifiedBy>山野　令奈</cp:lastModifiedBy>
  <cp:revision>2</cp:revision>
  <cp:lastPrinted>2022-02-17T07:59:00Z</cp:lastPrinted>
  <dcterms:created xsi:type="dcterms:W3CDTF">2023-02-22T09:39:00Z</dcterms:created>
  <dcterms:modified xsi:type="dcterms:W3CDTF">2023-02-22T09:39:00Z</dcterms:modified>
</cp:coreProperties>
</file>