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3E" w:rsidRDefault="00E503CC" w:rsidP="00E503C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54DBE">
        <w:rPr>
          <w:rFonts w:ascii="HG丸ｺﾞｼｯｸM-PRO" w:eastAsia="HG丸ｺﾞｼｯｸM-PRO" w:hAnsi="HG丸ｺﾞｼｯｸM-PRO" w:hint="eastAsia"/>
          <w:sz w:val="26"/>
          <w:szCs w:val="26"/>
        </w:rPr>
        <w:t>ギャンブル等依存症対策基金</w:t>
      </w:r>
      <w:r w:rsidR="00217468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  <w:bookmarkStart w:id="0" w:name="_GoBack"/>
      <w:bookmarkEnd w:id="0"/>
    </w:p>
    <w:p w:rsidR="00B073F6" w:rsidRDefault="00B073F6" w:rsidP="00B073F6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A6CFD" w:rsidRPr="007D4E88" w:rsidRDefault="00AA6CFD" w:rsidP="00AA6CFD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7D4E8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（１）</w:t>
      </w:r>
      <w:r w:rsidRPr="007D4E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ギャンブル等依存症</w:t>
      </w:r>
      <w:r w:rsidRPr="007D4E8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t>対策基金</w:t>
      </w:r>
      <w:r w:rsidRPr="007D4E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の</w:t>
      </w:r>
      <w:r w:rsidR="00CD4EA6" w:rsidRPr="007D4E8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設置</w:t>
      </w:r>
    </w:p>
    <w:p w:rsidR="00AA6CFD" w:rsidRDefault="00AA6CFD" w:rsidP="00AA6CFD">
      <w:pPr>
        <w:spacing w:line="4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＜経過＞</w:t>
      </w:r>
    </w:p>
    <w:p w:rsidR="00AA6CFD" w:rsidRDefault="00AA6CFD" w:rsidP="007D4E88">
      <w:pPr>
        <w:spacing w:line="400" w:lineRule="exact"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令和4年</w:t>
      </w:r>
      <w:r w:rsidR="0021746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10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21746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26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9月議会において</w:t>
      </w:r>
      <w:r w:rsidR="00CD4E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大阪府基金条例の一部を改正する条例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「ギャンブル等依存症対策基金の設置」が可決。</w:t>
      </w:r>
    </w:p>
    <w:p w:rsidR="00AA6CFD" w:rsidRDefault="00AA6CFD" w:rsidP="007D4E88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＜設置目的＞</w:t>
      </w:r>
    </w:p>
    <w:p w:rsidR="00AA6CFD" w:rsidRDefault="00AA6CFD" w:rsidP="00AA6CFD">
      <w:pPr>
        <w:spacing w:line="400" w:lineRule="exact"/>
        <w:ind w:leftChars="100" w:left="690" w:hangingChars="200" w:hanging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D4E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府民と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協働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し、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府民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が安心して健康的に暮らせる社会の実現を目的とする</w:t>
      </w:r>
    </w:p>
    <w:p w:rsidR="00AA6CFD" w:rsidRDefault="00AA6CFD" w:rsidP="007D4E88">
      <w:pPr>
        <w:spacing w:line="400" w:lineRule="exact"/>
        <w:ind w:leftChars="300" w:left="63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ギャンブル等依存症対策の取組みを推進する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ため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。</w:t>
      </w:r>
    </w:p>
    <w:p w:rsidR="00AA6CFD" w:rsidRDefault="00AA6CFD" w:rsidP="007D4E88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</w:t>
      </w:r>
      <w:r w:rsidR="002174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条例施行日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＞</w:t>
      </w:r>
    </w:p>
    <w:p w:rsidR="00AA6CFD" w:rsidRPr="00B073F6" w:rsidRDefault="00AA6CFD" w:rsidP="007D4E88">
      <w:pPr>
        <w:spacing w:line="400" w:lineRule="exact"/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令和4年11月25日</w:t>
      </w:r>
    </w:p>
    <w:p w:rsidR="00B073F6" w:rsidRDefault="00B073F6" w:rsidP="00B073F6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24411E" w:rsidRPr="007D4E88" w:rsidRDefault="008237C6" w:rsidP="008237C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</w:t>
      </w: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基金の</w:t>
      </w:r>
      <w:r w:rsidR="0021746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使途</w:t>
      </w:r>
    </w:p>
    <w:p w:rsidR="00E503CC" w:rsidRPr="00454DBE" w:rsidRDefault="00E503CC" w:rsidP="007D4E88">
      <w:pPr>
        <w:spacing w:line="400" w:lineRule="exact"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DBE">
        <w:rPr>
          <w:rFonts w:ascii="HG丸ｺﾞｼｯｸM-PRO" w:eastAsia="HG丸ｺﾞｼｯｸM-PRO" w:hAnsi="HG丸ｺﾞｼｯｸM-PRO" w:hint="eastAsia"/>
          <w:sz w:val="24"/>
          <w:szCs w:val="24"/>
        </w:rPr>
        <w:t>「ギャンブル等依存症対策基金」の設置目的を踏まえ、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基金は</w:t>
      </w:r>
      <w:r w:rsidR="00B073F6">
        <w:rPr>
          <w:rFonts w:ascii="HG丸ｺﾞｼｯｸM-PRO" w:eastAsia="HG丸ｺﾞｼｯｸM-PRO" w:hAnsi="HG丸ｺﾞｼｯｸM-PRO" w:hint="eastAsia"/>
          <w:sz w:val="24"/>
          <w:szCs w:val="24"/>
        </w:rPr>
        <w:t>医療機関、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73F6">
        <w:rPr>
          <w:rFonts w:ascii="HG丸ｺﾞｼｯｸM-PRO" w:eastAsia="HG丸ｺﾞｼｯｸM-PRO" w:hAnsi="HG丸ｺﾞｼｯｸM-PRO" w:hint="eastAsia"/>
          <w:sz w:val="24"/>
          <w:szCs w:val="24"/>
        </w:rPr>
        <w:t>市町村、民間団体等が行う</w:t>
      </w:r>
      <w:r w:rsidR="008237C6"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ギャンブル等依存症の本人及びその家族等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237C6"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取組み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に活用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することを検討。</w:t>
      </w:r>
    </w:p>
    <w:p w:rsidR="008237C6" w:rsidRDefault="008237C6" w:rsidP="00A63464">
      <w:pPr>
        <w:spacing w:line="400" w:lineRule="exact"/>
        <w:ind w:leftChars="100" w:left="21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6454" w:rsidRPr="00454DBE" w:rsidRDefault="00217468" w:rsidP="00217468">
      <w:pPr>
        <w:spacing w:line="400" w:lineRule="exact"/>
        <w:ind w:leftChars="100" w:left="210" w:firstLineChars="450" w:firstLine="1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3689986</wp:posOffset>
                </wp:positionH>
                <wp:positionV relativeFrom="paragraph">
                  <wp:posOffset>139701</wp:posOffset>
                </wp:positionV>
                <wp:extent cx="76200" cy="188595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859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80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90.55pt;margin-top:11pt;width:6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" adj="73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120651</wp:posOffset>
                </wp:positionV>
                <wp:extent cx="66675" cy="192405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9240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9B7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54.3pt;margin-top:9.5pt;width:5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" adj="62" strokecolor="black [3213]" strokeweight=".5pt">
                <v:stroke joinstyle="miter"/>
              </v:shape>
            </w:pict>
          </mc:Fallback>
        </mc:AlternateConten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86929">
        <w:rPr>
          <w:rFonts w:ascii="HG丸ｺﾞｼｯｸM-PRO" w:eastAsia="HG丸ｺﾞｼｯｸM-PRO" w:hAnsi="HG丸ｺﾞｼｯｸM-PRO" w:hint="eastAsia"/>
          <w:sz w:val="24"/>
          <w:szCs w:val="24"/>
        </w:rPr>
        <w:t>取組み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>例</w:t>
      </w:r>
      <w:r w:rsidR="00066454" w:rsidRPr="00454DB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237C6" w:rsidRPr="008237C6" w:rsidRDefault="008237C6" w:rsidP="008237C6">
      <w:pPr>
        <w:spacing w:line="40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医療機関、市町村、民間団体等が行う</w:t>
      </w:r>
    </w:p>
    <w:p w:rsidR="008237C6" w:rsidRPr="008237C6" w:rsidRDefault="008237C6" w:rsidP="007D4E88">
      <w:pPr>
        <w:spacing w:line="40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・医学的支援</w:t>
      </w:r>
    </w:p>
    <w:p w:rsidR="008237C6" w:rsidRPr="008237C6" w:rsidRDefault="008237C6" w:rsidP="007D4E88">
      <w:pPr>
        <w:spacing w:line="40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・調査研究</w:t>
      </w:r>
    </w:p>
    <w:p w:rsidR="008237C6" w:rsidRPr="008237C6" w:rsidRDefault="008237C6" w:rsidP="007D4E88">
      <w:pPr>
        <w:spacing w:line="40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・生活援助</w:t>
      </w:r>
    </w:p>
    <w:p w:rsidR="008237C6" w:rsidRPr="008237C6" w:rsidRDefault="008237C6" w:rsidP="007D4E88">
      <w:pPr>
        <w:spacing w:line="40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・就労支援</w:t>
      </w:r>
    </w:p>
    <w:p w:rsidR="008237C6" w:rsidRPr="008237C6" w:rsidRDefault="008237C6" w:rsidP="007D4E88">
      <w:pPr>
        <w:spacing w:line="40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・社会参加支援</w:t>
      </w:r>
    </w:p>
    <w:p w:rsidR="00066454" w:rsidRPr="00454DBE" w:rsidRDefault="008237C6" w:rsidP="007D4E88">
      <w:pPr>
        <w:spacing w:line="400" w:lineRule="exact"/>
        <w:ind w:leftChars="100" w:left="21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237C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066454" w:rsidRPr="00454DBE" w:rsidRDefault="00066454" w:rsidP="00066454">
      <w:pPr>
        <w:spacing w:line="40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6454" w:rsidRPr="00886929" w:rsidRDefault="00066454" w:rsidP="007D4E88">
      <w:pPr>
        <w:spacing w:line="400" w:lineRule="exact"/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54DBE">
        <w:rPr>
          <w:rFonts w:ascii="ＭＳ 明朝" w:eastAsia="ＭＳ 明朝" w:hAnsi="ＭＳ 明朝" w:cs="ＭＳ 明朝" w:hint="eastAsia"/>
          <w:sz w:val="24"/>
          <w:szCs w:val="24"/>
        </w:rPr>
        <w:t>➢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基金を活用した具体的な事業</w:t>
      </w:r>
      <w:r w:rsidR="008237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ついては、</w:t>
      </w:r>
      <w:r w:rsidR="00886929"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寄附</w:t>
      </w: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の状況なども踏まえ</w:t>
      </w:r>
    </w:p>
    <w:p w:rsidR="00066454" w:rsidRPr="00454DBE" w:rsidRDefault="00066454" w:rsidP="007D4E88">
      <w:pPr>
        <w:spacing w:line="400" w:lineRule="exact"/>
        <w:ind w:leftChars="100" w:left="210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69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今後検討する。</w:t>
      </w:r>
    </w:p>
    <w:p w:rsidR="00066454" w:rsidRDefault="00066454">
      <w:pPr>
        <w:spacing w:line="40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37C6" w:rsidRPr="007D4E88" w:rsidRDefault="008237C6">
      <w:pPr>
        <w:spacing w:line="40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（３）</w:t>
      </w:r>
      <w:r w:rsidRPr="007D4E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基金の周知について</w:t>
      </w:r>
    </w:p>
    <w:p w:rsidR="008237C6" w:rsidRPr="00454DBE" w:rsidRDefault="008237C6" w:rsidP="007D4E88">
      <w:pPr>
        <w:spacing w:line="40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今後、ホームページやチラシ等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>様々な広報媒体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を活用し、</w:t>
      </w:r>
      <w:r w:rsidR="007D4E88">
        <w:rPr>
          <w:rFonts w:ascii="HG丸ｺﾞｼｯｸM-PRO" w:eastAsia="HG丸ｺﾞｼｯｸM-PRO" w:hAnsi="HG丸ｺﾞｼｯｸM-PRO" w:hint="eastAsia"/>
          <w:sz w:val="24"/>
          <w:szCs w:val="24"/>
        </w:rPr>
        <w:t>府民をはじめ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関係団体や市町村等に</w:t>
      </w:r>
      <w:r w:rsidR="00EA7C3D">
        <w:rPr>
          <w:rFonts w:ascii="HG丸ｺﾞｼｯｸM-PRO" w:eastAsia="HG丸ｺﾞｼｯｸM-PRO" w:hAnsi="HG丸ｺﾞｼｯｸM-PRO" w:hint="eastAsia"/>
          <w:sz w:val="24"/>
          <w:szCs w:val="24"/>
        </w:rPr>
        <w:t>対して広く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周知を行う。</w:t>
      </w:r>
    </w:p>
    <w:sectPr w:rsidR="008237C6" w:rsidRPr="00454DBE" w:rsidSect="00886929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5" w:rsidRDefault="00261445" w:rsidP="00261445">
      <w:r>
        <w:separator/>
      </w:r>
    </w:p>
  </w:endnote>
  <w:endnote w:type="continuationSeparator" w:id="0">
    <w:p w:rsidR="00261445" w:rsidRDefault="00261445" w:rsidP="002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5" w:rsidRDefault="00261445" w:rsidP="00261445">
      <w:r>
        <w:separator/>
      </w:r>
    </w:p>
  </w:footnote>
  <w:footnote w:type="continuationSeparator" w:id="0">
    <w:p w:rsidR="00261445" w:rsidRDefault="00261445" w:rsidP="0026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45" w:rsidRDefault="00261445">
    <w:pPr>
      <w:pStyle w:val="a5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9525</wp:posOffset>
              </wp:positionV>
              <wp:extent cx="1057275" cy="4476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447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261445" w:rsidRDefault="00261445" w:rsidP="00261445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2"/>
                            </w:rPr>
                            <w:t>資料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2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9pt;margin-top:.75pt;width:8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" filled="f" strokecolor="black [3213]" strokeweight="1.5pt">
              <v:textbox inset=",.1mm,,.1mm">
                <w:txbxContent>
                  <w:p w:rsidR="00261445" w:rsidRDefault="00261445" w:rsidP="00261445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3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32"/>
                      </w:rPr>
                      <w:t>資料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32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CC"/>
    <w:rsid w:val="00066454"/>
    <w:rsid w:val="00217468"/>
    <w:rsid w:val="0024411E"/>
    <w:rsid w:val="00261445"/>
    <w:rsid w:val="002C683E"/>
    <w:rsid w:val="00452262"/>
    <w:rsid w:val="00454DBE"/>
    <w:rsid w:val="00661559"/>
    <w:rsid w:val="007D4E88"/>
    <w:rsid w:val="008237C6"/>
    <w:rsid w:val="00886929"/>
    <w:rsid w:val="00A63464"/>
    <w:rsid w:val="00AA6CFD"/>
    <w:rsid w:val="00B073F6"/>
    <w:rsid w:val="00CD4EA6"/>
    <w:rsid w:val="00E503CC"/>
    <w:rsid w:val="00E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2FCAB6"/>
  <w15:chartTrackingRefBased/>
  <w15:docId w15:val="{A284BBAA-5A45-43A4-B75E-8695E9F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445"/>
  </w:style>
  <w:style w:type="paragraph" w:styleId="a7">
    <w:name w:val="footer"/>
    <w:basedOn w:val="a"/>
    <w:link w:val="a8"/>
    <w:uiPriority w:val="99"/>
    <w:unhideWhenUsed/>
    <w:rsid w:val="00261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千佳</dc:creator>
  <cp:keywords/>
  <dc:description/>
  <cp:lastModifiedBy>上野　千佳</cp:lastModifiedBy>
  <cp:revision>10</cp:revision>
  <cp:lastPrinted>2022-11-17T08:29:00Z</cp:lastPrinted>
  <dcterms:created xsi:type="dcterms:W3CDTF">2022-11-16T01:02:00Z</dcterms:created>
  <dcterms:modified xsi:type="dcterms:W3CDTF">2022-11-17T08:39:00Z</dcterms:modified>
</cp:coreProperties>
</file>