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63" w:rsidRDefault="00DC266F" w:rsidP="00AB76BF">
      <w:pPr>
        <w:ind w:firstLineChars="1100" w:firstLine="3388"/>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71040" behindDoc="0" locked="0" layoutInCell="1" allowOverlap="1">
                <wp:simplePos x="0" y="0"/>
                <wp:positionH relativeFrom="column">
                  <wp:posOffset>5014595</wp:posOffset>
                </wp:positionH>
                <wp:positionV relativeFrom="paragraph">
                  <wp:posOffset>-499110</wp:posOffset>
                </wp:positionV>
                <wp:extent cx="1304925" cy="31432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4325"/>
                        </a:xfrm>
                        <a:prstGeom prst="rect">
                          <a:avLst/>
                        </a:prstGeom>
                        <a:solidFill>
                          <a:srgbClr val="FFFFFF"/>
                        </a:solidFill>
                        <a:ln w="9525">
                          <a:solidFill>
                            <a:srgbClr val="000000"/>
                          </a:solidFill>
                          <a:miter lim="800000"/>
                          <a:headEnd/>
                          <a:tailEnd/>
                        </a:ln>
                      </wps:spPr>
                      <wps:txbx>
                        <w:txbxContent>
                          <w:p w:rsidR="00DC266F" w:rsidRPr="00DC266F" w:rsidRDefault="00DC266F" w:rsidP="00DC266F">
                            <w:pPr>
                              <w:pStyle w:val="Web"/>
                              <w:snapToGrid w:val="0"/>
                              <w:spacing w:before="0" w:beforeAutospacing="0" w:after="0" w:afterAutospacing="0"/>
                              <w:jc w:val="center"/>
                              <w:textAlignment w:val="baseline"/>
                              <w:rPr>
                                <w:sz w:val="22"/>
                              </w:rPr>
                            </w:pPr>
                            <w:r w:rsidRPr="00DC266F">
                              <w:rPr>
                                <w:rFonts w:ascii="Meiryo UI" w:eastAsia="Meiryo UI" w:hAnsi="Meiryo UI" w:cs="Meiryo UI" w:hint="eastAsia"/>
                                <w:color w:val="000000"/>
                                <w:kern w:val="24"/>
                                <w:szCs w:val="28"/>
                              </w:rPr>
                              <w:t>資料</w:t>
                            </w:r>
                            <w:r w:rsidR="00F42AD1">
                              <w:rPr>
                                <w:rFonts w:ascii="Meiryo UI" w:eastAsia="Meiryo UI" w:hAnsi="Meiryo UI" w:cs="Meiryo UI" w:hint="eastAsia"/>
                                <w:color w:val="000000"/>
                                <w:kern w:val="24"/>
                                <w:szCs w:val="28"/>
                              </w:rPr>
                              <w:t>２－２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94.85pt;margin-top:-39.3pt;width:102.75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nvQQIAAGEEAAAOAAAAZHJzL2Uyb0RvYy54bWysVM2O0zAQviPxDpbvNGm7u9pGTVdLlyKk&#10;5UdaeADXcRoLx2Nst0k5thLiIXgFxJnnyYswdrrd8iMOCB+smXjmm5lvZjK9amtFNsI6CTqnw0FK&#10;idAcCqlXOX33dvHkkhLnmS6YAi1yuhWOXs0eP5o2JhMjqEAVwhIE0S5rTE4r702WJI5XomZuAEZo&#10;fCzB1syjaldJYVmD6LVKRml6kTRgC2OBC+fw603/SGcRvywF96/L0glPVE4xNx9vG+9luJPZlGUr&#10;y0wl+SEN9g9Z1ExqDHqEumGekbWVv0HVkltwUPoBhzqBspRcxBqwmmH6SzV3FTMi1oLkOHOkyf0/&#10;WP5q88YSWeR0QolmNbao23/qdl+73fdu/5l0+y/dft/tvqFOJoGuxrgMve4M+vn2KbTY9li6M7fA&#10;3zuiYV4xvRLX1kJTCVZgusPgmZy49jgugCybl1BgXLb2EIHa0taBS2SHIDq2bXtslWg94SHkOD2b&#10;jM4p4fg2Hp6NUQ4hWHbvbazzzwXUJAg5tTgKEZ1tbp3vTe9NQjAHShYLqVRU7Go5V5ZsGI7NIp4D&#10;+k9mSpMGiTvH2H+HSOP5E0QtPc6/knVOL49GLAu0PdMFpskyz6TqZaxO6QOPgbqeRN8uWzQM5C6h&#10;2CKjFvo5x71EoQL7kZIGZzyn7sOaWUGJeqGxK+MLDIlLcarYU2V5qjDNESqnnpJenPt+kdbGylWF&#10;kfo50HCNnSxlJPkhq0PeOMexTYedC4tyqkerhz/D7AcAAAD//wMAUEsDBBQABgAIAAAAIQDMN9jh&#10;4gAAAAsBAAAPAAAAZHJzL2Rvd25yZXYueG1sTI9NS8NAEIbvgv9hGcFbu0nQfDWbEoQeilpoFexx&#10;mx2TYHY2ZDdp/PeuJz3OzMM7z1tsF92zGUfbGRIQrgNgSLVRHTUC3t92qxSYdZKU7A2hgG+0sC1v&#10;bwqZK3OlI84n1zAfQjaXAlrnhpxzW7eopV2bAcnfPs2opfPj2HA1yqsP1z2PgiDmWnbkP7RywKcW&#10;66/TpAXIJp5fz0n3sD/uPqqXfXUInycU4v5uqTbAHC7uD4Zffa8OpXe6mImUZb2AJM0SjwpYJWkM&#10;zBNZ9hgBu/hNlIXAy4L/71D+AAAA//8DAFBLAQItABQABgAIAAAAIQC2gziS/gAAAOEBAAATAAAA&#10;AAAAAAAAAAAAAAAAAABbQ29udGVudF9UeXBlc10ueG1sUEsBAi0AFAAGAAgAAAAhADj9If/WAAAA&#10;lAEAAAsAAAAAAAAAAAAAAAAALwEAAF9yZWxzLy5yZWxzUEsBAi0AFAAGAAgAAAAhANtWOe9BAgAA&#10;YQQAAA4AAAAAAAAAAAAAAAAALgIAAGRycy9lMm9Eb2MueG1sUEsBAi0AFAAGAAgAAAAhAMw32OHi&#10;AAAACwEAAA8AAAAAAAAAAAAAAAAAmwQAAGRycy9kb3ducmV2LnhtbFBLBQYAAAAABAAEAPMAAACq&#10;BQAAAAA=&#10;">
                <v:textbox inset="1mm,1mm,1mm,1mm">
                  <w:txbxContent>
                    <w:p w:rsidR="00DC266F" w:rsidRPr="00DC266F" w:rsidRDefault="00DC266F" w:rsidP="00DC266F">
                      <w:pPr>
                        <w:pStyle w:val="Web"/>
                        <w:snapToGrid w:val="0"/>
                        <w:spacing w:before="0" w:beforeAutospacing="0" w:after="0" w:afterAutospacing="0"/>
                        <w:jc w:val="center"/>
                        <w:textAlignment w:val="baseline"/>
                        <w:rPr>
                          <w:sz w:val="22"/>
                        </w:rPr>
                      </w:pPr>
                      <w:r w:rsidRPr="00DC266F">
                        <w:rPr>
                          <w:rFonts w:ascii="Meiryo UI" w:eastAsia="Meiryo UI" w:hAnsi="Meiryo UI" w:cs="Meiryo UI" w:hint="eastAsia"/>
                          <w:color w:val="000000"/>
                          <w:kern w:val="24"/>
                          <w:szCs w:val="28"/>
                        </w:rPr>
                        <w:t>資料</w:t>
                      </w:r>
                      <w:r w:rsidR="00F42AD1">
                        <w:rPr>
                          <w:rFonts w:ascii="Meiryo UI" w:eastAsia="Meiryo UI" w:hAnsi="Meiryo UI" w:cs="Meiryo UI" w:hint="eastAsia"/>
                          <w:color w:val="000000"/>
                          <w:kern w:val="24"/>
                          <w:szCs w:val="28"/>
                        </w:rPr>
                        <w:t>２－２</w:t>
                      </w:r>
                    </w:p>
                  </w:txbxContent>
                </v:textbox>
              </v:shape>
            </w:pict>
          </mc:Fallback>
        </mc:AlternateContent>
      </w:r>
      <w:r>
        <w:rPr>
          <w:rFonts w:ascii="ＭＳ ゴシック" w:eastAsia="ＭＳ ゴシック" w:hAnsi="ＭＳ ゴシック"/>
          <w:b/>
          <w:noProof/>
          <w:sz w:val="32"/>
          <w:szCs w:val="32"/>
        </w:rPr>
        <mc:AlternateContent>
          <mc:Choice Requires="wps">
            <w:drawing>
              <wp:anchor distT="0" distB="0" distL="114300" distR="114300" simplePos="0" relativeHeight="251670016" behindDoc="0" locked="0" layoutInCell="1" allowOverlap="1">
                <wp:simplePos x="0" y="0"/>
                <wp:positionH relativeFrom="column">
                  <wp:posOffset>4848225</wp:posOffset>
                </wp:positionH>
                <wp:positionV relativeFrom="paragraph">
                  <wp:posOffset>-1003935</wp:posOffset>
                </wp:positionV>
                <wp:extent cx="2038350" cy="11106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66F" w:rsidRPr="00DC266F" w:rsidRDefault="00DC266F" w:rsidP="00DC266F">
                            <w:pPr>
                              <w:pStyle w:val="Web"/>
                              <w:snapToGrid w:val="0"/>
                              <w:spacing w:before="0" w:beforeAutospacing="0" w:after="0" w:afterAutospacing="0"/>
                              <w:textAlignment w:val="baseline"/>
                              <w:rPr>
                                <w:sz w:val="21"/>
                              </w:rPr>
                            </w:pPr>
                            <w:r w:rsidRPr="00DC266F">
                              <w:rPr>
                                <w:rFonts w:ascii="Meiryo UI" w:eastAsia="Meiryo UI" w:hAnsi="Meiryo UI" w:cs="Meiryo UI" w:hint="eastAsia"/>
                                <w:color w:val="000000"/>
                                <w:kern w:val="24"/>
                                <w:sz w:val="20"/>
                                <w:szCs w:val="22"/>
                              </w:rPr>
                              <w:t>Ｈ30.11.16</w:t>
                            </w:r>
                          </w:p>
                          <w:p w:rsidR="00DC266F" w:rsidRPr="00DC266F" w:rsidRDefault="00DC266F" w:rsidP="00DC266F">
                            <w:pPr>
                              <w:pStyle w:val="Web"/>
                              <w:snapToGrid w:val="0"/>
                              <w:spacing w:before="0" w:beforeAutospacing="0" w:after="0" w:afterAutospacing="0"/>
                              <w:textAlignment w:val="baseline"/>
                              <w:rPr>
                                <w:sz w:val="21"/>
                              </w:rPr>
                            </w:pPr>
                            <w:r w:rsidRPr="00DC266F">
                              <w:rPr>
                                <w:rFonts w:ascii="Meiryo UI" w:eastAsia="Meiryo UI" w:hAnsi="Meiryo UI" w:cs="Meiryo UI" w:hint="eastAsia"/>
                                <w:color w:val="000000"/>
                                <w:kern w:val="24"/>
                                <w:sz w:val="20"/>
                                <w:szCs w:val="22"/>
                              </w:rPr>
                              <w:t>第15回副首都推進本部会議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381.75pt;margin-top:-79.05pt;width:160.5pt;height:87.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tK1gIAANIFAAAOAAAAZHJzL2Uyb0RvYy54bWysVEtu2zAQ3RfoHQjuFUm2rFhC5CCxrKJA&#10;+gHSHoCWKIuoRKokbTkNuomBoofoFYquex5fpEPKdpwEBYq2WggckvNm3szjnJ2vmxqtqFRM8AT7&#10;Jx5GlOeiYHyR4PfvMmeMkdKEF6QWnCb4hip8Pnn+7KxrYzoQlagLKhGAcBV3bYIrrdvYdVVe0Yao&#10;E9FSDoelkA3RYMqFW0jSAXpTuwPPC91OyKKVIqdKwW7aH+KJxS9Lmus3ZamoRnWCITdt/9L+5+bv&#10;Ts5IvJCkrVi+S4P8RRYNYRyCHqBSoglaSvYEqmG5FEqU+iQXjSvKkuXUcgA2vveIzXVFWmq5QHFU&#10;eyiT+n+w+evVW4lYkeAQI04aaNF282V7931793O7+Yq2m2/bzWZ79wNsFJpyda2Kweu6BT+9vhRr&#10;aLulrtorkX9QiItpRfiCXkgpuoqSAtL1jad75NrjKAMy716JAuKSpRYWaF3KxtQSqoMAHdp2c2gV&#10;XWuUw+bAG46HIzjK4cz3fS/0RzYGiffurVT6BRUNMosES9CChSerK6VNOiTeXzHRuMhYXVs91PzB&#10;BlzsdyA4uJozk4Zt723kRbPxbBw4wSCcOYGXps5FNg2cMPNPR+kwnU5T/7OJ6wdxxYqCchNmLzU/&#10;+LNW7kTfi+QgNiVqVhg4k5KSi/m0lmhFQOqZ/XYFObrmPkzDFgG4PKLkDwLvchA5WTg+dYIsGDnR&#10;qTd2PD+6jEIviII0e0jpinH675RQl+BoNBj1avotN89+T7mRuGEahknNmgSPD5dIbDQ444VtrSas&#10;7tdHpTDp35cC2r1vtFWsEWkvV72er+1bCUx0o+a5KG5AwlKAwECMMAhhUQn5CaMOhkqC1cclkRSj&#10;+iWHZzAMIS2YQseGPDbmxwbhOUAlWGPUL6e6n1zLVrJFBZH6h8fFBTydkllR32e1e3AwOCy33ZAz&#10;k+nYtrfuR/HkFwAAAP//AwBQSwMEFAAGAAgAAAAhADFMYojiAAAADAEAAA8AAABkcnMvZG93bnJl&#10;di54bWxMj8tOwzAQRfdI/IM1SOxaJ32kUYhTISpgwYq2QiydeJqkxOModtv075muYDePoztn8vVo&#10;O3HGwbeOFMTTCARS5UxLtYL97nWSgvBBk9GdI1RwRQ/r4v4u15lxF/rE8zbUgkPIZ1pBE0KfSemr&#10;Bq32U9cj8e7gBqsDt0MtzaAvHG47OYuiRFrdEl9odI8vDVY/25NVcCyv77O933wcw2J+2IWv1ffm&#10;rVTq8WF8fgIRcAx/MNz0WR0KdirdiYwXnYJVMl8yqmASL9MYxA2J0gXPSq6SFGSRy/9PFL8AAAD/&#10;/wMAUEsBAi0AFAAGAAgAAAAhALaDOJL+AAAA4QEAABMAAAAAAAAAAAAAAAAAAAAAAFtDb250ZW50&#10;X1R5cGVzXS54bWxQSwECLQAUAAYACAAAACEAOP0h/9YAAACUAQAACwAAAAAAAAAAAAAAAAAvAQAA&#10;X3JlbHMvLnJlbHNQSwECLQAUAAYACAAAACEAMg2bStYCAADSBQAADgAAAAAAAAAAAAAAAAAuAgAA&#10;ZHJzL2Uyb0RvYy54bWxQSwECLQAUAAYACAAAACEAMUxiiOIAAAAMAQAADwAAAAAAAAAAAAAAAAAw&#10;BQAAZHJzL2Rvd25yZXYueG1sUEsFBgAAAAAEAAQA8wAAAD8GAAAAAA==&#10;" filled="f" stroked="f">
                <v:textbox inset="1mm,1mm,1mm,1mm">
                  <w:txbxContent>
                    <w:p w:rsidR="00DC266F" w:rsidRPr="00DC266F" w:rsidRDefault="00DC266F" w:rsidP="00DC266F">
                      <w:pPr>
                        <w:pStyle w:val="Web"/>
                        <w:snapToGrid w:val="0"/>
                        <w:spacing w:before="0" w:beforeAutospacing="0" w:after="0" w:afterAutospacing="0"/>
                        <w:textAlignment w:val="baseline"/>
                        <w:rPr>
                          <w:sz w:val="21"/>
                        </w:rPr>
                      </w:pPr>
                      <w:r w:rsidRPr="00DC266F">
                        <w:rPr>
                          <w:rFonts w:ascii="Meiryo UI" w:eastAsia="Meiryo UI" w:hAnsi="Meiryo UI" w:cs="Meiryo UI" w:hint="eastAsia"/>
                          <w:color w:val="000000"/>
                          <w:kern w:val="24"/>
                          <w:sz w:val="20"/>
                          <w:szCs w:val="22"/>
                          <w:eastAsianLayout w:id="1800113408"/>
                        </w:rPr>
                        <w:t>Ｈ</w:t>
                      </w:r>
                      <w:r w:rsidRPr="00DC266F">
                        <w:rPr>
                          <w:rFonts w:ascii="Meiryo UI" w:eastAsia="Meiryo UI" w:hAnsi="Meiryo UI" w:cs="Meiryo UI" w:hint="eastAsia"/>
                          <w:color w:val="000000"/>
                          <w:kern w:val="24"/>
                          <w:sz w:val="20"/>
                          <w:szCs w:val="22"/>
                          <w:eastAsianLayout w:id="1800113409"/>
                        </w:rPr>
                        <w:t>30.11</w:t>
                      </w:r>
                      <w:r w:rsidRPr="00DC266F">
                        <w:rPr>
                          <w:rFonts w:ascii="Meiryo UI" w:eastAsia="Meiryo UI" w:hAnsi="Meiryo UI" w:cs="Meiryo UI" w:hint="eastAsia"/>
                          <w:color w:val="000000"/>
                          <w:kern w:val="24"/>
                          <w:sz w:val="20"/>
                          <w:szCs w:val="22"/>
                          <w:eastAsianLayout w:id="1800113409"/>
                        </w:rPr>
                        <w:t>.</w:t>
                      </w:r>
                      <w:r w:rsidRPr="00DC266F">
                        <w:rPr>
                          <w:rFonts w:ascii="Meiryo UI" w:eastAsia="Meiryo UI" w:hAnsi="Meiryo UI" w:cs="Meiryo UI" w:hint="eastAsia"/>
                          <w:color w:val="000000"/>
                          <w:kern w:val="24"/>
                          <w:sz w:val="20"/>
                          <w:szCs w:val="22"/>
                        </w:rPr>
                        <w:t>16</w:t>
                      </w:r>
                    </w:p>
                    <w:p w:rsidR="00DC266F" w:rsidRPr="00DC266F" w:rsidRDefault="00DC266F" w:rsidP="00DC266F">
                      <w:pPr>
                        <w:pStyle w:val="Web"/>
                        <w:snapToGrid w:val="0"/>
                        <w:spacing w:before="0" w:beforeAutospacing="0" w:after="0" w:afterAutospacing="0"/>
                        <w:textAlignment w:val="baseline"/>
                        <w:rPr>
                          <w:sz w:val="21"/>
                        </w:rPr>
                      </w:pPr>
                      <w:r w:rsidRPr="00DC266F">
                        <w:rPr>
                          <w:rFonts w:ascii="Meiryo UI" w:eastAsia="Meiryo UI" w:hAnsi="Meiryo UI" w:cs="Meiryo UI" w:hint="eastAsia"/>
                          <w:color w:val="000000"/>
                          <w:kern w:val="24"/>
                          <w:sz w:val="20"/>
                          <w:szCs w:val="22"/>
                          <w:eastAsianLayout w:id="1800113411"/>
                        </w:rPr>
                        <w:t>第</w:t>
                      </w:r>
                      <w:r w:rsidRPr="00DC266F">
                        <w:rPr>
                          <w:rFonts w:ascii="Meiryo UI" w:eastAsia="Meiryo UI" w:hAnsi="Meiryo UI" w:cs="Meiryo UI" w:hint="eastAsia"/>
                          <w:color w:val="000000"/>
                          <w:kern w:val="24"/>
                          <w:sz w:val="20"/>
                          <w:szCs w:val="22"/>
                          <w:eastAsianLayout w:id="1800113412"/>
                        </w:rPr>
                        <w:t>15</w:t>
                      </w:r>
                      <w:r w:rsidRPr="00DC266F">
                        <w:rPr>
                          <w:rFonts w:ascii="Meiryo UI" w:eastAsia="Meiryo UI" w:hAnsi="Meiryo UI" w:cs="Meiryo UI" w:hint="eastAsia"/>
                          <w:color w:val="000000"/>
                          <w:kern w:val="24"/>
                          <w:sz w:val="20"/>
                          <w:szCs w:val="22"/>
                          <w:eastAsianLayout w:id="1800113413"/>
                        </w:rPr>
                        <w:t>回</w:t>
                      </w:r>
                      <w:r w:rsidRPr="00DC266F">
                        <w:rPr>
                          <w:rFonts w:ascii="Meiryo UI" w:eastAsia="Meiryo UI" w:hAnsi="Meiryo UI" w:cs="Meiryo UI" w:hint="eastAsia"/>
                          <w:color w:val="000000"/>
                          <w:kern w:val="24"/>
                          <w:sz w:val="20"/>
                          <w:szCs w:val="22"/>
                          <w:eastAsianLayout w:id="1800113414"/>
                        </w:rPr>
                        <w:t>副首都推進本部会議</w:t>
                      </w:r>
                    </w:p>
                  </w:txbxContent>
                </v:textbox>
              </v:shape>
            </w:pict>
          </mc:Fallback>
        </mc:AlternateContent>
      </w:r>
      <w:r w:rsidR="001D4F0F">
        <w:rPr>
          <w:rFonts w:ascii="ＭＳ ゴシック" w:eastAsia="ＭＳ ゴシック" w:hAnsi="ＭＳ ゴシック" w:hint="eastAsia"/>
          <w:b/>
          <w:noProof/>
          <w:sz w:val="32"/>
          <w:szCs w:val="32"/>
        </w:rPr>
        <mc:AlternateContent>
          <mc:Choice Requires="wps">
            <w:drawing>
              <wp:anchor distT="0" distB="0" distL="114300" distR="114300" simplePos="0" relativeHeight="251658239" behindDoc="0" locked="0" layoutInCell="1" allowOverlap="1" wp14:anchorId="1B303DF8" wp14:editId="24C617CE">
                <wp:simplePos x="0" y="0"/>
                <wp:positionH relativeFrom="column">
                  <wp:posOffset>-23495</wp:posOffset>
                </wp:positionH>
                <wp:positionV relativeFrom="paragraph">
                  <wp:posOffset>-71120</wp:posOffset>
                </wp:positionV>
                <wp:extent cx="5981700" cy="752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81700" cy="7524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rsidR="007C18D5" w:rsidRDefault="001D4F0F" w:rsidP="001D4F0F">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大都市制度（総合区設置及び特別区設置）の経済効果に</w:t>
                            </w:r>
                          </w:p>
                          <w:p w:rsidR="001D4F0F" w:rsidRPr="001D4F0F" w:rsidRDefault="001D4F0F" w:rsidP="007C18D5">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関する調査結果(概要)</w:t>
                            </w:r>
                          </w:p>
                          <w:p w:rsidR="001D4F0F" w:rsidRDefault="001D4F0F" w:rsidP="001D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3DF8" id="正方形/長方形 3" o:spid="_x0000_s1028" style="position:absolute;left:0;text-align:left;margin-left:-1.85pt;margin-top:-5.6pt;width:471pt;height:5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pXlwIAAGkFAAAOAAAAZHJzL2Uyb0RvYy54bWysVM1uEzEQviPxDpbvdHfThLRRN1WUqgip&#10;aita1LPjtZOVvB5jO9kN7wEPAGfOiAOPQyXegrF3symlFxCX3RnPzDf/c3LaVIpshHUl6JxmBykl&#10;QnMoSr3M6dvb8xdHlDjPdMEUaJHTrXD0dPr82UltJmIAK1CFsARBtJvUJqcr780kSRxfiYq5AzBC&#10;o1CCrZhH1i6TwrIa0SuVDNL0ZVKDLYwFLpzD17NWSKcRX0rB/ZWUTniicoqx+fi18bsI32R6wiZL&#10;y8yq5F0Y7B+iqFip0WkPdcY8I2tb/gFVldyCA+kPOFQJSFlyEXPAbLL0UTY3K2ZEzAWL40xfJvf/&#10;YPnl5tqSssjpISWaVdii+y+f7z9++/H9U/Lzw9eWIoehULVxE9S/Mde24xySIetG2ir8MR/SxOJu&#10;++KKxhOOj6Pjo2ycYg84ysajwXA8CqDJ3tpY518JqEggcmqxebGmbHPhfKu6UwnOHKiyOC+Vioxd&#10;LubKkg0LjU7H6Tz2FtF/U1M64IRE2tAj5bdKBAyl3wiJtcBgD6PjOIWih1U+6yKOmsFEovveKHvK&#10;iHEutN+l2ukHUxGn82+Me4voGbTvjatSg33K+z5k2ervsm9zDun7ZtHEAYjJhZcFFFscCgvttjjD&#10;z0vsyAVz/ppZXA9sIq68v8KPVFDnFDqKkhXY90+9B32cWpRSUuO65dS9WzMrKFGvNc7zcTYchv2M&#10;zHA0HiBjH0oWDyV6Xc0BG53hcTE8kkHfqx0pLVR3eBlmwSuKmOboO6fc2x0z9+0ZwNvCxWwW1XAn&#10;DfMX+sbwAB7qHCbutrlj1nRj6XGgL2G3mmzyaDpb3WCpYbb2IMs4uvu6dh3AfY7D392ecDAe8lFr&#10;fyGnvwAAAP//AwBQSwMEFAAGAAgAAAAhAKTVoxTgAAAACgEAAA8AAABkcnMvZG93bnJldi54bWxM&#10;j8tOwzAQRfdI/IM1SOxaJ7XoI8SpEGo30E0KUrdObJyo8TiK3Sb9e4YVXY1Gc3Tn3Hw7uY5dzRBa&#10;jxLSeQLMYO11i1bC99d+tgYWokKtOo9Gws0E2BaPD7nKtB+xNNdjtIxCMGRKQhNjn3Ee6sY4Fea+&#10;N0i3Hz84FWkdLNeDGincdXyRJEvuVIv0oVG9eW9MfT5enIQz2tv+NNnqMC4P9efHy64sxU7K56fp&#10;7RVYNFP8h+FPn9ShIKfKX1AH1kmYiRWRNNN0AYyAjVgLYBWRyUoAL3J+X6H4BQAA//8DAFBLAQIt&#10;ABQABgAIAAAAIQC2gziS/gAAAOEBAAATAAAAAAAAAAAAAAAAAAAAAABbQ29udGVudF9UeXBlc10u&#10;eG1sUEsBAi0AFAAGAAgAAAAhADj9If/WAAAAlAEAAAsAAAAAAAAAAAAAAAAALwEAAF9yZWxzLy5y&#10;ZWxzUEsBAi0AFAAGAAgAAAAhANtMOleXAgAAaQUAAA4AAAAAAAAAAAAAAAAALgIAAGRycy9lMm9E&#10;b2MueG1sUEsBAi0AFAAGAAgAAAAhAKTVoxTgAAAACgEAAA8AAAAAAAAAAAAAAAAA8QQAAGRycy9k&#10;b3ducmV2LnhtbFBLBQYAAAAABAAEAPMAAAD+BQAAAAA=&#10;" fillcolor="#0070c0" strokecolor="white [3201]" strokeweight="1.5pt">
                <v:textbox>
                  <w:txbxContent>
                    <w:p w:rsidR="007C18D5" w:rsidRDefault="001D4F0F" w:rsidP="001D4F0F">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大都市制度（総合区設置及び特別区設置）の経済効果に</w:t>
                      </w:r>
                    </w:p>
                    <w:p w:rsidR="001D4F0F" w:rsidRPr="001D4F0F" w:rsidRDefault="001D4F0F" w:rsidP="007C18D5">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関する調査結果(概要)</w:t>
                      </w:r>
                    </w:p>
                    <w:p w:rsidR="001D4F0F" w:rsidRDefault="001D4F0F" w:rsidP="001D4F0F">
                      <w:pPr>
                        <w:jc w:val="center"/>
                      </w:pPr>
                    </w:p>
                  </w:txbxContent>
                </v:textbox>
              </v:rect>
            </w:pict>
          </mc:Fallback>
        </mc:AlternateContent>
      </w:r>
    </w:p>
    <w:p w:rsidR="001D4F0F" w:rsidRDefault="001D4F0F" w:rsidP="00AB76BF">
      <w:pPr>
        <w:ind w:firstLineChars="1100" w:firstLine="3388"/>
        <w:rPr>
          <w:rFonts w:ascii="ＭＳ ゴシック" w:eastAsia="ＭＳ ゴシック" w:hAnsi="ＭＳ ゴシック"/>
          <w:b/>
          <w:sz w:val="32"/>
          <w:szCs w:val="32"/>
        </w:rPr>
      </w:pPr>
    </w:p>
    <w:p w:rsidR="001D4F0F" w:rsidRPr="00AB76BF" w:rsidRDefault="001D4F0F" w:rsidP="00AB76BF">
      <w:pPr>
        <w:ind w:firstLineChars="1100" w:firstLine="3388"/>
        <w:rPr>
          <w:rFonts w:ascii="ＭＳ ゴシック" w:eastAsia="ＭＳ ゴシック" w:hAnsi="ＭＳ ゴシック"/>
          <w:b/>
          <w:sz w:val="32"/>
          <w:szCs w:val="32"/>
        </w:rPr>
      </w:pPr>
    </w:p>
    <w:p w:rsidR="00AB76BF" w:rsidRPr="008A1D63" w:rsidRDefault="00117296" w:rsidP="00117296">
      <w:pPr>
        <w:pStyle w:val="a3"/>
        <w:ind w:leftChars="0" w:left="0"/>
        <w:rPr>
          <w:rFonts w:ascii="ＭＳ ゴシック" w:eastAsia="ＭＳ ゴシック" w:hAnsi="ＭＳ ゴシック"/>
          <w:b/>
          <w:sz w:val="28"/>
          <w:szCs w:val="24"/>
        </w:rPr>
      </w:pPr>
      <w:r>
        <w:rPr>
          <w:rFonts w:ascii="ＭＳ ゴシック" w:eastAsia="ＭＳ ゴシック" w:hAnsi="ＭＳ ゴシック" w:hint="eastAsia"/>
          <w:b/>
          <w:sz w:val="28"/>
          <w:szCs w:val="24"/>
        </w:rPr>
        <w:t>１．</w:t>
      </w:r>
      <w:r w:rsidR="00AB76BF" w:rsidRPr="008A1D63">
        <w:rPr>
          <w:rFonts w:ascii="ＭＳ ゴシック" w:eastAsia="ＭＳ ゴシック" w:hAnsi="ＭＳ ゴシック" w:hint="eastAsia"/>
          <w:b/>
          <w:sz w:val="28"/>
          <w:szCs w:val="24"/>
        </w:rPr>
        <w:t>検討の手法</w:t>
      </w:r>
      <w:bookmarkStart w:id="0" w:name="_GoBack"/>
      <w:bookmarkEnd w:id="0"/>
    </w:p>
    <w:p w:rsidR="00AB76BF" w:rsidRDefault="00AB76BF" w:rsidP="00AB76BF">
      <w:pPr>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5AA5A6AF" wp14:editId="1FF87F16">
                <wp:simplePos x="0" y="0"/>
                <wp:positionH relativeFrom="column">
                  <wp:posOffset>-24130</wp:posOffset>
                </wp:positionH>
                <wp:positionV relativeFrom="paragraph">
                  <wp:posOffset>32385</wp:posOffset>
                </wp:positionV>
                <wp:extent cx="6010275" cy="6496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10275" cy="649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6BF" w:rsidRDefault="00AB76BF" w:rsidP="00AB76BF">
                            <w:pPr>
                              <w:spacing w:line="400" w:lineRule="exact"/>
                              <w:ind w:firstLineChars="100" w:firstLine="228"/>
                              <w:rPr>
                                <w:rFonts w:ascii="ＭＳ Ｐゴシック" w:eastAsia="ＭＳ Ｐゴシック" w:hAnsi="ＭＳ Ｐゴシック"/>
                                <w:b/>
                              </w:rPr>
                            </w:pPr>
                            <w:r w:rsidRPr="00EE4ECA">
                              <w:rPr>
                                <w:rFonts w:ascii="ＭＳ Ｐゴシック" w:eastAsia="ＭＳ Ｐゴシック" w:hAnsi="ＭＳ Ｐゴシック" w:hint="eastAsia"/>
                                <w:b/>
                              </w:rPr>
                              <w:t>本調査では、総合区設置</w:t>
                            </w:r>
                            <w:r w:rsidR="00AD0C3D">
                              <w:rPr>
                                <w:rFonts w:ascii="ＭＳ Ｐゴシック" w:eastAsia="ＭＳ Ｐゴシック" w:hAnsi="ＭＳ Ｐゴシック" w:hint="eastAsia"/>
                                <w:b/>
                              </w:rPr>
                              <w:t>及び</w:t>
                            </w:r>
                            <w:r w:rsidRPr="00EE4ECA">
                              <w:rPr>
                                <w:rFonts w:ascii="ＭＳ Ｐゴシック" w:eastAsia="ＭＳ Ｐゴシック" w:hAnsi="ＭＳ Ｐゴシック" w:hint="eastAsia"/>
                                <w:b/>
                              </w:rPr>
                              <w:t>特別区設置が与える経済効果について、政策効果分析とマクロ計量経済モデルという</w:t>
                            </w:r>
                            <w:r w:rsidR="004923A4">
                              <w:rPr>
                                <w:rFonts w:ascii="ＭＳ Ｐゴシック" w:eastAsia="ＭＳ Ｐゴシック" w:hAnsi="ＭＳ Ｐゴシック" w:hint="eastAsia"/>
                                <w:b/>
                              </w:rPr>
                              <w:t>2</w:t>
                            </w:r>
                            <w:r w:rsidRPr="00EE4ECA">
                              <w:rPr>
                                <w:rFonts w:ascii="ＭＳ Ｐゴシック" w:eastAsia="ＭＳ Ｐゴシック" w:hAnsi="ＭＳ Ｐゴシック" w:hint="eastAsia"/>
                                <w:b/>
                              </w:rPr>
                              <w:t>つのアプローチで試算を行い、大都市制度改革に</w:t>
                            </w:r>
                            <w:r w:rsidR="00C134A2">
                              <w:rPr>
                                <w:rFonts w:ascii="ＭＳ Ｐゴシック" w:eastAsia="ＭＳ Ｐゴシック" w:hAnsi="ＭＳ Ｐゴシック" w:hint="eastAsia"/>
                                <w:b/>
                              </w:rPr>
                              <w:t>よる</w:t>
                            </w:r>
                            <w:r w:rsidRPr="00EE4ECA">
                              <w:rPr>
                                <w:rFonts w:ascii="ＭＳ Ｐゴシック" w:eastAsia="ＭＳ Ｐゴシック" w:hAnsi="ＭＳ Ｐゴシック" w:hint="eastAsia"/>
                                <w:b/>
                              </w:rPr>
                              <w:t>定量的な効果を明らかにした。</w:t>
                            </w:r>
                          </w:p>
                          <w:p w:rsidR="008A1D63" w:rsidRPr="00EE4ECA" w:rsidRDefault="008A1D63" w:rsidP="00AB76BF">
                            <w:pPr>
                              <w:spacing w:line="400" w:lineRule="exact"/>
                              <w:ind w:firstLineChars="100" w:firstLine="228"/>
                              <w:rPr>
                                <w:rFonts w:ascii="ＭＳ Ｐゴシック" w:eastAsia="ＭＳ Ｐゴシック" w:hAnsi="ＭＳ Ｐゴシック"/>
                                <w:b/>
                              </w:rPr>
                            </w:pPr>
                          </w:p>
                          <w:p w:rsidR="00AB76BF" w:rsidRPr="00EE4ECA" w:rsidRDefault="00AB76BF" w:rsidP="00AB76BF">
                            <w:pPr>
                              <w:pStyle w:val="a3"/>
                              <w:numPr>
                                <w:ilvl w:val="0"/>
                                <w:numId w:val="5"/>
                              </w:numPr>
                              <w:spacing w:line="400" w:lineRule="exact"/>
                              <w:ind w:leftChars="0"/>
                              <w:rPr>
                                <w:rFonts w:ascii="ＭＳ 明朝" w:eastAsia="ＭＳ 明朝" w:hAnsi="ＭＳ 明朝"/>
                                <w:b/>
                              </w:rPr>
                            </w:pPr>
                            <w:r w:rsidRPr="00EE4ECA">
                              <w:rPr>
                                <w:rFonts w:ascii="ＭＳ Ｐゴシック" w:eastAsia="ＭＳ Ｐゴシック" w:hAnsi="ＭＳ Ｐゴシック" w:hint="eastAsia"/>
                                <w:b/>
                              </w:rPr>
                              <w:t>政策効果分析による経済効果</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w:t>
                            </w:r>
                            <w:r w:rsidR="00E02C22">
                              <w:rPr>
                                <w:rFonts w:ascii="ＭＳ 明朝" w:eastAsia="ＭＳ 明朝" w:hAnsi="ＭＳ 明朝" w:hint="eastAsia"/>
                              </w:rPr>
                              <w:t>及び</w:t>
                            </w:r>
                            <w:r w:rsidRPr="008A1D63">
                              <w:rPr>
                                <w:rFonts w:ascii="ＭＳ 明朝" w:eastAsia="ＭＳ 明朝" w:hAnsi="ＭＳ 明朝" w:hint="eastAsia"/>
                              </w:rPr>
                              <w:t>総合区につい</w:t>
                            </w:r>
                            <w:r w:rsidR="00465601">
                              <w:rPr>
                                <w:rFonts w:ascii="ＭＳ 明朝" w:eastAsia="ＭＳ 明朝" w:hAnsi="ＭＳ 明朝" w:hint="eastAsia"/>
                              </w:rPr>
                              <w:t>て、基礎自治行政の財政効率化効果を、現行の市町村データや行政区</w:t>
                            </w:r>
                            <w:r w:rsidRPr="008A1D63">
                              <w:rPr>
                                <w:rFonts w:ascii="ＭＳ 明朝" w:eastAsia="ＭＳ 明朝" w:hAnsi="ＭＳ 明朝" w:hint="eastAsia"/>
                              </w:rPr>
                              <w:t>データを基に、人口と一人</w:t>
                            </w:r>
                            <w:r w:rsidR="00AD0C3D">
                              <w:rPr>
                                <w:rFonts w:ascii="ＭＳ 明朝" w:eastAsia="ＭＳ 明朝" w:hAnsi="ＭＳ 明朝" w:hint="eastAsia"/>
                              </w:rPr>
                              <w:t>当たり</w:t>
                            </w:r>
                            <w:r w:rsidRPr="008A1D63">
                              <w:rPr>
                                <w:rFonts w:ascii="ＭＳ 明朝" w:eastAsia="ＭＳ 明朝" w:hAnsi="ＭＳ 明朝" w:hint="eastAsia"/>
                              </w:rPr>
                              <w:t>歳出をベースとする歳出関数を推定し、その値を用いて特別区設置、総合区設置後のそれぞれの理論値を導出したうえ、現在の歳出との差額である歳出削減効果を明らかにした。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特別区設置による府市の広域機能一元化</w:t>
                            </w:r>
                            <w:r w:rsidR="00457337">
                              <w:rPr>
                                <w:rFonts w:ascii="ＭＳ 明朝" w:eastAsia="ＭＳ 明朝" w:hAnsi="ＭＳ 明朝" w:hint="eastAsia"/>
                              </w:rPr>
                              <w:t>が</w:t>
                            </w:r>
                            <w:r w:rsidRPr="008A1D63">
                              <w:rPr>
                                <w:rFonts w:ascii="ＭＳ 明朝" w:eastAsia="ＭＳ 明朝" w:hAnsi="ＭＳ 明朝" w:hint="eastAsia"/>
                              </w:rPr>
                              <w:t>意思決定</w:t>
                            </w:r>
                            <w:r w:rsidR="00457337">
                              <w:rPr>
                                <w:rFonts w:ascii="ＭＳ 明朝" w:eastAsia="ＭＳ 明朝" w:hAnsi="ＭＳ 明朝" w:hint="eastAsia"/>
                              </w:rPr>
                              <w:t>を</w:t>
                            </w:r>
                            <w:r w:rsidRPr="008A1D63">
                              <w:rPr>
                                <w:rFonts w:ascii="ＭＳ 明朝" w:eastAsia="ＭＳ 明朝" w:hAnsi="ＭＳ 明朝" w:hint="eastAsia"/>
                              </w:rPr>
                              <w:t>迅速化さ</w:t>
                            </w:r>
                            <w:r w:rsidR="00457337">
                              <w:rPr>
                                <w:rFonts w:ascii="ＭＳ 明朝" w:eastAsia="ＭＳ 明朝" w:hAnsi="ＭＳ 明朝" w:hint="eastAsia"/>
                              </w:rPr>
                              <w:t>せ</w:t>
                            </w:r>
                            <w:r w:rsidRPr="008A1D63">
                              <w:rPr>
                                <w:rFonts w:ascii="ＭＳ 明朝" w:eastAsia="ＭＳ 明朝" w:hAnsi="ＭＳ 明朝" w:hint="eastAsia"/>
                              </w:rPr>
                              <w:t>ることにより</w:t>
                            </w:r>
                            <w:r w:rsidR="008971C4">
                              <w:rPr>
                                <w:rFonts w:ascii="ＭＳ 明朝" w:eastAsia="ＭＳ 明朝" w:hAnsi="ＭＳ 明朝" w:hint="eastAsia"/>
                              </w:rPr>
                              <w:t>、</w:t>
                            </w:r>
                            <w:r w:rsidRPr="008A1D63">
                              <w:rPr>
                                <w:rFonts w:ascii="ＭＳ 明朝" w:eastAsia="ＭＳ 明朝" w:hAnsi="ＭＳ 明朝" w:hint="eastAsia"/>
                              </w:rPr>
                              <w:t>広域交通インフラなど社会資本整備が進むことの効果額を試算した。</w:t>
                            </w:r>
                          </w:p>
                          <w:p w:rsidR="00100A69"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特別区設置による一元化による効果として、大学、病院をモデルに二重行政の解消が生む効果額を算定した。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一方、総合区設置の効果については、現行と同様の協議体制の中で連携を図ることとなることから、社会資本整備効果、二重行政解消効果の双方について、特別区設置の効果をもとに一定の仮定を設定して算定を行ったが、精度面で差異があることに留意が必要である。</w:t>
                            </w:r>
                          </w:p>
                          <w:p w:rsidR="00AB76BF" w:rsidRPr="00EE4ECA" w:rsidRDefault="00AB76BF" w:rsidP="00AB76BF">
                            <w:pPr>
                              <w:pStyle w:val="a3"/>
                              <w:spacing w:line="400" w:lineRule="exact"/>
                              <w:ind w:leftChars="0" w:left="720" w:firstLineChars="100" w:firstLine="227"/>
                              <w:rPr>
                                <w:rFonts w:ascii="ＭＳ 明朝" w:eastAsia="ＭＳ 明朝" w:hAnsi="ＭＳ 明朝"/>
                              </w:rPr>
                            </w:pPr>
                          </w:p>
                          <w:p w:rsidR="00AB76BF" w:rsidRPr="00EE4ECA" w:rsidRDefault="00AB76BF" w:rsidP="00AB76BF">
                            <w:pPr>
                              <w:pStyle w:val="a3"/>
                              <w:numPr>
                                <w:ilvl w:val="0"/>
                                <w:numId w:val="5"/>
                              </w:numPr>
                              <w:spacing w:line="400" w:lineRule="exact"/>
                              <w:ind w:leftChars="0"/>
                              <w:rPr>
                                <w:rFonts w:ascii="ＭＳ Ｐゴシック" w:eastAsia="ＭＳ Ｐゴシック" w:hAnsi="ＭＳ Ｐゴシック"/>
                                <w:b/>
                              </w:rPr>
                            </w:pPr>
                            <w:r w:rsidRPr="00EE4ECA">
                              <w:rPr>
                                <w:rFonts w:ascii="ＭＳ Ｐゴシック" w:eastAsia="ＭＳ Ｐゴシック" w:hAnsi="ＭＳ Ｐゴシック" w:hint="eastAsia"/>
                                <w:b/>
                              </w:rPr>
                              <w:t>マクロ計量経済モデルによる経済効果</w:t>
                            </w:r>
                          </w:p>
                          <w:p w:rsidR="00100A69" w:rsidRPr="00100A69" w:rsidRDefault="00AB76BF" w:rsidP="007B4FCC">
                            <w:pPr>
                              <w:pStyle w:val="a3"/>
                              <w:numPr>
                                <w:ilvl w:val="0"/>
                                <w:numId w:val="9"/>
                              </w:numPr>
                              <w:spacing w:line="400" w:lineRule="exact"/>
                              <w:ind w:leftChars="0"/>
                            </w:pPr>
                            <w:r w:rsidRPr="007B4FCC">
                              <w:rPr>
                                <w:rFonts w:ascii="ＭＳ 明朝" w:eastAsia="ＭＳ 明朝" w:hAnsi="ＭＳ 明朝" w:hint="eastAsia"/>
                              </w:rPr>
                              <w:t>大都市制度改革に伴う社会資本整備の変化がどの程度</w:t>
                            </w:r>
                            <w:r w:rsidR="00CB1A77">
                              <w:rPr>
                                <w:rFonts w:ascii="ＭＳ 明朝" w:eastAsia="ＭＳ 明朝" w:hAnsi="ＭＳ 明朝" w:hint="eastAsia"/>
                              </w:rPr>
                              <w:t>、</w:t>
                            </w:r>
                            <w:r w:rsidRPr="007B4FCC">
                              <w:rPr>
                                <w:rFonts w:ascii="ＭＳ 明朝" w:eastAsia="ＭＳ 明朝" w:hAnsi="ＭＳ 明朝" w:hint="eastAsia"/>
                              </w:rPr>
                              <w:t>経済効果を有するかについて、</w:t>
                            </w:r>
                            <w:r w:rsidR="00CB6136" w:rsidRPr="007B4FCC">
                              <w:rPr>
                                <w:rFonts w:ascii="ＭＳ 明朝" w:eastAsia="ＭＳ 明朝" w:hAnsi="ＭＳ 明朝" w:hint="eastAsia"/>
                              </w:rPr>
                              <w:t>生</w:t>
                            </w:r>
                            <w:r w:rsidRPr="007B4FCC">
                              <w:rPr>
                                <w:rFonts w:ascii="ＭＳ 明朝" w:eastAsia="ＭＳ 明朝" w:hAnsi="ＭＳ 明朝" w:hint="eastAsia"/>
                              </w:rPr>
                              <w:t>産関数を中心としたマクロ計量経済モデルを構築し、シミュレーションを実施した。</w:t>
                            </w:r>
                          </w:p>
                          <w:p w:rsidR="00AB76BF" w:rsidRPr="00EE4ECA" w:rsidRDefault="00AB76BF" w:rsidP="007B59AA">
                            <w:pPr>
                              <w:pStyle w:val="a3"/>
                              <w:numPr>
                                <w:ilvl w:val="0"/>
                                <w:numId w:val="10"/>
                              </w:numPr>
                              <w:spacing w:line="400" w:lineRule="exact"/>
                              <w:ind w:leftChars="0" w:left="644" w:hanging="425"/>
                            </w:pPr>
                            <w:r w:rsidRPr="008A1D63">
                              <w:rPr>
                                <w:rFonts w:ascii="ＭＳ 明朝" w:eastAsia="ＭＳ 明朝" w:hAnsi="ＭＳ 明朝" w:hint="eastAsia"/>
                              </w:rPr>
                              <w:t>その際に特別区、総合区それぞれにおける社会資本整備のストックへの変化を基に、さらに社会資本整備の質的側面における効果（限界生産力の向上）も考慮して試算を行った。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A6AF" id="テキスト ボックス 1" o:spid="_x0000_s1029" type="#_x0000_t202" style="position:absolute;left:0;text-align:left;margin-left:-1.9pt;margin-top:2.55pt;width:473.2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8PswIAAMsFAAAOAAAAZHJzL2Uyb0RvYy54bWysVM1OGzEQvlfqO1i+l03SEErEBqUgqkoI&#10;UKHi7HjtZIXX49pOdtMjkVAfoq9Q9dzn2Rfp2LsJCXCh6mV3xvP/zc/RcVUoshDW5aBT2t3rUCI0&#10;hyzX05R+vTl794ES55nOmAItUroUjh6P3r45Ks1Q9GAGKhOWoBPthqVJ6cx7M0wSx2eiYG4PjNAo&#10;lGAL5pG10ySzrETvhUp6nc4gKcFmxgIXzuHraSOko+hfSsH9pZROeKJSirn5+LXxOwnfZHTEhlPL&#10;zCznbRrsH7IoWK4x6MbVKfOMzG3+zFWRcwsOpN/jUCQgZc5FrAGr6XaeVHM9Y0bEWhAcZzYwuf/n&#10;ll8srizJM+wdJZoV2KJ69VDf/6rv/9SrH6Re/axXq/r+N/KkG+AqjRui1bVBO199hCqYtu8OHwMK&#10;lbRF+GN9BOUI/HIDtqg84fg4wHp7B/uUcJQN+oeDzn5sR/JobqzznwQUJBAptdjNCDJbnDuPIVF1&#10;rRKiOVB5dpYrFZkwQeJEWbJg2HvlY5JosaOlNCkx+nsM/cxDcL2xnyjG70KZux6QUzpYijhrbVoB&#10;ogaKSPmlEkFH6S9CItYRkRdyZJwLvckzagctiRW9xrDVf8zqNcZNHWgRI4P2G+Mi12AblHahze7W&#10;0MpGH0HaqjuQvppUcch660mZQLbEAbLQbKQz/CxHvM+Z81fM4grizOBZ8Zf4kQqwSdBSlMzAfn/p&#10;PejjZqCUkhJXOqXu25xZQYn6rHFnDrv9frgBkenvH/SQsduSybZEz4sTwMnBvcDsIhn0vVqT0kJx&#10;i9dnHKKiiGmOsVPq1+SJbw4NXi8uxuOohFtvmD/X14YH1wHlMGc31S2zpp1zjytyAevlZ8Mn497o&#10;BksN47kHmcddCDg3qLb448WI49pet3CStvmo9XiDR38BAAD//wMAUEsDBBQABgAIAAAAIQCDXBBQ&#10;3QAAAAkBAAAPAAAAZHJzL2Rvd25yZXYueG1sTI/NTsMwEITvSLyDtUjcWifhL03jVIAKF04U1LMb&#10;b22LeB3ZbhreHnOC42hGM9+0m9kNbMIQrScB5bIAhtR7ZUkL+Px4WdTAYpKk5OAJBXxjhE13edHK&#10;RvkzveO0S5rlEoqNFGBSGhvOY2/Qybj0I1L2jj44mbIMmqsgz7ncDbwqinvupKW8YOSIzwb7r93J&#10;Cdg+6ZXuaxnMtlbWTvP++KZfhbi+mh/XwBLO6S8Mv/gZHbrMdPAnUpENAhY3mTwJuCuBZXt1Wz0A&#10;O+RcUdUl8K7l/x90PwAAAP//AwBQSwECLQAUAAYACAAAACEAtoM4kv4AAADhAQAAEwAAAAAAAAAA&#10;AAAAAAAAAAAAW0NvbnRlbnRfVHlwZXNdLnhtbFBLAQItABQABgAIAAAAIQA4/SH/1gAAAJQBAAAL&#10;AAAAAAAAAAAAAAAAAC8BAABfcmVscy8ucmVsc1BLAQItABQABgAIAAAAIQBNk38PswIAAMsFAAAO&#10;AAAAAAAAAAAAAAAAAC4CAABkcnMvZTJvRG9jLnhtbFBLAQItABQABgAIAAAAIQCDXBBQ3QAAAAkB&#10;AAAPAAAAAAAAAAAAAAAAAA0FAABkcnMvZG93bnJldi54bWxQSwUGAAAAAAQABADzAAAAFwYAAAAA&#10;" fillcolor="white [3201]" strokeweight=".5pt">
                <v:textbox>
                  <w:txbxContent>
                    <w:p w:rsidR="00AB76BF" w:rsidRDefault="00AB76BF" w:rsidP="00AB76BF">
                      <w:pPr>
                        <w:spacing w:line="400" w:lineRule="exact"/>
                        <w:ind w:firstLineChars="100" w:firstLine="228"/>
                        <w:rPr>
                          <w:rFonts w:ascii="ＭＳ Ｐゴシック" w:eastAsia="ＭＳ Ｐゴシック" w:hAnsi="ＭＳ Ｐゴシック"/>
                          <w:b/>
                        </w:rPr>
                      </w:pPr>
                      <w:r w:rsidRPr="00EE4ECA">
                        <w:rPr>
                          <w:rFonts w:ascii="ＭＳ Ｐゴシック" w:eastAsia="ＭＳ Ｐゴシック" w:hAnsi="ＭＳ Ｐゴシック" w:hint="eastAsia"/>
                          <w:b/>
                        </w:rPr>
                        <w:t>本調査では、総合区設置</w:t>
                      </w:r>
                      <w:r w:rsidR="00AD0C3D">
                        <w:rPr>
                          <w:rFonts w:ascii="ＭＳ Ｐゴシック" w:eastAsia="ＭＳ Ｐゴシック" w:hAnsi="ＭＳ Ｐゴシック" w:hint="eastAsia"/>
                          <w:b/>
                        </w:rPr>
                        <w:t>及び</w:t>
                      </w:r>
                      <w:r w:rsidRPr="00EE4ECA">
                        <w:rPr>
                          <w:rFonts w:ascii="ＭＳ Ｐゴシック" w:eastAsia="ＭＳ Ｐゴシック" w:hAnsi="ＭＳ Ｐゴシック" w:hint="eastAsia"/>
                          <w:b/>
                        </w:rPr>
                        <w:t>特別区設置が与える経済効果について、政策効果分析とマクロ計量経済モデルという</w:t>
                      </w:r>
                      <w:r w:rsidR="004923A4">
                        <w:rPr>
                          <w:rFonts w:ascii="ＭＳ Ｐゴシック" w:eastAsia="ＭＳ Ｐゴシック" w:hAnsi="ＭＳ Ｐゴシック" w:hint="eastAsia"/>
                          <w:b/>
                        </w:rPr>
                        <w:t>2</w:t>
                      </w:r>
                      <w:r w:rsidRPr="00EE4ECA">
                        <w:rPr>
                          <w:rFonts w:ascii="ＭＳ Ｐゴシック" w:eastAsia="ＭＳ Ｐゴシック" w:hAnsi="ＭＳ Ｐゴシック" w:hint="eastAsia"/>
                          <w:b/>
                        </w:rPr>
                        <w:t>つのアプローチで試算を行い、大都市制度改革に</w:t>
                      </w:r>
                      <w:r w:rsidR="00C134A2">
                        <w:rPr>
                          <w:rFonts w:ascii="ＭＳ Ｐゴシック" w:eastAsia="ＭＳ Ｐゴシック" w:hAnsi="ＭＳ Ｐゴシック" w:hint="eastAsia"/>
                          <w:b/>
                        </w:rPr>
                        <w:t>よる</w:t>
                      </w:r>
                      <w:r w:rsidRPr="00EE4ECA">
                        <w:rPr>
                          <w:rFonts w:ascii="ＭＳ Ｐゴシック" w:eastAsia="ＭＳ Ｐゴシック" w:hAnsi="ＭＳ Ｐゴシック" w:hint="eastAsia"/>
                          <w:b/>
                        </w:rPr>
                        <w:t>定量的な効果を明らかにした。</w:t>
                      </w:r>
                    </w:p>
                    <w:p w:rsidR="008A1D63" w:rsidRPr="00EE4ECA" w:rsidRDefault="008A1D63" w:rsidP="00AB76BF">
                      <w:pPr>
                        <w:spacing w:line="400" w:lineRule="exact"/>
                        <w:ind w:firstLineChars="100" w:firstLine="228"/>
                        <w:rPr>
                          <w:rFonts w:ascii="ＭＳ Ｐゴシック" w:eastAsia="ＭＳ Ｐゴシック" w:hAnsi="ＭＳ Ｐゴシック"/>
                          <w:b/>
                        </w:rPr>
                      </w:pPr>
                    </w:p>
                    <w:p w:rsidR="00AB76BF" w:rsidRPr="00EE4ECA" w:rsidRDefault="00AB76BF" w:rsidP="00AB76BF">
                      <w:pPr>
                        <w:pStyle w:val="a3"/>
                        <w:numPr>
                          <w:ilvl w:val="0"/>
                          <w:numId w:val="5"/>
                        </w:numPr>
                        <w:spacing w:line="400" w:lineRule="exact"/>
                        <w:ind w:leftChars="0"/>
                        <w:rPr>
                          <w:rFonts w:ascii="ＭＳ 明朝" w:eastAsia="ＭＳ 明朝" w:hAnsi="ＭＳ 明朝"/>
                          <w:b/>
                        </w:rPr>
                      </w:pPr>
                      <w:r w:rsidRPr="00EE4ECA">
                        <w:rPr>
                          <w:rFonts w:ascii="ＭＳ Ｐゴシック" w:eastAsia="ＭＳ Ｐゴシック" w:hAnsi="ＭＳ Ｐゴシック" w:hint="eastAsia"/>
                          <w:b/>
                        </w:rPr>
                        <w:t>政策効果分析による経済効果</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w:t>
                      </w:r>
                      <w:r w:rsidR="00E02C22">
                        <w:rPr>
                          <w:rFonts w:ascii="ＭＳ 明朝" w:eastAsia="ＭＳ 明朝" w:hAnsi="ＭＳ 明朝" w:hint="eastAsia"/>
                        </w:rPr>
                        <w:t>及び</w:t>
                      </w:r>
                      <w:r w:rsidRPr="008A1D63">
                        <w:rPr>
                          <w:rFonts w:ascii="ＭＳ 明朝" w:eastAsia="ＭＳ 明朝" w:hAnsi="ＭＳ 明朝" w:hint="eastAsia"/>
                        </w:rPr>
                        <w:t>総合区につい</w:t>
                      </w:r>
                      <w:r w:rsidR="00465601">
                        <w:rPr>
                          <w:rFonts w:ascii="ＭＳ 明朝" w:eastAsia="ＭＳ 明朝" w:hAnsi="ＭＳ 明朝" w:hint="eastAsia"/>
                        </w:rPr>
                        <w:t>て、基礎自治行政の財政効率化効果を、現行の市町村データや行政区</w:t>
                      </w:r>
                      <w:r w:rsidRPr="008A1D63">
                        <w:rPr>
                          <w:rFonts w:ascii="ＭＳ 明朝" w:eastAsia="ＭＳ 明朝" w:hAnsi="ＭＳ 明朝" w:hint="eastAsia"/>
                        </w:rPr>
                        <w:t>データを基に、人口と一人</w:t>
                      </w:r>
                      <w:r w:rsidR="00AD0C3D">
                        <w:rPr>
                          <w:rFonts w:ascii="ＭＳ 明朝" w:eastAsia="ＭＳ 明朝" w:hAnsi="ＭＳ 明朝" w:hint="eastAsia"/>
                        </w:rPr>
                        <w:t>当たり</w:t>
                      </w:r>
                      <w:r w:rsidRPr="008A1D63">
                        <w:rPr>
                          <w:rFonts w:ascii="ＭＳ 明朝" w:eastAsia="ＭＳ 明朝" w:hAnsi="ＭＳ 明朝" w:hint="eastAsia"/>
                        </w:rPr>
                        <w:t>歳出をベースとする歳出関数を推定し、その値を用いて特別区設置、総合区設置後のそれぞれの理論値を導出したうえ、現在の歳出との差額である歳出削減効果を明らかにした。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特別区設置による府市の広域機能一元化</w:t>
                      </w:r>
                      <w:r w:rsidR="00457337">
                        <w:rPr>
                          <w:rFonts w:ascii="ＭＳ 明朝" w:eastAsia="ＭＳ 明朝" w:hAnsi="ＭＳ 明朝" w:hint="eastAsia"/>
                        </w:rPr>
                        <w:t>が</w:t>
                      </w:r>
                      <w:r w:rsidRPr="008A1D63">
                        <w:rPr>
                          <w:rFonts w:ascii="ＭＳ 明朝" w:eastAsia="ＭＳ 明朝" w:hAnsi="ＭＳ 明朝" w:hint="eastAsia"/>
                        </w:rPr>
                        <w:t>意思決定</w:t>
                      </w:r>
                      <w:r w:rsidR="00457337">
                        <w:rPr>
                          <w:rFonts w:ascii="ＭＳ 明朝" w:eastAsia="ＭＳ 明朝" w:hAnsi="ＭＳ 明朝" w:hint="eastAsia"/>
                        </w:rPr>
                        <w:t>を</w:t>
                      </w:r>
                      <w:r w:rsidRPr="008A1D63">
                        <w:rPr>
                          <w:rFonts w:ascii="ＭＳ 明朝" w:eastAsia="ＭＳ 明朝" w:hAnsi="ＭＳ 明朝" w:hint="eastAsia"/>
                        </w:rPr>
                        <w:t>迅速化さ</w:t>
                      </w:r>
                      <w:r w:rsidR="00457337">
                        <w:rPr>
                          <w:rFonts w:ascii="ＭＳ 明朝" w:eastAsia="ＭＳ 明朝" w:hAnsi="ＭＳ 明朝" w:hint="eastAsia"/>
                        </w:rPr>
                        <w:t>せ</w:t>
                      </w:r>
                      <w:r w:rsidRPr="008A1D63">
                        <w:rPr>
                          <w:rFonts w:ascii="ＭＳ 明朝" w:eastAsia="ＭＳ 明朝" w:hAnsi="ＭＳ 明朝" w:hint="eastAsia"/>
                        </w:rPr>
                        <w:t>ることにより</w:t>
                      </w:r>
                      <w:r w:rsidR="008971C4">
                        <w:rPr>
                          <w:rFonts w:ascii="ＭＳ 明朝" w:eastAsia="ＭＳ 明朝" w:hAnsi="ＭＳ 明朝" w:hint="eastAsia"/>
                        </w:rPr>
                        <w:t>、</w:t>
                      </w:r>
                      <w:r w:rsidRPr="008A1D63">
                        <w:rPr>
                          <w:rFonts w:ascii="ＭＳ 明朝" w:eastAsia="ＭＳ 明朝" w:hAnsi="ＭＳ 明朝" w:hint="eastAsia"/>
                        </w:rPr>
                        <w:t>広域交通インフラなど社会資本整備が進むことの効果額を試算した。</w:t>
                      </w:r>
                    </w:p>
                    <w:p w:rsidR="00100A69"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特別区設置による一元化による効果として、大学、病院をモデルに二重行政の解消が生む効果額を算定した。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一方、総合区設置の効果については、現行と同様の協議体制の中で連携を図ることとなることから、社会資本整備効果、二重行政解消効果の双方について、特別区設置の効果をもとに一定の仮定を設定して算定を行ったが、精度面で差異があることに留意が必要である。</w:t>
                      </w:r>
                    </w:p>
                    <w:p w:rsidR="00AB76BF" w:rsidRPr="00EE4ECA" w:rsidRDefault="00AB76BF" w:rsidP="00AB76BF">
                      <w:pPr>
                        <w:pStyle w:val="a3"/>
                        <w:spacing w:line="400" w:lineRule="exact"/>
                        <w:ind w:leftChars="0" w:left="720" w:firstLineChars="100" w:firstLine="227"/>
                        <w:rPr>
                          <w:rFonts w:ascii="ＭＳ 明朝" w:eastAsia="ＭＳ 明朝" w:hAnsi="ＭＳ 明朝"/>
                        </w:rPr>
                      </w:pPr>
                    </w:p>
                    <w:p w:rsidR="00AB76BF" w:rsidRPr="00EE4ECA" w:rsidRDefault="00AB76BF" w:rsidP="00AB76BF">
                      <w:pPr>
                        <w:pStyle w:val="a3"/>
                        <w:numPr>
                          <w:ilvl w:val="0"/>
                          <w:numId w:val="5"/>
                        </w:numPr>
                        <w:spacing w:line="400" w:lineRule="exact"/>
                        <w:ind w:leftChars="0"/>
                        <w:rPr>
                          <w:rFonts w:ascii="ＭＳ Ｐゴシック" w:eastAsia="ＭＳ Ｐゴシック" w:hAnsi="ＭＳ Ｐゴシック"/>
                          <w:b/>
                        </w:rPr>
                      </w:pPr>
                      <w:r w:rsidRPr="00EE4ECA">
                        <w:rPr>
                          <w:rFonts w:ascii="ＭＳ Ｐゴシック" w:eastAsia="ＭＳ Ｐゴシック" w:hAnsi="ＭＳ Ｐゴシック" w:hint="eastAsia"/>
                          <w:b/>
                        </w:rPr>
                        <w:t>マクロ計量経済モデルによる経済効果</w:t>
                      </w:r>
                    </w:p>
                    <w:p w:rsidR="00100A69" w:rsidRPr="00100A69" w:rsidRDefault="00AB76BF" w:rsidP="007B4FCC">
                      <w:pPr>
                        <w:pStyle w:val="a3"/>
                        <w:numPr>
                          <w:ilvl w:val="0"/>
                          <w:numId w:val="9"/>
                        </w:numPr>
                        <w:spacing w:line="400" w:lineRule="exact"/>
                        <w:ind w:leftChars="0"/>
                      </w:pPr>
                      <w:r w:rsidRPr="007B4FCC">
                        <w:rPr>
                          <w:rFonts w:ascii="ＭＳ 明朝" w:eastAsia="ＭＳ 明朝" w:hAnsi="ＭＳ 明朝" w:hint="eastAsia"/>
                        </w:rPr>
                        <w:t>大都市制度改革に伴う社会資本整備の変化がどの程度</w:t>
                      </w:r>
                      <w:r w:rsidR="00CB1A77">
                        <w:rPr>
                          <w:rFonts w:ascii="ＭＳ 明朝" w:eastAsia="ＭＳ 明朝" w:hAnsi="ＭＳ 明朝" w:hint="eastAsia"/>
                        </w:rPr>
                        <w:t>、</w:t>
                      </w:r>
                      <w:r w:rsidRPr="007B4FCC">
                        <w:rPr>
                          <w:rFonts w:ascii="ＭＳ 明朝" w:eastAsia="ＭＳ 明朝" w:hAnsi="ＭＳ 明朝" w:hint="eastAsia"/>
                        </w:rPr>
                        <w:t>経済効果を有するかについて、</w:t>
                      </w:r>
                      <w:r w:rsidR="00CB6136" w:rsidRPr="007B4FCC">
                        <w:rPr>
                          <w:rFonts w:ascii="ＭＳ 明朝" w:eastAsia="ＭＳ 明朝" w:hAnsi="ＭＳ 明朝" w:hint="eastAsia"/>
                        </w:rPr>
                        <w:t>生</w:t>
                      </w:r>
                      <w:r w:rsidRPr="007B4FCC">
                        <w:rPr>
                          <w:rFonts w:ascii="ＭＳ 明朝" w:eastAsia="ＭＳ 明朝" w:hAnsi="ＭＳ 明朝" w:hint="eastAsia"/>
                        </w:rPr>
                        <w:t>産関数を中心としたマクロ計量経済モデルを構築し、シミュレーションを実施した。</w:t>
                      </w:r>
                    </w:p>
                    <w:p w:rsidR="00AB76BF" w:rsidRPr="00EE4ECA" w:rsidRDefault="00AB76BF" w:rsidP="007B59AA">
                      <w:pPr>
                        <w:pStyle w:val="a3"/>
                        <w:numPr>
                          <w:ilvl w:val="0"/>
                          <w:numId w:val="10"/>
                        </w:numPr>
                        <w:spacing w:line="400" w:lineRule="exact"/>
                        <w:ind w:leftChars="0" w:left="644" w:hanging="425"/>
                      </w:pPr>
                      <w:r w:rsidRPr="008A1D63">
                        <w:rPr>
                          <w:rFonts w:ascii="ＭＳ 明朝" w:eastAsia="ＭＳ 明朝" w:hAnsi="ＭＳ 明朝" w:hint="eastAsia"/>
                        </w:rPr>
                        <w:t>その際に特別区、総合区それぞれにおける社会資本整備のストックへの変化を基に、さらに社会資本整備の質的側面における効果（限界生産力の向上）も考慮して試算を行った。</w:t>
                      </w:r>
                    </w:p>
                  </w:txbxContent>
                </v:textbox>
              </v:shape>
            </w:pict>
          </mc:Fallback>
        </mc:AlternateContent>
      </w: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Default="00AB76BF" w:rsidP="00AB76BF">
      <w:pPr>
        <w:rPr>
          <w:rFonts w:ascii="ＭＳ ゴシック" w:eastAsia="ＭＳ ゴシック" w:hAnsi="ＭＳ ゴシック"/>
          <w:szCs w:val="24"/>
        </w:rPr>
      </w:pPr>
    </w:p>
    <w:p w:rsidR="00AB76BF" w:rsidRPr="008A1D63" w:rsidRDefault="00AB76BF" w:rsidP="00AB76BF">
      <w:pPr>
        <w:rPr>
          <w:rFonts w:ascii="ＭＳ ゴシック" w:eastAsia="ＭＳ ゴシック" w:hAnsi="ＭＳ ゴシック"/>
          <w:b/>
          <w:sz w:val="28"/>
          <w:szCs w:val="24"/>
        </w:rPr>
      </w:pPr>
      <w:r w:rsidRPr="008A1D63">
        <w:rPr>
          <w:rFonts w:ascii="ＭＳ ゴシック" w:eastAsia="ＭＳ ゴシック" w:hAnsi="ＭＳ ゴシック" w:hint="eastAsia"/>
          <w:b/>
          <w:sz w:val="28"/>
          <w:szCs w:val="24"/>
        </w:rPr>
        <w:lastRenderedPageBreak/>
        <w:t>２．</w:t>
      </w:r>
      <w:r w:rsidR="0098133B" w:rsidRPr="008A1D63">
        <w:rPr>
          <w:rFonts w:ascii="ＭＳ ゴシック" w:eastAsia="ＭＳ ゴシック" w:hAnsi="ＭＳ ゴシック" w:hint="eastAsia"/>
          <w:b/>
          <w:sz w:val="28"/>
          <w:szCs w:val="24"/>
        </w:rPr>
        <w:t>試算による定量的な効果</w:t>
      </w:r>
    </w:p>
    <w:p w:rsidR="008B39FB" w:rsidRDefault="00403181" w:rsidP="00EE4ECA">
      <w:pPr>
        <w:spacing w:line="400" w:lineRule="exact"/>
        <w:ind w:firstLineChars="100" w:firstLine="227"/>
        <w:rPr>
          <w:rFonts w:ascii="ＭＳ 明朝" w:eastAsia="ＭＳ 明朝" w:hAnsi="ＭＳ 明朝"/>
        </w:rPr>
      </w:pPr>
      <w:r w:rsidRPr="00EE4ECA">
        <w:rPr>
          <w:rFonts w:ascii="ＭＳ 明朝" w:eastAsia="ＭＳ 明朝" w:hAnsi="ＭＳ 明朝" w:hint="eastAsia"/>
        </w:rPr>
        <w:t>以上の検討による定量的な効果は下記のとおりである。</w:t>
      </w:r>
    </w:p>
    <w:p w:rsidR="008B39FB" w:rsidRDefault="008B39FB" w:rsidP="00EE4ECA">
      <w:pPr>
        <w:spacing w:line="400" w:lineRule="exact"/>
        <w:ind w:firstLineChars="100" w:firstLine="227"/>
        <w:rPr>
          <w:rFonts w:ascii="ＭＳ 明朝" w:eastAsia="ＭＳ 明朝" w:hAnsi="ＭＳ 明朝"/>
        </w:rPr>
      </w:pPr>
    </w:p>
    <w:p w:rsidR="008B39FB" w:rsidRPr="008B39FB" w:rsidRDefault="008B39FB" w:rsidP="008B39FB">
      <w:pPr>
        <w:spacing w:line="400" w:lineRule="exact"/>
        <w:rPr>
          <w:rFonts w:ascii="ＭＳ ゴシック" w:eastAsia="ＭＳ ゴシック" w:hAnsi="ＭＳ ゴシック"/>
        </w:rPr>
      </w:pPr>
      <w:r w:rsidRPr="008B39FB">
        <w:rPr>
          <w:rFonts w:ascii="ＭＳ ゴシック" w:eastAsia="ＭＳ ゴシック" w:hAnsi="ＭＳ ゴシック" w:hint="eastAsia"/>
        </w:rPr>
        <w:t>〇政策効果分析による結果</w:t>
      </w:r>
      <w:r w:rsidRPr="008B39FB">
        <w:rPr>
          <w:rFonts w:ascii="ＭＳ ゴシック" w:eastAsia="ＭＳ ゴシック" w:hAnsi="ＭＳ ゴシック"/>
          <w:noProof/>
        </w:rPr>
        <w:drawing>
          <wp:anchor distT="0" distB="0" distL="114300" distR="114300" simplePos="0" relativeHeight="251653632" behindDoc="0" locked="0" layoutInCell="1" allowOverlap="1" wp14:anchorId="6B514E71" wp14:editId="293B2EDA">
            <wp:simplePos x="0" y="0"/>
            <wp:positionH relativeFrom="column">
              <wp:posOffset>0</wp:posOffset>
            </wp:positionH>
            <wp:positionV relativeFrom="paragraph">
              <wp:posOffset>342265</wp:posOffset>
            </wp:positionV>
            <wp:extent cx="5759450" cy="2183749"/>
            <wp:effectExtent l="0" t="0" r="0" b="762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183749"/>
                    </a:xfrm>
                    <a:prstGeom prst="rect">
                      <a:avLst/>
                    </a:prstGeom>
                    <a:noFill/>
                    <a:ln>
                      <a:noFill/>
                    </a:ln>
                  </pic:spPr>
                </pic:pic>
              </a:graphicData>
            </a:graphic>
          </wp:anchor>
        </w:drawing>
      </w:r>
    </w:p>
    <w:p w:rsidR="008B39FB" w:rsidRDefault="008B39FB" w:rsidP="008B39FB">
      <w:pPr>
        <w:spacing w:line="400" w:lineRule="exact"/>
        <w:rPr>
          <w:rFonts w:ascii="ＭＳ ゴシック" w:eastAsia="ＭＳ ゴシック" w:hAnsi="ＭＳ ゴシック"/>
        </w:rPr>
      </w:pPr>
    </w:p>
    <w:p w:rsidR="008B39FB" w:rsidRPr="008B39FB" w:rsidRDefault="008B39FB" w:rsidP="008B39FB">
      <w:pPr>
        <w:spacing w:line="400" w:lineRule="exact"/>
        <w:rPr>
          <w:rFonts w:ascii="ＭＳ ゴシック" w:eastAsia="ＭＳ ゴシック" w:hAnsi="ＭＳ ゴシック"/>
        </w:rPr>
      </w:pPr>
      <w:r w:rsidRPr="008B39FB">
        <w:rPr>
          <w:noProof/>
        </w:rPr>
        <w:drawing>
          <wp:anchor distT="0" distB="0" distL="114300" distR="114300" simplePos="0" relativeHeight="251665920" behindDoc="0" locked="0" layoutInCell="1" allowOverlap="1">
            <wp:simplePos x="0" y="0"/>
            <wp:positionH relativeFrom="column">
              <wp:posOffset>-5080</wp:posOffset>
            </wp:positionH>
            <wp:positionV relativeFrom="paragraph">
              <wp:posOffset>299720</wp:posOffset>
            </wp:positionV>
            <wp:extent cx="5759450" cy="1537970"/>
            <wp:effectExtent l="0" t="0" r="0" b="508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537970"/>
                    </a:xfrm>
                    <a:prstGeom prst="rect">
                      <a:avLst/>
                    </a:prstGeom>
                    <a:noFill/>
                    <a:ln>
                      <a:noFill/>
                    </a:ln>
                  </pic:spPr>
                </pic:pic>
              </a:graphicData>
            </a:graphic>
          </wp:anchor>
        </w:drawing>
      </w:r>
      <w:r w:rsidRPr="008B39FB">
        <w:rPr>
          <w:rFonts w:ascii="ＭＳ ゴシック" w:eastAsia="ＭＳ ゴシック" w:hAnsi="ＭＳ ゴシック" w:hint="eastAsia"/>
        </w:rPr>
        <w:t>〇</w:t>
      </w:r>
      <w:r>
        <w:rPr>
          <w:rFonts w:ascii="ＭＳ ゴシック" w:eastAsia="ＭＳ ゴシック" w:hAnsi="ＭＳ ゴシック" w:hint="eastAsia"/>
        </w:rPr>
        <w:t>マクロ計量経済</w:t>
      </w:r>
      <w:r w:rsidRPr="008B39FB">
        <w:rPr>
          <w:rFonts w:ascii="ＭＳ ゴシック" w:eastAsia="ＭＳ ゴシック" w:hAnsi="ＭＳ ゴシック" w:hint="eastAsia"/>
        </w:rPr>
        <w:t>分析による結果</w:t>
      </w:r>
    </w:p>
    <w:p w:rsidR="008B39FB" w:rsidRDefault="008B39FB" w:rsidP="008B39FB">
      <w:pPr>
        <w:spacing w:line="400" w:lineRule="exact"/>
        <w:rPr>
          <w:rFonts w:ascii="ＭＳ 明朝" w:eastAsia="ＭＳ 明朝" w:hAnsi="ＭＳ 明朝"/>
        </w:rPr>
      </w:pPr>
    </w:p>
    <w:p w:rsidR="00995839" w:rsidRPr="008B39FB" w:rsidRDefault="008B39FB" w:rsidP="00995839">
      <w:pPr>
        <w:spacing w:line="340" w:lineRule="exact"/>
        <w:ind w:left="227" w:hangingChars="100" w:hanging="227"/>
        <w:rPr>
          <w:rFonts w:ascii="ＭＳ 明朝" w:eastAsia="ＭＳ 明朝" w:hAnsi="ＭＳ 明朝"/>
          <w:szCs w:val="24"/>
        </w:rPr>
      </w:pPr>
      <w:r w:rsidRPr="008B39FB">
        <w:rPr>
          <w:rFonts w:ascii="ＭＳ 明朝" w:eastAsia="ＭＳ 明朝" w:hAnsi="ＭＳ 明朝" w:hint="eastAsia"/>
          <w:szCs w:val="24"/>
        </w:rPr>
        <w:t>※</w:t>
      </w:r>
      <w:r w:rsidR="00995839" w:rsidRPr="008B39FB">
        <w:rPr>
          <w:rFonts w:ascii="ＭＳ 明朝" w:eastAsia="ＭＳ 明朝" w:hAnsi="ＭＳ 明朝" w:hint="eastAsia"/>
          <w:szCs w:val="24"/>
        </w:rPr>
        <w:t>政策効果分析による個別の効果は、それぞれ算定手法や対象が異なるため、単純に合計してそれぞれの経済効果とすることは困難である。また、政策効果分析とマクロ経済モデルについて</w:t>
      </w:r>
      <w:r w:rsidR="00723F0E">
        <w:rPr>
          <w:rFonts w:ascii="ＭＳ 明朝" w:eastAsia="ＭＳ 明朝" w:hAnsi="ＭＳ 明朝" w:hint="eastAsia"/>
          <w:szCs w:val="24"/>
        </w:rPr>
        <w:t>は、</w:t>
      </w:r>
      <w:r w:rsidR="00995839" w:rsidRPr="008B39FB">
        <w:rPr>
          <w:rFonts w:ascii="ＭＳ 明朝" w:eastAsia="ＭＳ 明朝" w:hAnsi="ＭＳ 明朝" w:hint="eastAsia"/>
          <w:szCs w:val="24"/>
        </w:rPr>
        <w:t>単純に比較できるものではないことに注意が必要</w:t>
      </w:r>
      <w:r w:rsidR="006F3F96" w:rsidRPr="008B39FB">
        <w:rPr>
          <w:rFonts w:ascii="ＭＳ 明朝" w:eastAsia="ＭＳ 明朝" w:hAnsi="ＭＳ 明朝" w:hint="eastAsia"/>
          <w:szCs w:val="24"/>
        </w:rPr>
        <w:t>である。</w:t>
      </w:r>
    </w:p>
    <w:p w:rsidR="001D0659" w:rsidRDefault="001D0659">
      <w:pPr>
        <w:widowControl/>
        <w:jc w:val="left"/>
        <w:rPr>
          <w:rFonts w:ascii="ＭＳ 明朝" w:eastAsia="ＭＳ 明朝" w:hAnsi="ＭＳ 明朝"/>
          <w:color w:val="FF0000"/>
        </w:rPr>
      </w:pPr>
      <w:r>
        <w:rPr>
          <w:rFonts w:ascii="ＭＳ 明朝" w:eastAsia="ＭＳ 明朝" w:hAnsi="ＭＳ 明朝"/>
          <w:color w:val="FF0000"/>
        </w:rPr>
        <w:br w:type="page"/>
      </w:r>
    </w:p>
    <w:p w:rsidR="00225E29" w:rsidRPr="008A1D63" w:rsidRDefault="00117296" w:rsidP="00117296">
      <w:pPr>
        <w:pStyle w:val="a3"/>
        <w:ind w:leftChars="-1" w:left="-2" w:firstLine="1"/>
        <w:rPr>
          <w:rFonts w:ascii="ＭＳ ゴシック" w:eastAsia="ＭＳ ゴシック" w:hAnsi="ＭＳ ゴシック"/>
          <w:b/>
          <w:sz w:val="28"/>
          <w:szCs w:val="24"/>
        </w:rPr>
      </w:pPr>
      <w:r>
        <w:rPr>
          <w:rFonts w:ascii="ＭＳ ゴシック" w:eastAsia="ＭＳ ゴシック" w:hAnsi="ＭＳ ゴシック" w:hint="eastAsia"/>
          <w:b/>
          <w:sz w:val="28"/>
          <w:szCs w:val="24"/>
        </w:rPr>
        <w:lastRenderedPageBreak/>
        <w:t>３．</w:t>
      </w:r>
      <w:r w:rsidR="001257A9" w:rsidRPr="008A1D63">
        <w:rPr>
          <w:rFonts w:ascii="ＭＳ ゴシック" w:eastAsia="ＭＳ ゴシック" w:hAnsi="ＭＳ ゴシック" w:hint="eastAsia"/>
          <w:b/>
          <w:sz w:val="28"/>
          <w:szCs w:val="24"/>
        </w:rPr>
        <w:t>本調査</w:t>
      </w:r>
      <w:r w:rsidR="008A1D63">
        <w:rPr>
          <w:rFonts w:ascii="ＭＳ ゴシック" w:eastAsia="ＭＳ ゴシック" w:hAnsi="ＭＳ ゴシック" w:hint="eastAsia"/>
          <w:b/>
          <w:sz w:val="28"/>
          <w:szCs w:val="24"/>
        </w:rPr>
        <w:t>結果</w:t>
      </w:r>
      <w:r w:rsidR="001257A9" w:rsidRPr="008A1D63">
        <w:rPr>
          <w:rFonts w:ascii="ＭＳ ゴシック" w:eastAsia="ＭＳ ゴシック" w:hAnsi="ＭＳ ゴシック" w:hint="eastAsia"/>
          <w:b/>
          <w:sz w:val="28"/>
          <w:szCs w:val="24"/>
        </w:rPr>
        <w:t>における</w:t>
      </w:r>
      <w:r w:rsidR="007A0F6A" w:rsidRPr="008A1D63">
        <w:rPr>
          <w:rFonts w:ascii="ＭＳ ゴシック" w:eastAsia="ＭＳ ゴシック" w:hAnsi="ＭＳ ゴシック" w:hint="eastAsia"/>
          <w:b/>
          <w:sz w:val="28"/>
          <w:szCs w:val="24"/>
        </w:rPr>
        <w:t>政策的意味</w:t>
      </w:r>
    </w:p>
    <w:p w:rsidR="001257A9" w:rsidRDefault="001257A9" w:rsidP="001257A9">
      <w:pPr>
        <w:rPr>
          <w:rFonts w:ascii="ＭＳ ゴシック" w:eastAsia="ＭＳ ゴシック" w:hAnsi="ＭＳ ゴシック"/>
          <w:b/>
          <w:szCs w:val="24"/>
        </w:rPr>
      </w:pPr>
      <w:r>
        <w:rPr>
          <w:rFonts w:ascii="ＭＳ ゴシック" w:eastAsia="ＭＳ ゴシック" w:hAnsi="ＭＳ ゴシック" w:hint="eastAsia"/>
          <w:b/>
          <w:noProof/>
          <w:szCs w:val="24"/>
        </w:rPr>
        <mc:AlternateContent>
          <mc:Choice Requires="wps">
            <w:drawing>
              <wp:anchor distT="0" distB="0" distL="114300" distR="114300" simplePos="0" relativeHeight="251660288" behindDoc="0" locked="0" layoutInCell="1" allowOverlap="1">
                <wp:simplePos x="0" y="0"/>
                <wp:positionH relativeFrom="column">
                  <wp:posOffset>-22244</wp:posOffset>
                </wp:positionH>
                <wp:positionV relativeFrom="paragraph">
                  <wp:posOffset>165553</wp:posOffset>
                </wp:positionV>
                <wp:extent cx="5915025" cy="7795033"/>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5915025" cy="7795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136" w:rsidRPr="001257A9" w:rsidRDefault="00CB6136" w:rsidP="00142802">
                            <w:pPr>
                              <w:ind w:left="455" w:hangingChars="200" w:hanging="455"/>
                              <w:rPr>
                                <w:rFonts w:ascii="ＭＳ Ｐゴシック" w:eastAsia="ＭＳ Ｐゴシック" w:hAnsi="ＭＳ Ｐゴシック"/>
                                <w:b/>
                                <w:szCs w:val="24"/>
                              </w:rPr>
                            </w:pPr>
                            <w:r>
                              <w:rPr>
                                <w:rFonts w:ascii="ＭＳ Ｐゴシック" w:eastAsia="ＭＳ Ｐゴシック" w:hAnsi="ＭＳ Ｐゴシック" w:hint="eastAsia"/>
                                <w:b/>
                                <w:szCs w:val="24"/>
                              </w:rPr>
                              <w:t>（１）</w:t>
                            </w:r>
                            <w:r w:rsidRPr="001257A9">
                              <w:rPr>
                                <w:rFonts w:ascii="ＭＳ Ｐゴシック" w:eastAsia="ＭＳ Ｐゴシック" w:hAnsi="ＭＳ Ｐゴシック" w:hint="eastAsia"/>
                                <w:b/>
                                <w:szCs w:val="24"/>
                              </w:rPr>
                              <w:t>府市の連携の強化の程度は財政効率化や経済効果に影響を与える。</w:t>
                            </w:r>
                          </w:p>
                          <w:p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基礎自治行政の財政効率化効果として、総合区は</w:t>
                            </w:r>
                            <w:r w:rsidRPr="001D0659">
                              <w:rPr>
                                <w:rFonts w:ascii="ＭＳ 明朝" w:eastAsia="ＭＳ 明朝" w:hAnsi="ＭＳ 明朝" w:hint="eastAsia"/>
                                <w:szCs w:val="24"/>
                              </w:rPr>
                              <w:t>行政区と</w:t>
                            </w:r>
                            <w:r>
                              <w:rPr>
                                <w:rFonts w:ascii="ＭＳ 明朝" w:eastAsia="ＭＳ 明朝" w:hAnsi="ＭＳ 明朝" w:hint="eastAsia"/>
                                <w:szCs w:val="24"/>
                              </w:rPr>
                              <w:t>、特別区は市町村と</w:t>
                            </w:r>
                            <w:r w:rsidRPr="001D0659">
                              <w:rPr>
                                <w:rFonts w:ascii="ＭＳ 明朝" w:eastAsia="ＭＳ 明朝" w:hAnsi="ＭＳ 明朝" w:hint="eastAsia"/>
                                <w:szCs w:val="24"/>
                              </w:rPr>
                              <w:t>の比較により、それぞれの最適規模を導くことで、総合区では、10年間で</w:t>
                            </w:r>
                            <w:r w:rsidR="008B39FB">
                              <w:rPr>
                                <w:rFonts w:ascii="ＭＳ 明朝" w:eastAsia="ＭＳ 明朝" w:hAnsi="ＭＳ 明朝"/>
                                <w:szCs w:val="24"/>
                              </w:rPr>
                              <w:t>3</w:t>
                            </w:r>
                            <w:r w:rsidRPr="001D0659">
                              <w:rPr>
                                <w:rFonts w:ascii="ＭＳ 明朝" w:eastAsia="ＭＳ 明朝" w:hAnsi="ＭＳ 明朝" w:hint="eastAsia"/>
                                <w:szCs w:val="24"/>
                              </w:rPr>
                              <w:t>億円から712億円、特別区では1兆</w:t>
                            </w:r>
                            <w:r w:rsidR="004F514A" w:rsidRPr="001D0659">
                              <w:rPr>
                                <w:rFonts w:ascii="ＭＳ 明朝" w:eastAsia="ＭＳ 明朝" w:hAnsi="ＭＳ 明朝" w:hint="eastAsia"/>
                                <w:szCs w:val="24"/>
                              </w:rPr>
                              <w:t>1,040</w:t>
                            </w:r>
                            <w:r w:rsidRPr="001D0659">
                              <w:rPr>
                                <w:rFonts w:ascii="ＭＳ 明朝" w:eastAsia="ＭＳ 明朝" w:hAnsi="ＭＳ 明朝" w:hint="eastAsia"/>
                                <w:szCs w:val="24"/>
                              </w:rPr>
                              <w:t>億～1兆</w:t>
                            </w:r>
                            <w:r w:rsidR="00654043" w:rsidRPr="001D0659">
                              <w:rPr>
                                <w:rFonts w:ascii="ＭＳ 明朝" w:eastAsia="ＭＳ 明朝" w:hAnsi="ＭＳ 明朝" w:hint="eastAsia"/>
                                <w:szCs w:val="24"/>
                              </w:rPr>
                              <w:t>1,409</w:t>
                            </w:r>
                            <w:r w:rsidRPr="001D0659">
                              <w:rPr>
                                <w:rFonts w:ascii="ＭＳ 明朝" w:eastAsia="ＭＳ 明朝" w:hAnsi="ＭＳ 明朝" w:hint="eastAsia"/>
                                <w:szCs w:val="24"/>
                              </w:rPr>
                              <w:t>億円の効果が生じるとの結果を得た。</w:t>
                            </w:r>
                          </w:p>
                          <w:p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二重行政の解消については、府市協議の実績から総合区では</w:t>
                            </w:r>
                            <w:r w:rsidR="008B39FB">
                              <w:rPr>
                                <w:rFonts w:ascii="ＭＳ 明朝" w:eastAsia="ＭＳ 明朝" w:hAnsi="ＭＳ 明朝"/>
                                <w:szCs w:val="24"/>
                              </w:rPr>
                              <w:t>4</w:t>
                            </w:r>
                            <w:r>
                              <w:rPr>
                                <w:rFonts w:ascii="ＭＳ 明朝" w:eastAsia="ＭＳ 明朝" w:hAnsi="ＭＳ 明朝" w:hint="eastAsia"/>
                                <w:szCs w:val="24"/>
                              </w:rPr>
                              <w:t>億円～3</w:t>
                            </w:r>
                            <w:r w:rsidR="008B39FB">
                              <w:rPr>
                                <w:rFonts w:ascii="ＭＳ 明朝" w:eastAsia="ＭＳ 明朝" w:hAnsi="ＭＳ 明朝"/>
                                <w:szCs w:val="24"/>
                              </w:rPr>
                              <w:t>9</w:t>
                            </w:r>
                            <w:r>
                              <w:rPr>
                                <w:rFonts w:ascii="ＭＳ 明朝" w:eastAsia="ＭＳ 明朝" w:hAnsi="ＭＳ 明朝" w:hint="eastAsia"/>
                                <w:szCs w:val="24"/>
                              </w:rPr>
                              <w:t>億円、広域機能の一元化された特別区では</w:t>
                            </w:r>
                            <w:r w:rsidR="00994CE3">
                              <w:rPr>
                                <w:rFonts w:ascii="ＭＳ 明朝" w:eastAsia="ＭＳ 明朝" w:hAnsi="ＭＳ 明朝" w:hint="eastAsia"/>
                                <w:szCs w:val="24"/>
                              </w:rPr>
                              <w:t>3</w:t>
                            </w:r>
                            <w:r w:rsidR="00994CE3">
                              <w:rPr>
                                <w:rFonts w:ascii="ＭＳ 明朝" w:eastAsia="ＭＳ 明朝" w:hAnsi="ＭＳ 明朝"/>
                                <w:szCs w:val="24"/>
                              </w:rPr>
                              <w:t>9</w:t>
                            </w:r>
                            <w:r>
                              <w:rPr>
                                <w:rFonts w:ascii="ＭＳ 明朝" w:eastAsia="ＭＳ 明朝" w:hAnsi="ＭＳ 明朝" w:hint="eastAsia"/>
                                <w:szCs w:val="24"/>
                              </w:rPr>
                              <w:t>億円～</w:t>
                            </w:r>
                            <w:r w:rsidR="00994CE3">
                              <w:rPr>
                                <w:rFonts w:ascii="ＭＳ 明朝" w:eastAsia="ＭＳ 明朝" w:hAnsi="ＭＳ 明朝" w:hint="eastAsia"/>
                                <w:szCs w:val="24"/>
                              </w:rPr>
                              <w:t>6</w:t>
                            </w:r>
                            <w:r w:rsidR="00994CE3">
                              <w:rPr>
                                <w:rFonts w:ascii="ＭＳ 明朝" w:eastAsia="ＭＳ 明朝" w:hAnsi="ＭＳ 明朝"/>
                                <w:szCs w:val="24"/>
                              </w:rPr>
                              <w:t>7</w:t>
                            </w:r>
                            <w:r>
                              <w:rPr>
                                <w:rFonts w:ascii="ＭＳ 明朝" w:eastAsia="ＭＳ 明朝" w:hAnsi="ＭＳ 明朝" w:hint="eastAsia"/>
                                <w:szCs w:val="24"/>
                              </w:rPr>
                              <w:t>億円の効果が生じるとの結論を得た。</w:t>
                            </w:r>
                          </w:p>
                          <w:p w:rsidR="00CB6136" w:rsidRDefault="00CB6136" w:rsidP="00723F0E">
                            <w:pPr>
                              <w:pStyle w:val="a3"/>
                              <w:numPr>
                                <w:ilvl w:val="0"/>
                                <w:numId w:val="7"/>
                              </w:numPr>
                              <w:ind w:leftChars="0"/>
                              <w:rPr>
                                <w:rFonts w:ascii="ＭＳ 明朝" w:eastAsia="ＭＳ 明朝" w:hAnsi="ＭＳ 明朝"/>
                                <w:szCs w:val="24"/>
                              </w:rPr>
                            </w:pPr>
                            <w:r w:rsidRPr="001D0659">
                              <w:rPr>
                                <w:rFonts w:ascii="ＭＳ 明朝" w:eastAsia="ＭＳ 明朝" w:hAnsi="ＭＳ 明朝" w:hint="eastAsia"/>
                                <w:szCs w:val="24"/>
                              </w:rPr>
                              <w:t>政策効果分析による経済効果</w:t>
                            </w:r>
                            <w:r w:rsidR="00B307FE">
                              <w:rPr>
                                <w:rFonts w:ascii="ＭＳ 明朝" w:eastAsia="ＭＳ 明朝" w:hAnsi="ＭＳ 明朝" w:hint="eastAsia"/>
                                <w:szCs w:val="24"/>
                              </w:rPr>
                              <w:t>については</w:t>
                            </w:r>
                            <w:r w:rsidRPr="001D0659">
                              <w:rPr>
                                <w:rFonts w:ascii="ＭＳ 明朝" w:eastAsia="ＭＳ 明朝" w:hAnsi="ＭＳ 明朝" w:hint="eastAsia"/>
                                <w:szCs w:val="24"/>
                              </w:rPr>
                              <w:t>、意思決定の迅速化による社会資本整備の進展の効果として、交通インフラをモデルにした場合、</w:t>
                            </w:r>
                            <w:r w:rsidR="00723F0E" w:rsidRPr="00723F0E">
                              <w:rPr>
                                <w:rFonts w:ascii="ＭＳ 明朝" w:eastAsia="ＭＳ 明朝" w:hAnsi="ＭＳ 明朝" w:hint="eastAsia"/>
                                <w:szCs w:val="24"/>
                              </w:rPr>
                              <w:t>総合区であれば、指定都市都道府県調整会議による協議の実現性、</w:t>
                            </w:r>
                            <w:r w:rsidRPr="001D0659">
                              <w:rPr>
                                <w:rFonts w:ascii="ＭＳ 明朝" w:eastAsia="ＭＳ 明朝" w:hAnsi="ＭＳ 明朝" w:hint="eastAsia"/>
                                <w:szCs w:val="24"/>
                              </w:rPr>
                              <w:t>期間をこれまでの府市協議の実績から導くことで、ゼロから</w:t>
                            </w:r>
                            <w:r w:rsidR="00D93A2A">
                              <w:rPr>
                                <w:rFonts w:ascii="ＭＳ 明朝" w:eastAsia="ＭＳ 明朝" w:hAnsi="ＭＳ 明朝" w:hint="eastAsia"/>
                                <w:szCs w:val="24"/>
                              </w:rPr>
                              <w:t>4,2</w:t>
                            </w:r>
                            <w:r w:rsidR="00994CE3">
                              <w:rPr>
                                <w:rFonts w:ascii="ＭＳ 明朝" w:eastAsia="ＭＳ 明朝" w:hAnsi="ＭＳ 明朝"/>
                                <w:szCs w:val="24"/>
                              </w:rPr>
                              <w:t>18</w:t>
                            </w:r>
                            <w:r w:rsidR="00D93A2A" w:rsidRPr="001D0659">
                              <w:rPr>
                                <w:rFonts w:ascii="ＭＳ 明朝" w:eastAsia="ＭＳ 明朝" w:hAnsi="ＭＳ 明朝" w:hint="eastAsia"/>
                                <w:szCs w:val="24"/>
                              </w:rPr>
                              <w:t>億円</w:t>
                            </w:r>
                            <w:r w:rsidRPr="001D0659">
                              <w:rPr>
                                <w:rFonts w:ascii="ＭＳ 明朝" w:eastAsia="ＭＳ 明朝" w:hAnsi="ＭＳ 明朝" w:hint="eastAsia"/>
                                <w:szCs w:val="24"/>
                              </w:rPr>
                              <w:t>の効果。特別区であれば、広域機能が一元化され、協議の必要がなくなることで、速やかな意思決定のもと迅速に社会資本整備が進むとして、</w:t>
                            </w:r>
                            <w:r w:rsidR="00AC5982">
                              <w:rPr>
                                <w:rFonts w:ascii="ＭＳ 明朝" w:eastAsia="ＭＳ 明朝" w:hAnsi="ＭＳ 明朝" w:hint="eastAsia"/>
                                <w:szCs w:val="24"/>
                              </w:rPr>
                              <w:t>4,</w:t>
                            </w:r>
                            <w:r w:rsidR="00994CE3">
                              <w:rPr>
                                <w:rFonts w:ascii="ＭＳ 明朝" w:eastAsia="ＭＳ 明朝" w:hAnsi="ＭＳ 明朝"/>
                                <w:szCs w:val="24"/>
                              </w:rPr>
                              <w:t>867</w:t>
                            </w:r>
                            <w:r w:rsidR="00AC5982" w:rsidRPr="001D0659">
                              <w:rPr>
                                <w:rFonts w:ascii="ＭＳ 明朝" w:eastAsia="ＭＳ 明朝" w:hAnsi="ＭＳ 明朝" w:hint="eastAsia"/>
                                <w:szCs w:val="24"/>
                              </w:rPr>
                              <w:t>億円</w:t>
                            </w:r>
                            <w:r w:rsidRPr="001D0659">
                              <w:rPr>
                                <w:rFonts w:ascii="ＭＳ 明朝" w:eastAsia="ＭＳ 明朝" w:hAnsi="ＭＳ 明朝" w:hint="eastAsia"/>
                                <w:szCs w:val="24"/>
                              </w:rPr>
                              <w:t>の効果が生じるとの結論を得た。</w:t>
                            </w:r>
                          </w:p>
                          <w:p w:rsidR="00994CE3" w:rsidRPr="00142802" w:rsidRDefault="00CB6136" w:rsidP="00D50438">
                            <w:pPr>
                              <w:pStyle w:val="a3"/>
                              <w:numPr>
                                <w:ilvl w:val="0"/>
                                <w:numId w:val="7"/>
                              </w:numPr>
                              <w:ind w:leftChars="0"/>
                              <w:rPr>
                                <w:rFonts w:ascii="ＭＳ 明朝" w:eastAsia="ＭＳ 明朝" w:hAnsi="ＭＳ 明朝"/>
                                <w:szCs w:val="24"/>
                              </w:rPr>
                            </w:pPr>
                            <w:r w:rsidRPr="00142802">
                              <w:rPr>
                                <w:rFonts w:ascii="ＭＳ 明朝" w:eastAsia="ＭＳ 明朝" w:hAnsi="ＭＳ 明朝" w:hint="eastAsia"/>
                                <w:szCs w:val="24"/>
                              </w:rPr>
                              <w:t>マクロ計量</w:t>
                            </w:r>
                            <w:r w:rsidR="00994CE3" w:rsidRPr="00142802">
                              <w:rPr>
                                <w:rFonts w:ascii="ＭＳ 明朝" w:eastAsia="ＭＳ 明朝" w:hAnsi="ＭＳ 明朝" w:hint="eastAsia"/>
                                <w:szCs w:val="24"/>
                              </w:rPr>
                              <w:t>経済</w:t>
                            </w:r>
                            <w:r w:rsidRPr="00142802">
                              <w:rPr>
                                <w:rFonts w:ascii="ＭＳ 明朝" w:eastAsia="ＭＳ 明朝" w:hAnsi="ＭＳ 明朝" w:hint="eastAsia"/>
                                <w:szCs w:val="24"/>
                              </w:rPr>
                              <w:t>モデルにおいても、総合区、特別区それぞれの効率化によって生み出される財政資金をもとに、</w:t>
                            </w:r>
                            <w:r w:rsidR="007C2A45" w:rsidRPr="00142802">
                              <w:rPr>
                                <w:rFonts w:ascii="ＭＳ 明朝" w:eastAsia="ＭＳ 明朝" w:hAnsi="ＭＳ 明朝" w:hint="eastAsia"/>
                                <w:szCs w:val="24"/>
                              </w:rPr>
                              <w:t>社会資本</w:t>
                            </w:r>
                            <w:r w:rsidR="007C2A45" w:rsidRPr="00142802">
                              <w:rPr>
                                <w:rFonts w:ascii="ＭＳ 明朝" w:eastAsia="ＭＳ 明朝" w:hAnsi="ＭＳ 明朝"/>
                                <w:szCs w:val="24"/>
                              </w:rPr>
                              <w:t>整備</w:t>
                            </w:r>
                            <w:r w:rsidR="007C2A45" w:rsidRPr="00142802">
                              <w:rPr>
                                <w:rFonts w:ascii="ＭＳ 明朝" w:eastAsia="ＭＳ 明朝" w:hAnsi="ＭＳ 明朝" w:hint="eastAsia"/>
                                <w:szCs w:val="24"/>
                              </w:rPr>
                              <w:t>による</w:t>
                            </w:r>
                            <w:r w:rsidRPr="00142802">
                              <w:rPr>
                                <w:rFonts w:ascii="ＭＳ 明朝" w:eastAsia="ＭＳ 明朝" w:hAnsi="ＭＳ 明朝" w:hint="eastAsia"/>
                                <w:szCs w:val="24"/>
                              </w:rPr>
                              <w:t>限界生産力を加味</w:t>
                            </w:r>
                            <w:r w:rsidR="00994CE3" w:rsidRPr="00142802">
                              <w:rPr>
                                <w:rFonts w:ascii="ＭＳ 明朝" w:eastAsia="ＭＳ 明朝" w:hAnsi="ＭＳ 明朝" w:hint="eastAsia"/>
                                <w:szCs w:val="24"/>
                              </w:rPr>
                              <w:t>し、生産波及効果を含めると、</w:t>
                            </w:r>
                            <w:r w:rsidRPr="00142802">
                              <w:rPr>
                                <w:rFonts w:ascii="ＭＳ 明朝" w:eastAsia="ＭＳ 明朝" w:hAnsi="ＭＳ 明朝" w:hint="eastAsia"/>
                                <w:szCs w:val="24"/>
                              </w:rPr>
                              <w:t>総合区で最大</w:t>
                            </w:r>
                            <w:r w:rsidR="00082408" w:rsidRPr="00142802">
                              <w:rPr>
                                <w:rFonts w:ascii="ＭＳ 明朝" w:eastAsia="ＭＳ 明朝" w:hAnsi="ＭＳ 明朝" w:hint="eastAsia"/>
                                <w:szCs w:val="24"/>
                              </w:rPr>
                              <w:t>85</w:t>
                            </w:r>
                            <w:r w:rsidR="00994CE3" w:rsidRPr="00142802">
                              <w:rPr>
                                <w:rFonts w:ascii="ＭＳ 明朝" w:eastAsia="ＭＳ 明朝" w:hAnsi="ＭＳ 明朝"/>
                                <w:szCs w:val="24"/>
                              </w:rPr>
                              <w:t>3</w:t>
                            </w:r>
                            <w:r w:rsidR="00082408" w:rsidRPr="00142802">
                              <w:rPr>
                                <w:rFonts w:ascii="ＭＳ 明朝" w:eastAsia="ＭＳ 明朝" w:hAnsi="ＭＳ 明朝" w:hint="eastAsia"/>
                                <w:szCs w:val="24"/>
                              </w:rPr>
                              <w:t>億円</w:t>
                            </w:r>
                            <w:r w:rsidRPr="00142802">
                              <w:rPr>
                                <w:rFonts w:ascii="ＭＳ 明朝" w:eastAsia="ＭＳ 明朝" w:hAnsi="ＭＳ 明朝" w:hint="eastAsia"/>
                                <w:szCs w:val="24"/>
                              </w:rPr>
                              <w:t>、特別区で最大</w:t>
                            </w:r>
                            <w:r w:rsidR="00082408" w:rsidRPr="00142802">
                              <w:rPr>
                                <w:rFonts w:ascii="ＭＳ 明朝" w:eastAsia="ＭＳ 明朝" w:hAnsi="ＭＳ 明朝" w:hint="eastAsia"/>
                                <w:szCs w:val="24"/>
                              </w:rPr>
                              <w:t>1</w:t>
                            </w:r>
                            <w:r w:rsidRPr="00142802">
                              <w:rPr>
                                <w:rFonts w:ascii="ＭＳ 明朝" w:eastAsia="ＭＳ 明朝" w:hAnsi="ＭＳ 明朝" w:hint="eastAsia"/>
                                <w:szCs w:val="24"/>
                              </w:rPr>
                              <w:t>兆</w:t>
                            </w:r>
                            <w:r w:rsidR="00E51FE6" w:rsidRPr="00142802">
                              <w:rPr>
                                <w:rFonts w:ascii="ＭＳ 明朝" w:eastAsia="ＭＳ 明朝" w:hAnsi="ＭＳ 明朝" w:hint="eastAsia"/>
                                <w:szCs w:val="24"/>
                              </w:rPr>
                              <w:t>1,5</w:t>
                            </w:r>
                            <w:r w:rsidR="00994CE3" w:rsidRPr="00142802">
                              <w:rPr>
                                <w:rFonts w:ascii="ＭＳ 明朝" w:eastAsia="ＭＳ 明朝" w:hAnsi="ＭＳ 明朝"/>
                                <w:szCs w:val="24"/>
                              </w:rPr>
                              <w:t>11</w:t>
                            </w:r>
                            <w:r w:rsidRPr="00142802">
                              <w:rPr>
                                <w:rFonts w:ascii="ＭＳ 明朝" w:eastAsia="ＭＳ 明朝" w:hAnsi="ＭＳ 明朝" w:hint="eastAsia"/>
                                <w:szCs w:val="24"/>
                              </w:rPr>
                              <w:t>億円の効果との結論となった。</w:t>
                            </w:r>
                          </w:p>
                          <w:p w:rsidR="00CB6136" w:rsidRPr="008A1D63" w:rsidRDefault="00CB6136" w:rsidP="00CB6136">
                            <w:pPr>
                              <w:ind w:left="453" w:hangingChars="200" w:hanging="453"/>
                              <w:rPr>
                                <w:rFonts w:ascii="ＭＳ Ｐゴシック" w:eastAsia="ＭＳ Ｐゴシック" w:hAnsi="ＭＳ Ｐゴシック"/>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２）理論的には、制度のリフォームとデザインには改革に伴うコストが異なることには注意を払う</w:t>
                            </w:r>
                            <w:r>
                              <w:rPr>
                                <w:rFonts w:ascii="ＭＳ Ｐゴシック" w:eastAsia="ＭＳ Ｐゴシック" w:hAnsi="ＭＳ Ｐゴシック" w:hint="eastAsia"/>
                                <w:szCs w:val="24"/>
                              </w:rPr>
                              <w:t>必要がある。本報告では、そうした側面の検討は行っていないが、その点を考慮したとしても</w:t>
                            </w:r>
                            <w:r>
                              <w:rPr>
                                <w:rFonts w:ascii="ＭＳ Ｐゴシック" w:eastAsia="ＭＳ Ｐゴシック" w:hAnsi="ＭＳ Ｐゴシック" w:hint="eastAsia"/>
                                <w:b/>
                                <w:szCs w:val="24"/>
                              </w:rPr>
                              <w:t>、大都市制度の議論を深めていく</w:t>
                            </w:r>
                            <w:r w:rsidRPr="008A1D63">
                              <w:rPr>
                                <w:rFonts w:ascii="ＭＳ Ｐゴシック" w:eastAsia="ＭＳ Ｐゴシック" w:hAnsi="ＭＳ Ｐゴシック" w:hint="eastAsia"/>
                                <w:b/>
                                <w:szCs w:val="24"/>
                              </w:rPr>
                              <w:t>ことには大きな意義</w:t>
                            </w:r>
                            <w:r w:rsidRPr="008A1D63">
                              <w:rPr>
                                <w:rFonts w:ascii="ＭＳ Ｐゴシック" w:eastAsia="ＭＳ Ｐゴシック" w:hAnsi="ＭＳ Ｐゴシック" w:hint="eastAsia"/>
                                <w:szCs w:val="24"/>
                              </w:rPr>
                              <w:t>があるものと考える。</w:t>
                            </w:r>
                          </w:p>
                          <w:p w:rsidR="00CB6136" w:rsidRDefault="00CB6136" w:rsidP="00CB6136">
                            <w:pPr>
                              <w:ind w:left="453" w:hangingChars="200" w:hanging="453"/>
                              <w:rPr>
                                <w:rFonts w:ascii="ＭＳ Ｐゴシック" w:eastAsia="ＭＳ Ｐゴシック" w:hAnsi="ＭＳ Ｐゴシック"/>
                                <w:b/>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３）制度改革により生み出される財政資金を効率的な公共投資・社会資本蓄積に投じることにより</w:t>
                            </w:r>
                            <w:r w:rsidRPr="008A1D63">
                              <w:rPr>
                                <w:rFonts w:ascii="ＭＳ Ｐゴシック" w:eastAsia="ＭＳ Ｐゴシック" w:hAnsi="ＭＳ Ｐゴシック" w:hint="eastAsia"/>
                                <w:b/>
                                <w:szCs w:val="24"/>
                              </w:rPr>
                              <w:t>大都市としての機能向上を図ることができれば、</w:t>
                            </w:r>
                            <w:r w:rsidRPr="008A1D63">
                              <w:rPr>
                                <w:rFonts w:ascii="ＭＳ Ｐゴシック" w:eastAsia="ＭＳ Ｐゴシック" w:hAnsi="ＭＳ Ｐゴシック" w:hint="eastAsia"/>
                                <w:szCs w:val="24"/>
                              </w:rPr>
                              <w:t>本報告で示した経済効果に加えて、現在に至るまでに東京が実現した</w:t>
                            </w:r>
                            <w:r w:rsidRPr="008A1D63">
                              <w:rPr>
                                <w:rFonts w:ascii="ＭＳ Ｐゴシック" w:eastAsia="ＭＳ Ｐゴシック" w:hAnsi="ＭＳ Ｐゴシック" w:hint="eastAsia"/>
                                <w:b/>
                                <w:szCs w:val="24"/>
                              </w:rPr>
                              <w:t>民間資本へのグラビティ効果(引付効果)がより大きく発生する可能性が期待できる。</w:t>
                            </w:r>
                          </w:p>
                          <w:p w:rsidR="00A428E4" w:rsidRDefault="00A428E4" w:rsidP="00A428E4">
                            <w:pPr>
                              <w:ind w:left="453" w:hangingChars="200" w:hanging="453"/>
                              <w:rPr>
                                <w:rFonts w:ascii="ＭＳ Ｐゴシック" w:eastAsia="ＭＳ Ｐゴシック" w:hAnsi="ＭＳ Ｐゴシック"/>
                                <w:szCs w:val="24"/>
                              </w:rPr>
                            </w:pPr>
                          </w:p>
                          <w:p w:rsidR="00CB6136" w:rsidRDefault="00142802" w:rsidP="00A428E4">
                            <w:pPr>
                              <w:ind w:firstLineChars="100" w:firstLine="227"/>
                              <w:rPr>
                                <w:rFonts w:ascii="ＭＳ 明朝" w:eastAsia="ＭＳ 明朝" w:hAnsi="ＭＳ 明朝"/>
                                <w:szCs w:val="24"/>
                              </w:rPr>
                            </w:pPr>
                            <w:r w:rsidRPr="00142802">
                              <w:rPr>
                                <w:rFonts w:ascii="ＭＳ Ｐゴシック" w:eastAsia="ＭＳ Ｐゴシック" w:hAnsi="ＭＳ Ｐゴシック" w:hint="eastAsia"/>
                                <w:szCs w:val="24"/>
                              </w:rPr>
                              <w:t>以上、今回の調査からは、大都市制度の選択が経済効果に結びつくものであること、また、選択の内容によってその効果に差異が生じることとなっている。今回の報告書が今後の大都市制度改革に関する議論に資するものとなれば幸い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75pt;margin-top:13.05pt;width:465.75pt;height:6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1uAIAAMsFAAAOAAAAZHJzL2Uyb0RvYy54bWysVM1O3DAQvlfqO1i+l2QXFsqKLNqCqCoh&#10;QIWKs9ex2QjH49reTbZHVkJ9iL5C1XOfJy/SsZP9gXKh6iUZe74Zz3zzc3Rcl4rMhXUF6Iz2dlJK&#10;hOaQF/ouo19uzt69p8R5pnOmQIuMLoSjx6O3b44qMxR9mILKhSXoRLthZTI69d4Mk8TxqSiZ2wEj&#10;NCol2JJ5PNq7JLesQu+lSvppup9UYHNjgQvn8Pa0VdJR9C+l4P5SSic8URnF2Hz82vidhG8yOmLD&#10;O8vMtOBdGOwfoihZofHRtatT5hmZ2eIvV2XBLTiQfodDmYCUBRcxB8ymlz7L5nrKjIi5IDnOrGly&#10;/88tv5hfWVLkGe1TolmJJWqWj83Dz+bhd7P8Tprlj2a5bB5+4Zn0A12VcUO0ujZo5+sPUGPZV/cO&#10;LwMLtbRl+GN+BPVI/GJNtqg94Xg5OOwN0v6AEo66g4PDQbq7G/wkG3Njnf8ooCRByKjFakaS2fzc&#10;+Ra6goTXHKgiPyuUiofQQeJEWTJnWHvlY5Do/AlKaVJldH93kEbHT3TB9dp+ohi/78LbQqE/pcNz&#10;IvZaF1agqKUiSn6hRMAo/VlI5Doy8kKMjHOh13FGdEBJzOg1hh1+E9VrjNs80CK+DNqvjctCg21Z&#10;ekptfr+iVrZ4rOFW3kH09aSOTRYrHG4mkC+wgSy0E+kMPyuQ73Pm/BWzOILYM7hW/CV+pAIsEnQS&#10;JVOw3166D3icDNRSUuFIZ9R9nTErKFGfNM7MYW9vL+yAeNgbHPTxYLc1k22NnpUngJ3TwwVmeBQD&#10;3quVKC2Ut7h9xuFVVDHN8e2M+pV44ttFg9uLi/E4gnDqDfPn+trw4DqwHPrspr5l1nR97nFELmA1&#10;/Gz4rN1bbLDUMJ55kEWchQ2rHf+4MeI0ddstrKTtc0RtdvDoDwAAAP//AwBQSwMEFAAGAAgAAAAh&#10;AKwneU/eAAAACgEAAA8AAABkcnMvZG93bnJldi54bWxMj8FOwzAQRO9I/IO1SNxap6la0jROBahw&#10;4URBPW9j17aI7ch20/D3LCc4ruZp9k2zm1zPRhWTDV7AYl4AU74L0not4PPjZVYBSxm9xD54JeBb&#10;Jdi1tzcN1jJc/bsaD1kzKvGpRgEm56HmPHVGOUzzMChP2TlEh5nOqLmMeKVy1/OyKNbcofX0weCg&#10;no3qvg4XJ2D/pDe6qzCafSWtHafj+U2/CnF/Nz1ugWU15T8YfvVJHVpyOoWLl4n1AmbLFZECyvUC&#10;GOWbsqJtJwLL1fIBeNvw/xPaHwAAAP//AwBQSwECLQAUAAYACAAAACEAtoM4kv4AAADhAQAAEwAA&#10;AAAAAAAAAAAAAAAAAAAAW0NvbnRlbnRfVHlwZXNdLnhtbFBLAQItABQABgAIAAAAIQA4/SH/1gAA&#10;AJQBAAALAAAAAAAAAAAAAAAAAC8BAABfcmVscy8ucmVsc1BLAQItABQABgAIAAAAIQA+eGp1uAIA&#10;AMsFAAAOAAAAAAAAAAAAAAAAAC4CAABkcnMvZTJvRG9jLnhtbFBLAQItABQABgAIAAAAIQCsJ3lP&#10;3gAAAAoBAAAPAAAAAAAAAAAAAAAAABIFAABkcnMvZG93bnJldi54bWxQSwUGAAAAAAQABADzAAAA&#10;HQYAAAAA&#10;" fillcolor="white [3201]" strokeweight=".5pt">
                <v:textbox>
                  <w:txbxContent>
                    <w:p w:rsidR="00CB6136" w:rsidRPr="001257A9" w:rsidRDefault="00CB6136" w:rsidP="00142802">
                      <w:pPr>
                        <w:ind w:left="455" w:hangingChars="200" w:hanging="455"/>
                        <w:rPr>
                          <w:rFonts w:ascii="ＭＳ Ｐゴシック" w:eastAsia="ＭＳ Ｐゴシック" w:hAnsi="ＭＳ Ｐゴシック"/>
                          <w:b/>
                          <w:szCs w:val="24"/>
                        </w:rPr>
                      </w:pPr>
                      <w:r>
                        <w:rPr>
                          <w:rFonts w:ascii="ＭＳ Ｐゴシック" w:eastAsia="ＭＳ Ｐゴシック" w:hAnsi="ＭＳ Ｐゴシック" w:hint="eastAsia"/>
                          <w:b/>
                          <w:szCs w:val="24"/>
                        </w:rPr>
                        <w:t>（１）</w:t>
                      </w:r>
                      <w:r w:rsidRPr="001257A9">
                        <w:rPr>
                          <w:rFonts w:ascii="ＭＳ Ｐゴシック" w:eastAsia="ＭＳ Ｐゴシック" w:hAnsi="ＭＳ Ｐゴシック" w:hint="eastAsia"/>
                          <w:b/>
                          <w:szCs w:val="24"/>
                        </w:rPr>
                        <w:t>府市の連携の強化の程度は財政効率化や経済効果に影響を与える。</w:t>
                      </w:r>
                    </w:p>
                    <w:p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基礎自治行政の財政効率化効果として、総合区は</w:t>
                      </w:r>
                      <w:r w:rsidRPr="001D0659">
                        <w:rPr>
                          <w:rFonts w:ascii="ＭＳ 明朝" w:eastAsia="ＭＳ 明朝" w:hAnsi="ＭＳ 明朝" w:hint="eastAsia"/>
                          <w:szCs w:val="24"/>
                        </w:rPr>
                        <w:t>行政区と</w:t>
                      </w:r>
                      <w:r>
                        <w:rPr>
                          <w:rFonts w:ascii="ＭＳ 明朝" w:eastAsia="ＭＳ 明朝" w:hAnsi="ＭＳ 明朝" w:hint="eastAsia"/>
                          <w:szCs w:val="24"/>
                        </w:rPr>
                        <w:t>、特別区は市町村と</w:t>
                      </w:r>
                      <w:r w:rsidRPr="001D0659">
                        <w:rPr>
                          <w:rFonts w:ascii="ＭＳ 明朝" w:eastAsia="ＭＳ 明朝" w:hAnsi="ＭＳ 明朝" w:hint="eastAsia"/>
                          <w:szCs w:val="24"/>
                        </w:rPr>
                        <w:t>の比較により、それぞれの最適規模を導くことで、総合区では、10年間で</w:t>
                      </w:r>
                      <w:r w:rsidR="008B39FB">
                        <w:rPr>
                          <w:rFonts w:ascii="ＭＳ 明朝" w:eastAsia="ＭＳ 明朝" w:hAnsi="ＭＳ 明朝"/>
                          <w:szCs w:val="24"/>
                        </w:rPr>
                        <w:t>3</w:t>
                      </w:r>
                      <w:r w:rsidRPr="001D0659">
                        <w:rPr>
                          <w:rFonts w:ascii="ＭＳ 明朝" w:eastAsia="ＭＳ 明朝" w:hAnsi="ＭＳ 明朝" w:hint="eastAsia"/>
                          <w:szCs w:val="24"/>
                        </w:rPr>
                        <w:t>億円から712億円、特別区では1兆</w:t>
                      </w:r>
                      <w:r w:rsidR="004F514A" w:rsidRPr="001D0659">
                        <w:rPr>
                          <w:rFonts w:ascii="ＭＳ 明朝" w:eastAsia="ＭＳ 明朝" w:hAnsi="ＭＳ 明朝" w:hint="eastAsia"/>
                          <w:szCs w:val="24"/>
                        </w:rPr>
                        <w:t>1,040</w:t>
                      </w:r>
                      <w:r w:rsidRPr="001D0659">
                        <w:rPr>
                          <w:rFonts w:ascii="ＭＳ 明朝" w:eastAsia="ＭＳ 明朝" w:hAnsi="ＭＳ 明朝" w:hint="eastAsia"/>
                          <w:szCs w:val="24"/>
                        </w:rPr>
                        <w:t>億～1兆</w:t>
                      </w:r>
                      <w:r w:rsidR="00654043" w:rsidRPr="001D0659">
                        <w:rPr>
                          <w:rFonts w:ascii="ＭＳ 明朝" w:eastAsia="ＭＳ 明朝" w:hAnsi="ＭＳ 明朝" w:hint="eastAsia"/>
                          <w:szCs w:val="24"/>
                        </w:rPr>
                        <w:t>1,409</w:t>
                      </w:r>
                      <w:r w:rsidRPr="001D0659">
                        <w:rPr>
                          <w:rFonts w:ascii="ＭＳ 明朝" w:eastAsia="ＭＳ 明朝" w:hAnsi="ＭＳ 明朝" w:hint="eastAsia"/>
                          <w:szCs w:val="24"/>
                        </w:rPr>
                        <w:t>億円の効果が生じるとの結果を得た。</w:t>
                      </w:r>
                    </w:p>
                    <w:p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二重行政の解消については、府市協議の実績から総合区では</w:t>
                      </w:r>
                      <w:r w:rsidR="008B39FB">
                        <w:rPr>
                          <w:rFonts w:ascii="ＭＳ 明朝" w:eastAsia="ＭＳ 明朝" w:hAnsi="ＭＳ 明朝"/>
                          <w:szCs w:val="24"/>
                        </w:rPr>
                        <w:t>4</w:t>
                      </w:r>
                      <w:r>
                        <w:rPr>
                          <w:rFonts w:ascii="ＭＳ 明朝" w:eastAsia="ＭＳ 明朝" w:hAnsi="ＭＳ 明朝" w:hint="eastAsia"/>
                          <w:szCs w:val="24"/>
                        </w:rPr>
                        <w:t>億円～3</w:t>
                      </w:r>
                      <w:r w:rsidR="008B39FB">
                        <w:rPr>
                          <w:rFonts w:ascii="ＭＳ 明朝" w:eastAsia="ＭＳ 明朝" w:hAnsi="ＭＳ 明朝"/>
                          <w:szCs w:val="24"/>
                        </w:rPr>
                        <w:t>9</w:t>
                      </w:r>
                      <w:r>
                        <w:rPr>
                          <w:rFonts w:ascii="ＭＳ 明朝" w:eastAsia="ＭＳ 明朝" w:hAnsi="ＭＳ 明朝" w:hint="eastAsia"/>
                          <w:szCs w:val="24"/>
                        </w:rPr>
                        <w:t>億円、広域機能の一元化された特別区では</w:t>
                      </w:r>
                      <w:r w:rsidR="00994CE3">
                        <w:rPr>
                          <w:rFonts w:ascii="ＭＳ 明朝" w:eastAsia="ＭＳ 明朝" w:hAnsi="ＭＳ 明朝" w:hint="eastAsia"/>
                          <w:szCs w:val="24"/>
                        </w:rPr>
                        <w:t>3</w:t>
                      </w:r>
                      <w:r w:rsidR="00994CE3">
                        <w:rPr>
                          <w:rFonts w:ascii="ＭＳ 明朝" w:eastAsia="ＭＳ 明朝" w:hAnsi="ＭＳ 明朝"/>
                          <w:szCs w:val="24"/>
                        </w:rPr>
                        <w:t>9</w:t>
                      </w:r>
                      <w:r>
                        <w:rPr>
                          <w:rFonts w:ascii="ＭＳ 明朝" w:eastAsia="ＭＳ 明朝" w:hAnsi="ＭＳ 明朝" w:hint="eastAsia"/>
                          <w:szCs w:val="24"/>
                        </w:rPr>
                        <w:t>億円～</w:t>
                      </w:r>
                      <w:r w:rsidR="00994CE3">
                        <w:rPr>
                          <w:rFonts w:ascii="ＭＳ 明朝" w:eastAsia="ＭＳ 明朝" w:hAnsi="ＭＳ 明朝" w:hint="eastAsia"/>
                          <w:szCs w:val="24"/>
                        </w:rPr>
                        <w:t>6</w:t>
                      </w:r>
                      <w:r w:rsidR="00994CE3">
                        <w:rPr>
                          <w:rFonts w:ascii="ＭＳ 明朝" w:eastAsia="ＭＳ 明朝" w:hAnsi="ＭＳ 明朝"/>
                          <w:szCs w:val="24"/>
                        </w:rPr>
                        <w:t>7</w:t>
                      </w:r>
                      <w:r>
                        <w:rPr>
                          <w:rFonts w:ascii="ＭＳ 明朝" w:eastAsia="ＭＳ 明朝" w:hAnsi="ＭＳ 明朝" w:hint="eastAsia"/>
                          <w:szCs w:val="24"/>
                        </w:rPr>
                        <w:t>億円の効果が生じるとの結論を得た。</w:t>
                      </w:r>
                    </w:p>
                    <w:p w:rsidR="00CB6136" w:rsidRDefault="00CB6136" w:rsidP="00723F0E">
                      <w:pPr>
                        <w:pStyle w:val="a3"/>
                        <w:numPr>
                          <w:ilvl w:val="0"/>
                          <w:numId w:val="7"/>
                        </w:numPr>
                        <w:ind w:leftChars="0"/>
                        <w:rPr>
                          <w:rFonts w:ascii="ＭＳ 明朝" w:eastAsia="ＭＳ 明朝" w:hAnsi="ＭＳ 明朝"/>
                          <w:szCs w:val="24"/>
                        </w:rPr>
                      </w:pPr>
                      <w:r w:rsidRPr="001D0659">
                        <w:rPr>
                          <w:rFonts w:ascii="ＭＳ 明朝" w:eastAsia="ＭＳ 明朝" w:hAnsi="ＭＳ 明朝" w:hint="eastAsia"/>
                          <w:szCs w:val="24"/>
                        </w:rPr>
                        <w:t>政策効果分析による経済効果</w:t>
                      </w:r>
                      <w:r w:rsidR="00B307FE">
                        <w:rPr>
                          <w:rFonts w:ascii="ＭＳ 明朝" w:eastAsia="ＭＳ 明朝" w:hAnsi="ＭＳ 明朝" w:hint="eastAsia"/>
                          <w:szCs w:val="24"/>
                        </w:rPr>
                        <w:t>については</w:t>
                      </w:r>
                      <w:r w:rsidRPr="001D0659">
                        <w:rPr>
                          <w:rFonts w:ascii="ＭＳ 明朝" w:eastAsia="ＭＳ 明朝" w:hAnsi="ＭＳ 明朝" w:hint="eastAsia"/>
                          <w:szCs w:val="24"/>
                        </w:rPr>
                        <w:t>、意思決定の迅速化による社会資本整備の進展の効果として、交通インフラをモデルにした場合、</w:t>
                      </w:r>
                      <w:r w:rsidR="00723F0E" w:rsidRPr="00723F0E">
                        <w:rPr>
                          <w:rFonts w:ascii="ＭＳ 明朝" w:eastAsia="ＭＳ 明朝" w:hAnsi="ＭＳ 明朝" w:hint="eastAsia"/>
                          <w:szCs w:val="24"/>
                        </w:rPr>
                        <w:t>総合区であれば、指定都市都道府県調整会議による協議の実現性、</w:t>
                      </w:r>
                      <w:r w:rsidRPr="001D0659">
                        <w:rPr>
                          <w:rFonts w:ascii="ＭＳ 明朝" w:eastAsia="ＭＳ 明朝" w:hAnsi="ＭＳ 明朝" w:hint="eastAsia"/>
                          <w:szCs w:val="24"/>
                        </w:rPr>
                        <w:t>期間をこれまでの府市協議の実績から導くことで、ゼロから</w:t>
                      </w:r>
                      <w:r w:rsidR="00D93A2A">
                        <w:rPr>
                          <w:rFonts w:ascii="ＭＳ 明朝" w:eastAsia="ＭＳ 明朝" w:hAnsi="ＭＳ 明朝" w:hint="eastAsia"/>
                          <w:szCs w:val="24"/>
                        </w:rPr>
                        <w:t>4,2</w:t>
                      </w:r>
                      <w:r w:rsidR="00994CE3">
                        <w:rPr>
                          <w:rFonts w:ascii="ＭＳ 明朝" w:eastAsia="ＭＳ 明朝" w:hAnsi="ＭＳ 明朝"/>
                          <w:szCs w:val="24"/>
                        </w:rPr>
                        <w:t>18</w:t>
                      </w:r>
                      <w:r w:rsidR="00D93A2A" w:rsidRPr="001D0659">
                        <w:rPr>
                          <w:rFonts w:ascii="ＭＳ 明朝" w:eastAsia="ＭＳ 明朝" w:hAnsi="ＭＳ 明朝" w:hint="eastAsia"/>
                          <w:szCs w:val="24"/>
                        </w:rPr>
                        <w:t>億円</w:t>
                      </w:r>
                      <w:r w:rsidRPr="001D0659">
                        <w:rPr>
                          <w:rFonts w:ascii="ＭＳ 明朝" w:eastAsia="ＭＳ 明朝" w:hAnsi="ＭＳ 明朝" w:hint="eastAsia"/>
                          <w:szCs w:val="24"/>
                        </w:rPr>
                        <w:t>の効果。特別区であれば、広域機能が一元化され、協議の必要がなくなることで、速やかな意思決定のもと迅速に社会資本整備が進むとして、</w:t>
                      </w:r>
                      <w:r w:rsidR="00AC5982">
                        <w:rPr>
                          <w:rFonts w:ascii="ＭＳ 明朝" w:eastAsia="ＭＳ 明朝" w:hAnsi="ＭＳ 明朝" w:hint="eastAsia"/>
                          <w:szCs w:val="24"/>
                        </w:rPr>
                        <w:t>4,</w:t>
                      </w:r>
                      <w:r w:rsidR="00994CE3">
                        <w:rPr>
                          <w:rFonts w:ascii="ＭＳ 明朝" w:eastAsia="ＭＳ 明朝" w:hAnsi="ＭＳ 明朝"/>
                          <w:szCs w:val="24"/>
                        </w:rPr>
                        <w:t>867</w:t>
                      </w:r>
                      <w:r w:rsidR="00AC5982" w:rsidRPr="001D0659">
                        <w:rPr>
                          <w:rFonts w:ascii="ＭＳ 明朝" w:eastAsia="ＭＳ 明朝" w:hAnsi="ＭＳ 明朝" w:hint="eastAsia"/>
                          <w:szCs w:val="24"/>
                        </w:rPr>
                        <w:t>億円</w:t>
                      </w:r>
                      <w:r w:rsidRPr="001D0659">
                        <w:rPr>
                          <w:rFonts w:ascii="ＭＳ 明朝" w:eastAsia="ＭＳ 明朝" w:hAnsi="ＭＳ 明朝" w:hint="eastAsia"/>
                          <w:szCs w:val="24"/>
                        </w:rPr>
                        <w:t>の効果が生じるとの結論を得た。</w:t>
                      </w:r>
                    </w:p>
                    <w:p w:rsidR="00994CE3" w:rsidRPr="00142802" w:rsidRDefault="00CB6136" w:rsidP="00D50438">
                      <w:pPr>
                        <w:pStyle w:val="a3"/>
                        <w:numPr>
                          <w:ilvl w:val="0"/>
                          <w:numId w:val="7"/>
                        </w:numPr>
                        <w:ind w:leftChars="0"/>
                        <w:rPr>
                          <w:rFonts w:ascii="ＭＳ 明朝" w:eastAsia="ＭＳ 明朝" w:hAnsi="ＭＳ 明朝"/>
                          <w:szCs w:val="24"/>
                        </w:rPr>
                      </w:pPr>
                      <w:r w:rsidRPr="00142802">
                        <w:rPr>
                          <w:rFonts w:ascii="ＭＳ 明朝" w:eastAsia="ＭＳ 明朝" w:hAnsi="ＭＳ 明朝" w:hint="eastAsia"/>
                          <w:szCs w:val="24"/>
                        </w:rPr>
                        <w:t>マクロ計量</w:t>
                      </w:r>
                      <w:r w:rsidR="00994CE3" w:rsidRPr="00142802">
                        <w:rPr>
                          <w:rFonts w:ascii="ＭＳ 明朝" w:eastAsia="ＭＳ 明朝" w:hAnsi="ＭＳ 明朝" w:hint="eastAsia"/>
                          <w:szCs w:val="24"/>
                        </w:rPr>
                        <w:t>経済</w:t>
                      </w:r>
                      <w:r w:rsidRPr="00142802">
                        <w:rPr>
                          <w:rFonts w:ascii="ＭＳ 明朝" w:eastAsia="ＭＳ 明朝" w:hAnsi="ＭＳ 明朝" w:hint="eastAsia"/>
                          <w:szCs w:val="24"/>
                        </w:rPr>
                        <w:t>モデルにおいても、総合区、特別区それぞれの効率化によって生み出される財政資金をもとに、</w:t>
                      </w:r>
                      <w:r w:rsidR="007C2A45" w:rsidRPr="00142802">
                        <w:rPr>
                          <w:rFonts w:ascii="ＭＳ 明朝" w:eastAsia="ＭＳ 明朝" w:hAnsi="ＭＳ 明朝" w:hint="eastAsia"/>
                          <w:szCs w:val="24"/>
                        </w:rPr>
                        <w:t>社会資本</w:t>
                      </w:r>
                      <w:r w:rsidR="007C2A45" w:rsidRPr="00142802">
                        <w:rPr>
                          <w:rFonts w:ascii="ＭＳ 明朝" w:eastAsia="ＭＳ 明朝" w:hAnsi="ＭＳ 明朝"/>
                          <w:szCs w:val="24"/>
                        </w:rPr>
                        <w:t>整備</w:t>
                      </w:r>
                      <w:r w:rsidR="007C2A45" w:rsidRPr="00142802">
                        <w:rPr>
                          <w:rFonts w:ascii="ＭＳ 明朝" w:eastAsia="ＭＳ 明朝" w:hAnsi="ＭＳ 明朝" w:hint="eastAsia"/>
                          <w:szCs w:val="24"/>
                        </w:rPr>
                        <w:t>による</w:t>
                      </w:r>
                      <w:r w:rsidRPr="00142802">
                        <w:rPr>
                          <w:rFonts w:ascii="ＭＳ 明朝" w:eastAsia="ＭＳ 明朝" w:hAnsi="ＭＳ 明朝" w:hint="eastAsia"/>
                          <w:szCs w:val="24"/>
                        </w:rPr>
                        <w:t>限界生産力を加味</w:t>
                      </w:r>
                      <w:r w:rsidR="00994CE3" w:rsidRPr="00142802">
                        <w:rPr>
                          <w:rFonts w:ascii="ＭＳ 明朝" w:eastAsia="ＭＳ 明朝" w:hAnsi="ＭＳ 明朝" w:hint="eastAsia"/>
                          <w:szCs w:val="24"/>
                        </w:rPr>
                        <w:t>し、生産波及効果を含めると、</w:t>
                      </w:r>
                      <w:r w:rsidRPr="00142802">
                        <w:rPr>
                          <w:rFonts w:ascii="ＭＳ 明朝" w:eastAsia="ＭＳ 明朝" w:hAnsi="ＭＳ 明朝" w:hint="eastAsia"/>
                          <w:szCs w:val="24"/>
                        </w:rPr>
                        <w:t>総合区で最大</w:t>
                      </w:r>
                      <w:r w:rsidR="00082408" w:rsidRPr="00142802">
                        <w:rPr>
                          <w:rFonts w:ascii="ＭＳ 明朝" w:eastAsia="ＭＳ 明朝" w:hAnsi="ＭＳ 明朝" w:hint="eastAsia"/>
                          <w:szCs w:val="24"/>
                        </w:rPr>
                        <w:t>85</w:t>
                      </w:r>
                      <w:r w:rsidR="00994CE3" w:rsidRPr="00142802">
                        <w:rPr>
                          <w:rFonts w:ascii="ＭＳ 明朝" w:eastAsia="ＭＳ 明朝" w:hAnsi="ＭＳ 明朝"/>
                          <w:szCs w:val="24"/>
                        </w:rPr>
                        <w:t>3</w:t>
                      </w:r>
                      <w:r w:rsidR="00082408" w:rsidRPr="00142802">
                        <w:rPr>
                          <w:rFonts w:ascii="ＭＳ 明朝" w:eastAsia="ＭＳ 明朝" w:hAnsi="ＭＳ 明朝" w:hint="eastAsia"/>
                          <w:szCs w:val="24"/>
                        </w:rPr>
                        <w:t>億円</w:t>
                      </w:r>
                      <w:r w:rsidRPr="00142802">
                        <w:rPr>
                          <w:rFonts w:ascii="ＭＳ 明朝" w:eastAsia="ＭＳ 明朝" w:hAnsi="ＭＳ 明朝" w:hint="eastAsia"/>
                          <w:szCs w:val="24"/>
                        </w:rPr>
                        <w:t>、特別区で最大</w:t>
                      </w:r>
                      <w:r w:rsidR="00082408" w:rsidRPr="00142802">
                        <w:rPr>
                          <w:rFonts w:ascii="ＭＳ 明朝" w:eastAsia="ＭＳ 明朝" w:hAnsi="ＭＳ 明朝" w:hint="eastAsia"/>
                          <w:szCs w:val="24"/>
                        </w:rPr>
                        <w:t>1</w:t>
                      </w:r>
                      <w:r w:rsidRPr="00142802">
                        <w:rPr>
                          <w:rFonts w:ascii="ＭＳ 明朝" w:eastAsia="ＭＳ 明朝" w:hAnsi="ＭＳ 明朝" w:hint="eastAsia"/>
                          <w:szCs w:val="24"/>
                        </w:rPr>
                        <w:t>兆</w:t>
                      </w:r>
                      <w:r w:rsidR="00E51FE6" w:rsidRPr="00142802">
                        <w:rPr>
                          <w:rFonts w:ascii="ＭＳ 明朝" w:eastAsia="ＭＳ 明朝" w:hAnsi="ＭＳ 明朝" w:hint="eastAsia"/>
                          <w:szCs w:val="24"/>
                        </w:rPr>
                        <w:t>1,5</w:t>
                      </w:r>
                      <w:r w:rsidR="00994CE3" w:rsidRPr="00142802">
                        <w:rPr>
                          <w:rFonts w:ascii="ＭＳ 明朝" w:eastAsia="ＭＳ 明朝" w:hAnsi="ＭＳ 明朝"/>
                          <w:szCs w:val="24"/>
                        </w:rPr>
                        <w:t>11</w:t>
                      </w:r>
                      <w:r w:rsidRPr="00142802">
                        <w:rPr>
                          <w:rFonts w:ascii="ＭＳ 明朝" w:eastAsia="ＭＳ 明朝" w:hAnsi="ＭＳ 明朝" w:hint="eastAsia"/>
                          <w:szCs w:val="24"/>
                        </w:rPr>
                        <w:t>億円の効果との結論となった。</w:t>
                      </w:r>
                    </w:p>
                    <w:p w:rsidR="00CB6136" w:rsidRPr="008A1D63" w:rsidRDefault="00CB6136" w:rsidP="00CB6136">
                      <w:pPr>
                        <w:ind w:left="453" w:hangingChars="200" w:hanging="453"/>
                        <w:rPr>
                          <w:rFonts w:ascii="ＭＳ Ｐゴシック" w:eastAsia="ＭＳ Ｐゴシック" w:hAnsi="ＭＳ Ｐゴシック"/>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２）理論的には、制度のリフォームとデザインには改革に伴うコストが異なることには注意を払う</w:t>
                      </w:r>
                      <w:r>
                        <w:rPr>
                          <w:rFonts w:ascii="ＭＳ Ｐゴシック" w:eastAsia="ＭＳ Ｐゴシック" w:hAnsi="ＭＳ Ｐゴシック" w:hint="eastAsia"/>
                          <w:szCs w:val="24"/>
                        </w:rPr>
                        <w:t>必要がある。本報告では、そうした側面の検討は行っていないが、その点を考慮したとしても</w:t>
                      </w:r>
                      <w:r>
                        <w:rPr>
                          <w:rFonts w:ascii="ＭＳ Ｐゴシック" w:eastAsia="ＭＳ Ｐゴシック" w:hAnsi="ＭＳ Ｐゴシック" w:hint="eastAsia"/>
                          <w:b/>
                          <w:szCs w:val="24"/>
                        </w:rPr>
                        <w:t>、大都市制度の議論を深めていく</w:t>
                      </w:r>
                      <w:r w:rsidRPr="008A1D63">
                        <w:rPr>
                          <w:rFonts w:ascii="ＭＳ Ｐゴシック" w:eastAsia="ＭＳ Ｐゴシック" w:hAnsi="ＭＳ Ｐゴシック" w:hint="eastAsia"/>
                          <w:b/>
                          <w:szCs w:val="24"/>
                        </w:rPr>
                        <w:t>ことには大きな意義</w:t>
                      </w:r>
                      <w:r w:rsidRPr="008A1D63">
                        <w:rPr>
                          <w:rFonts w:ascii="ＭＳ Ｐゴシック" w:eastAsia="ＭＳ Ｐゴシック" w:hAnsi="ＭＳ Ｐゴシック" w:hint="eastAsia"/>
                          <w:szCs w:val="24"/>
                        </w:rPr>
                        <w:t>があるものと考える。</w:t>
                      </w:r>
                    </w:p>
                    <w:p w:rsidR="00CB6136" w:rsidRDefault="00CB6136" w:rsidP="00CB6136">
                      <w:pPr>
                        <w:ind w:left="453" w:hangingChars="200" w:hanging="453"/>
                        <w:rPr>
                          <w:rFonts w:ascii="ＭＳ Ｐゴシック" w:eastAsia="ＭＳ Ｐゴシック" w:hAnsi="ＭＳ Ｐゴシック"/>
                          <w:b/>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３）制度改革により生み出される財政資金を効率的な公共投資・社会資本蓄積に投じることにより</w:t>
                      </w:r>
                      <w:r w:rsidRPr="008A1D63">
                        <w:rPr>
                          <w:rFonts w:ascii="ＭＳ Ｐゴシック" w:eastAsia="ＭＳ Ｐゴシック" w:hAnsi="ＭＳ Ｐゴシック" w:hint="eastAsia"/>
                          <w:b/>
                          <w:szCs w:val="24"/>
                        </w:rPr>
                        <w:t>大都市としての機能向上を図ることができれば、</w:t>
                      </w:r>
                      <w:r w:rsidRPr="008A1D63">
                        <w:rPr>
                          <w:rFonts w:ascii="ＭＳ Ｐゴシック" w:eastAsia="ＭＳ Ｐゴシック" w:hAnsi="ＭＳ Ｐゴシック" w:hint="eastAsia"/>
                          <w:szCs w:val="24"/>
                        </w:rPr>
                        <w:t>本報告で示した経済効果に加えて、現在に至るまでに東京が実現した</w:t>
                      </w:r>
                      <w:r w:rsidRPr="008A1D63">
                        <w:rPr>
                          <w:rFonts w:ascii="ＭＳ Ｐゴシック" w:eastAsia="ＭＳ Ｐゴシック" w:hAnsi="ＭＳ Ｐゴシック" w:hint="eastAsia"/>
                          <w:b/>
                          <w:szCs w:val="24"/>
                        </w:rPr>
                        <w:t>民間資本へのグラビティ効果(引付効果)がより大きく発生する可能性が期待できる。</w:t>
                      </w:r>
                    </w:p>
                    <w:p w:rsidR="00A428E4" w:rsidRDefault="00A428E4" w:rsidP="00A428E4">
                      <w:pPr>
                        <w:ind w:left="453" w:hangingChars="200" w:hanging="453"/>
                        <w:rPr>
                          <w:rFonts w:ascii="ＭＳ Ｐゴシック" w:eastAsia="ＭＳ Ｐゴシック" w:hAnsi="ＭＳ Ｐゴシック"/>
                          <w:szCs w:val="24"/>
                        </w:rPr>
                      </w:pPr>
                    </w:p>
                    <w:p w:rsidR="00CB6136" w:rsidRDefault="00142802" w:rsidP="00A428E4">
                      <w:pPr>
                        <w:ind w:firstLineChars="100" w:firstLine="227"/>
                        <w:rPr>
                          <w:rFonts w:ascii="ＭＳ 明朝" w:eastAsia="ＭＳ 明朝" w:hAnsi="ＭＳ 明朝"/>
                          <w:szCs w:val="24"/>
                        </w:rPr>
                      </w:pPr>
                      <w:r w:rsidRPr="00142802">
                        <w:rPr>
                          <w:rFonts w:ascii="ＭＳ Ｐゴシック" w:eastAsia="ＭＳ Ｐゴシック" w:hAnsi="ＭＳ Ｐゴシック" w:hint="eastAsia"/>
                          <w:szCs w:val="24"/>
                        </w:rPr>
                        <w:t>以上、今回の調査からは、大都市制度の選択が経済効果に結びつくものであること、また、選択の内容によってその効果に差異が生じることとなっている。今回の報告書が今後の大都市制度改革に関する議論に資するものとなれば幸いである。</w:t>
                      </w:r>
                    </w:p>
                  </w:txbxContent>
                </v:textbox>
              </v:shape>
            </w:pict>
          </mc:Fallback>
        </mc:AlternateContent>
      </w:r>
    </w:p>
    <w:p w:rsidR="001257A9" w:rsidRDefault="001257A9" w:rsidP="001257A9">
      <w:pPr>
        <w:rPr>
          <w:rFonts w:ascii="ＭＳ ゴシック" w:eastAsia="ＭＳ ゴシック" w:hAnsi="ＭＳ ゴシック"/>
          <w:b/>
          <w:szCs w:val="24"/>
        </w:rPr>
      </w:pPr>
    </w:p>
    <w:p w:rsidR="001257A9" w:rsidRDefault="001257A9" w:rsidP="001257A9">
      <w:pPr>
        <w:rPr>
          <w:rFonts w:ascii="ＭＳ ゴシック" w:eastAsia="ＭＳ ゴシック" w:hAnsi="ＭＳ ゴシック"/>
          <w:b/>
          <w:szCs w:val="24"/>
        </w:rPr>
      </w:pPr>
    </w:p>
    <w:p w:rsidR="001257A9" w:rsidRDefault="001257A9" w:rsidP="001257A9">
      <w:pPr>
        <w:rPr>
          <w:rFonts w:ascii="ＭＳ ゴシック" w:eastAsia="ＭＳ ゴシック" w:hAnsi="ＭＳ ゴシック"/>
          <w:b/>
          <w:szCs w:val="24"/>
        </w:rPr>
      </w:pPr>
    </w:p>
    <w:p w:rsidR="001257A9" w:rsidRDefault="001257A9" w:rsidP="001257A9">
      <w:pPr>
        <w:rPr>
          <w:rFonts w:ascii="ＭＳ ゴシック" w:eastAsia="ＭＳ ゴシック" w:hAnsi="ＭＳ ゴシック"/>
          <w:b/>
          <w:szCs w:val="24"/>
        </w:rPr>
      </w:pPr>
    </w:p>
    <w:p w:rsidR="001257A9" w:rsidRDefault="001257A9" w:rsidP="001257A9">
      <w:pPr>
        <w:rPr>
          <w:rFonts w:ascii="ＭＳ ゴシック" w:eastAsia="ＭＳ ゴシック" w:hAnsi="ＭＳ ゴシック"/>
          <w:b/>
          <w:szCs w:val="24"/>
        </w:rPr>
      </w:pPr>
    </w:p>
    <w:p w:rsidR="001257A9" w:rsidRDefault="001257A9" w:rsidP="001257A9">
      <w:pPr>
        <w:rPr>
          <w:rFonts w:ascii="ＭＳ ゴシック" w:eastAsia="ＭＳ ゴシック" w:hAnsi="ＭＳ ゴシック"/>
          <w:b/>
          <w:szCs w:val="24"/>
        </w:rPr>
      </w:pPr>
    </w:p>
    <w:p w:rsidR="001257A9" w:rsidRDefault="001257A9" w:rsidP="001257A9">
      <w:pPr>
        <w:rPr>
          <w:rFonts w:ascii="ＭＳ ゴシック" w:eastAsia="ＭＳ ゴシック" w:hAnsi="ＭＳ ゴシック"/>
          <w:b/>
          <w:szCs w:val="24"/>
        </w:rPr>
      </w:pPr>
    </w:p>
    <w:p w:rsidR="001257A9" w:rsidRPr="001257A9" w:rsidRDefault="001257A9" w:rsidP="001257A9">
      <w:pPr>
        <w:rPr>
          <w:rFonts w:ascii="ＭＳ ゴシック" w:eastAsia="ＭＳ ゴシック" w:hAnsi="ＭＳ ゴシック"/>
          <w:b/>
          <w:szCs w:val="24"/>
        </w:rPr>
      </w:pPr>
    </w:p>
    <w:sectPr w:rsidR="001257A9" w:rsidRPr="001257A9" w:rsidSect="000528C6">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BB" w:rsidRDefault="004E39BB" w:rsidP="000528C6">
      <w:r>
        <w:separator/>
      </w:r>
    </w:p>
  </w:endnote>
  <w:endnote w:type="continuationSeparator" w:id="0">
    <w:p w:rsidR="004E39BB" w:rsidRDefault="004E39BB" w:rsidP="0005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BB" w:rsidRDefault="004E39BB" w:rsidP="000528C6">
      <w:r>
        <w:separator/>
      </w:r>
    </w:p>
  </w:footnote>
  <w:footnote w:type="continuationSeparator" w:id="0">
    <w:p w:rsidR="004E39BB" w:rsidRDefault="004E39BB" w:rsidP="00052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343"/>
    <w:multiLevelType w:val="hybridMultilevel"/>
    <w:tmpl w:val="5B52CA80"/>
    <w:lvl w:ilvl="0" w:tplc="F1CE0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41D"/>
    <w:multiLevelType w:val="hybridMultilevel"/>
    <w:tmpl w:val="3D4CD9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0EF7"/>
    <w:multiLevelType w:val="hybridMultilevel"/>
    <w:tmpl w:val="BC8CE59E"/>
    <w:lvl w:ilvl="0" w:tplc="917603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436A"/>
    <w:multiLevelType w:val="hybridMultilevel"/>
    <w:tmpl w:val="367A4B32"/>
    <w:lvl w:ilvl="0" w:tplc="6FA0D176">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2346A"/>
    <w:multiLevelType w:val="hybridMultilevel"/>
    <w:tmpl w:val="13B08696"/>
    <w:lvl w:ilvl="0" w:tplc="CA56DB06">
      <w:start w:val="8"/>
      <w:numFmt w:val="bullet"/>
      <w:lvlText w:val="※"/>
      <w:lvlJc w:val="left"/>
      <w:pPr>
        <w:ind w:left="813" w:hanging="360"/>
      </w:pPr>
      <w:rPr>
        <w:rFonts w:ascii="游明朝" w:eastAsia="游明朝" w:hAnsi="游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34600BC3"/>
    <w:multiLevelType w:val="hybridMultilevel"/>
    <w:tmpl w:val="D4DC8D32"/>
    <w:lvl w:ilvl="0" w:tplc="4AAE6818">
      <w:start w:val="3"/>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A3AF6"/>
    <w:multiLevelType w:val="hybridMultilevel"/>
    <w:tmpl w:val="ADECD802"/>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56A07C63"/>
    <w:multiLevelType w:val="hybridMultilevel"/>
    <w:tmpl w:val="9D84368E"/>
    <w:lvl w:ilvl="0" w:tplc="2454F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46FC1"/>
    <w:multiLevelType w:val="hybridMultilevel"/>
    <w:tmpl w:val="213A12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93351A"/>
    <w:multiLevelType w:val="hybridMultilevel"/>
    <w:tmpl w:val="FB9E8680"/>
    <w:lvl w:ilvl="0" w:tplc="979EF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9"/>
  </w:num>
  <w:num w:numId="5">
    <w:abstractNumId w:val="3"/>
  </w:num>
  <w:num w:numId="6">
    <w:abstractNumId w:val="5"/>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227"/>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E1"/>
    <w:rsid w:val="000129CB"/>
    <w:rsid w:val="000528C6"/>
    <w:rsid w:val="00073EB0"/>
    <w:rsid w:val="0008157A"/>
    <w:rsid w:val="00082408"/>
    <w:rsid w:val="000B0511"/>
    <w:rsid w:val="000B22F9"/>
    <w:rsid w:val="000F64E0"/>
    <w:rsid w:val="00100A69"/>
    <w:rsid w:val="00117296"/>
    <w:rsid w:val="001257A9"/>
    <w:rsid w:val="00140A2B"/>
    <w:rsid w:val="00142802"/>
    <w:rsid w:val="001573DC"/>
    <w:rsid w:val="00186EB6"/>
    <w:rsid w:val="001B12EB"/>
    <w:rsid w:val="001D0659"/>
    <w:rsid w:val="001D2D79"/>
    <w:rsid w:val="001D4F0F"/>
    <w:rsid w:val="00201353"/>
    <w:rsid w:val="00225E29"/>
    <w:rsid w:val="002549E1"/>
    <w:rsid w:val="002556FB"/>
    <w:rsid w:val="0026761A"/>
    <w:rsid w:val="00277760"/>
    <w:rsid w:val="00291DFD"/>
    <w:rsid w:val="002D636D"/>
    <w:rsid w:val="003168D8"/>
    <w:rsid w:val="003331F1"/>
    <w:rsid w:val="00372590"/>
    <w:rsid w:val="00395C5C"/>
    <w:rsid w:val="003B3B16"/>
    <w:rsid w:val="003B48BF"/>
    <w:rsid w:val="003C561C"/>
    <w:rsid w:val="00403181"/>
    <w:rsid w:val="00423A2D"/>
    <w:rsid w:val="0042789E"/>
    <w:rsid w:val="00450F9E"/>
    <w:rsid w:val="00455852"/>
    <w:rsid w:val="00457337"/>
    <w:rsid w:val="00465601"/>
    <w:rsid w:val="004923A4"/>
    <w:rsid w:val="004A20C1"/>
    <w:rsid w:val="004C2E14"/>
    <w:rsid w:val="004E39BB"/>
    <w:rsid w:val="004F1AE6"/>
    <w:rsid w:val="004F514A"/>
    <w:rsid w:val="00516AF3"/>
    <w:rsid w:val="00551024"/>
    <w:rsid w:val="00562D16"/>
    <w:rsid w:val="0057070C"/>
    <w:rsid w:val="005A5ECB"/>
    <w:rsid w:val="005B7266"/>
    <w:rsid w:val="006176ED"/>
    <w:rsid w:val="00654043"/>
    <w:rsid w:val="00691ECE"/>
    <w:rsid w:val="006F3F96"/>
    <w:rsid w:val="00701D93"/>
    <w:rsid w:val="007023E5"/>
    <w:rsid w:val="0070682E"/>
    <w:rsid w:val="007151A2"/>
    <w:rsid w:val="00716E7A"/>
    <w:rsid w:val="00721ADE"/>
    <w:rsid w:val="00723F0E"/>
    <w:rsid w:val="00730EA3"/>
    <w:rsid w:val="00766A91"/>
    <w:rsid w:val="007A0F6A"/>
    <w:rsid w:val="007B4FCC"/>
    <w:rsid w:val="007B59AA"/>
    <w:rsid w:val="007C18D5"/>
    <w:rsid w:val="007C2A45"/>
    <w:rsid w:val="007D466A"/>
    <w:rsid w:val="007E06CA"/>
    <w:rsid w:val="007E78FA"/>
    <w:rsid w:val="007F494F"/>
    <w:rsid w:val="00811F1D"/>
    <w:rsid w:val="008465AA"/>
    <w:rsid w:val="00847279"/>
    <w:rsid w:val="00865C1F"/>
    <w:rsid w:val="00895853"/>
    <w:rsid w:val="008971C4"/>
    <w:rsid w:val="008A1D63"/>
    <w:rsid w:val="008B39FB"/>
    <w:rsid w:val="008B673B"/>
    <w:rsid w:val="008E1DC9"/>
    <w:rsid w:val="009200E1"/>
    <w:rsid w:val="0092304F"/>
    <w:rsid w:val="0096262B"/>
    <w:rsid w:val="0097318F"/>
    <w:rsid w:val="0098133B"/>
    <w:rsid w:val="00994CE3"/>
    <w:rsid w:val="00995839"/>
    <w:rsid w:val="009A7FB7"/>
    <w:rsid w:val="009C1218"/>
    <w:rsid w:val="00A002B6"/>
    <w:rsid w:val="00A20900"/>
    <w:rsid w:val="00A428E4"/>
    <w:rsid w:val="00A73E3C"/>
    <w:rsid w:val="00A90B4B"/>
    <w:rsid w:val="00AB76BF"/>
    <w:rsid w:val="00AC5982"/>
    <w:rsid w:val="00AD0C3D"/>
    <w:rsid w:val="00AD6BD0"/>
    <w:rsid w:val="00AE194C"/>
    <w:rsid w:val="00AF3896"/>
    <w:rsid w:val="00B307FE"/>
    <w:rsid w:val="00B561E7"/>
    <w:rsid w:val="00B711F3"/>
    <w:rsid w:val="00B90749"/>
    <w:rsid w:val="00BB4181"/>
    <w:rsid w:val="00BB497E"/>
    <w:rsid w:val="00BD6450"/>
    <w:rsid w:val="00C134A2"/>
    <w:rsid w:val="00C21EC2"/>
    <w:rsid w:val="00C33A04"/>
    <w:rsid w:val="00C44AE2"/>
    <w:rsid w:val="00C70723"/>
    <w:rsid w:val="00C8263A"/>
    <w:rsid w:val="00C973A2"/>
    <w:rsid w:val="00CA7CEB"/>
    <w:rsid w:val="00CB1A77"/>
    <w:rsid w:val="00CB6136"/>
    <w:rsid w:val="00D201B5"/>
    <w:rsid w:val="00D76436"/>
    <w:rsid w:val="00D92A81"/>
    <w:rsid w:val="00D93A2A"/>
    <w:rsid w:val="00DB20FF"/>
    <w:rsid w:val="00DC266F"/>
    <w:rsid w:val="00DE061B"/>
    <w:rsid w:val="00DE2EA8"/>
    <w:rsid w:val="00DE46B5"/>
    <w:rsid w:val="00DE614C"/>
    <w:rsid w:val="00DF48FC"/>
    <w:rsid w:val="00E02A9A"/>
    <w:rsid w:val="00E02C22"/>
    <w:rsid w:val="00E144EE"/>
    <w:rsid w:val="00E35563"/>
    <w:rsid w:val="00E3619B"/>
    <w:rsid w:val="00E3678B"/>
    <w:rsid w:val="00E42639"/>
    <w:rsid w:val="00E434B1"/>
    <w:rsid w:val="00E51FE6"/>
    <w:rsid w:val="00E728DD"/>
    <w:rsid w:val="00E93A4D"/>
    <w:rsid w:val="00EE0158"/>
    <w:rsid w:val="00EE4ECA"/>
    <w:rsid w:val="00F42AD1"/>
    <w:rsid w:val="00F636C7"/>
    <w:rsid w:val="00F84534"/>
    <w:rsid w:val="00F94D88"/>
    <w:rsid w:val="00FA6E74"/>
    <w:rsid w:val="00FE1186"/>
    <w:rsid w:val="00FE66A2"/>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8AF6731-3132-485C-AB36-4AD011C9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8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749"/>
    <w:pPr>
      <w:ind w:leftChars="400" w:left="840"/>
    </w:pPr>
  </w:style>
  <w:style w:type="paragraph" w:styleId="a4">
    <w:name w:val="Balloon Text"/>
    <w:basedOn w:val="a"/>
    <w:link w:val="a5"/>
    <w:uiPriority w:val="99"/>
    <w:semiHidden/>
    <w:unhideWhenUsed/>
    <w:rsid w:val="00A73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3E3C"/>
    <w:rPr>
      <w:rFonts w:asciiTheme="majorHAnsi" w:eastAsiaTheme="majorEastAsia" w:hAnsiTheme="majorHAnsi" w:cstheme="majorBidi"/>
      <w:sz w:val="18"/>
      <w:szCs w:val="18"/>
    </w:rPr>
  </w:style>
  <w:style w:type="paragraph" w:styleId="a6">
    <w:name w:val="header"/>
    <w:basedOn w:val="a"/>
    <w:link w:val="a7"/>
    <w:uiPriority w:val="99"/>
    <w:unhideWhenUsed/>
    <w:rsid w:val="000528C6"/>
    <w:pPr>
      <w:tabs>
        <w:tab w:val="center" w:pos="4252"/>
        <w:tab w:val="right" w:pos="8504"/>
      </w:tabs>
      <w:snapToGrid w:val="0"/>
    </w:pPr>
  </w:style>
  <w:style w:type="character" w:customStyle="1" w:styleId="a7">
    <w:name w:val="ヘッダー (文字)"/>
    <w:basedOn w:val="a0"/>
    <w:link w:val="a6"/>
    <w:uiPriority w:val="99"/>
    <w:rsid w:val="000528C6"/>
  </w:style>
  <w:style w:type="paragraph" w:styleId="a8">
    <w:name w:val="footer"/>
    <w:basedOn w:val="a"/>
    <w:link w:val="a9"/>
    <w:uiPriority w:val="99"/>
    <w:unhideWhenUsed/>
    <w:rsid w:val="000528C6"/>
    <w:pPr>
      <w:tabs>
        <w:tab w:val="center" w:pos="4252"/>
        <w:tab w:val="right" w:pos="8504"/>
      </w:tabs>
      <w:snapToGrid w:val="0"/>
    </w:pPr>
  </w:style>
  <w:style w:type="character" w:customStyle="1" w:styleId="a9">
    <w:name w:val="フッター (文字)"/>
    <w:basedOn w:val="a0"/>
    <w:link w:val="a8"/>
    <w:uiPriority w:val="99"/>
    <w:rsid w:val="000528C6"/>
  </w:style>
  <w:style w:type="table" w:styleId="aa">
    <w:name w:val="Table Grid"/>
    <w:basedOn w:val="a1"/>
    <w:uiPriority w:val="59"/>
    <w:rsid w:val="0040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E4EC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8DF3E833-B24D-463C-98EF-0AFEBF51BF88}"/>
</file>

<file path=customXml/itemProps2.xml><?xml version="1.0" encoding="utf-8"?>
<ds:datastoreItem xmlns:ds="http://schemas.openxmlformats.org/officeDocument/2006/customXml" ds:itemID="{744BC236-A6B5-4EE7-AA1B-FE1591140EA2}"/>
</file>

<file path=customXml/itemProps3.xml><?xml version="1.0" encoding="utf-8"?>
<ds:datastoreItem xmlns:ds="http://schemas.openxmlformats.org/officeDocument/2006/customXml" ds:itemID="{BB524823-07DC-4868-90D3-B04EFF85312F}"/>
</file>

<file path=docProps/app.xml><?xml version="1.0" encoding="utf-8"?>
<Properties xmlns="http://schemas.openxmlformats.org/officeDocument/2006/extended-properties" xmlns:vt="http://schemas.openxmlformats.org/officeDocument/2006/docPropsVTypes">
  <Template>Normal.dotm</Template>
  <TotalTime>3</TotalTime>
  <Pages>3</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2018-11-12T01:10:00Z</cp:lastPrinted>
  <dcterms:created xsi:type="dcterms:W3CDTF">2018-11-09T05:19:00Z</dcterms:created>
  <dcterms:modified xsi:type="dcterms:W3CDTF">2018-11-12T01:40:00Z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