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6E" w:rsidRDefault="000C5E21" w:rsidP="000C5E21">
      <w:pPr>
        <w:tabs>
          <w:tab w:val="left" w:pos="1276"/>
        </w:tabs>
        <w:spacing w:line="260" w:lineRule="exact"/>
        <w:rPr>
          <w:rFonts w:ascii="メイリオ" w:eastAsia="メイリオ" w:hAnsi="メイリオ"/>
          <w:b/>
          <w:sz w:val="22"/>
        </w:rPr>
      </w:pPr>
      <w:r w:rsidRPr="000C5E21">
        <w:rPr>
          <w:rFonts w:ascii="メイリオ" w:eastAsia="メイリオ" w:hAnsi="メイリオ" w:hint="eastAsia"/>
          <w:b/>
          <w:sz w:val="22"/>
        </w:rPr>
        <w:t>計画（平成</w:t>
      </w:r>
      <w:r w:rsidRPr="000C5E21">
        <w:rPr>
          <w:rFonts w:ascii="メイリオ" w:eastAsia="メイリオ" w:hAnsi="メイリオ"/>
          <w:b/>
          <w:sz w:val="22"/>
        </w:rPr>
        <w:t>26～30年度）に基づく</w:t>
      </w:r>
      <w:r w:rsidRPr="000C5E21">
        <w:rPr>
          <w:rFonts w:ascii="メイリオ" w:eastAsia="メイリオ" w:hAnsi="メイリオ" w:hint="eastAsia"/>
          <w:b/>
          <w:sz w:val="22"/>
        </w:rPr>
        <w:t>府立高校</w:t>
      </w:r>
      <w:r w:rsidR="00312585">
        <w:rPr>
          <w:rFonts w:ascii="メイリオ" w:eastAsia="メイリオ" w:hAnsi="メイリオ" w:hint="eastAsia"/>
          <w:b/>
          <w:sz w:val="22"/>
        </w:rPr>
        <w:t>の再編</w:t>
      </w:r>
      <w:r w:rsidR="00E4582E">
        <w:rPr>
          <w:rFonts w:ascii="メイリオ" w:eastAsia="メイリオ" w:hAnsi="メイリオ" w:hint="eastAsia"/>
          <w:b/>
          <w:sz w:val="22"/>
        </w:rPr>
        <w:t>整備</w:t>
      </w:r>
      <w:r w:rsidR="00312585">
        <w:rPr>
          <w:rFonts w:ascii="メイリオ" w:eastAsia="メイリオ" w:hAnsi="メイリオ" w:hint="eastAsia"/>
          <w:b/>
          <w:sz w:val="22"/>
        </w:rPr>
        <w:t>に伴う</w:t>
      </w:r>
      <w:r w:rsidRPr="000C5E21">
        <w:rPr>
          <w:rFonts w:ascii="メイリオ" w:eastAsia="メイリオ" w:hAnsi="メイリオ" w:hint="eastAsia"/>
          <w:b/>
          <w:sz w:val="22"/>
        </w:rPr>
        <w:t>教育内容の充実</w:t>
      </w:r>
      <w:r w:rsidR="00E4582E">
        <w:rPr>
          <w:rFonts w:ascii="メイリオ" w:eastAsia="メイリオ" w:hAnsi="メイリオ" w:hint="eastAsia"/>
          <w:b/>
          <w:sz w:val="22"/>
        </w:rPr>
        <w:t>状況</w:t>
      </w:r>
    </w:p>
    <w:tbl>
      <w:tblPr>
        <w:tblStyle w:val="a3"/>
        <w:tblW w:w="16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967"/>
        <w:gridCol w:w="3412"/>
        <w:gridCol w:w="4394"/>
        <w:gridCol w:w="4395"/>
      </w:tblGrid>
      <w:tr w:rsidR="000C5E21" w:rsidRPr="00FA493B" w:rsidTr="00312585">
        <w:tc>
          <w:tcPr>
            <w:tcW w:w="1129" w:type="dxa"/>
            <w:vMerge w:val="restart"/>
            <w:shd w:val="clear" w:color="auto" w:fill="BFBFBF" w:themeFill="background1" w:themeFillShade="BF"/>
            <w:vAlign w:val="center"/>
          </w:tcPr>
          <w:p w:rsidR="000C5E21" w:rsidRPr="00FA493B" w:rsidRDefault="000C5E21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項目</w:t>
            </w:r>
          </w:p>
        </w:tc>
        <w:tc>
          <w:tcPr>
            <w:tcW w:w="2967" w:type="dxa"/>
            <w:vMerge w:val="restart"/>
            <w:shd w:val="clear" w:color="auto" w:fill="BFBFBF" w:themeFill="background1" w:themeFillShade="BF"/>
            <w:vAlign w:val="center"/>
          </w:tcPr>
          <w:p w:rsidR="000C5E21" w:rsidRPr="00FA493B" w:rsidRDefault="00312585" w:rsidP="0031258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対象校</w:t>
            </w:r>
            <w:r w:rsidRPr="00FF45E3">
              <w:rPr>
                <w:rFonts w:ascii="メイリオ" w:eastAsia="メイリオ" w:hAnsi="メイリオ"/>
                <w:szCs w:val="21"/>
              </w:rPr>
              <w:t>（開校年度）</w:t>
            </w:r>
          </w:p>
        </w:tc>
        <w:tc>
          <w:tcPr>
            <w:tcW w:w="3412" w:type="dxa"/>
            <w:vMerge w:val="restart"/>
            <w:shd w:val="clear" w:color="auto" w:fill="BFBFBF" w:themeFill="background1" w:themeFillShade="BF"/>
            <w:vAlign w:val="center"/>
          </w:tcPr>
          <w:p w:rsidR="000C5E21" w:rsidRPr="00FA493B" w:rsidRDefault="00346BCB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充実</w:t>
            </w:r>
            <w:r w:rsidR="00312585" w:rsidRPr="00FA493B">
              <w:rPr>
                <w:rFonts w:ascii="メイリオ" w:eastAsia="メイリオ" w:hAnsi="メイリオ" w:hint="eastAsia"/>
                <w:szCs w:val="21"/>
              </w:rPr>
              <w:t>内容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E21" w:rsidRPr="00FA493B" w:rsidRDefault="001774D3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施設設備</w:t>
            </w:r>
            <w:r w:rsidR="00312585">
              <w:rPr>
                <w:rFonts w:ascii="メイリオ" w:eastAsia="メイリオ" w:hAnsi="メイリオ" w:hint="eastAsia"/>
                <w:szCs w:val="21"/>
              </w:rPr>
              <w:t>の</w:t>
            </w:r>
            <w:r w:rsidR="000C5E21" w:rsidRPr="00FA493B">
              <w:rPr>
                <w:rFonts w:ascii="メイリオ" w:eastAsia="メイリオ" w:hAnsi="メイリオ" w:hint="eastAsia"/>
                <w:szCs w:val="21"/>
              </w:rPr>
              <w:t>整備状況</w:t>
            </w:r>
          </w:p>
        </w:tc>
      </w:tr>
      <w:tr w:rsidR="000C5E21" w:rsidRPr="00FA493B" w:rsidTr="00312585">
        <w:tc>
          <w:tcPr>
            <w:tcW w:w="1129" w:type="dxa"/>
            <w:vMerge/>
            <w:shd w:val="clear" w:color="auto" w:fill="BFBFBF" w:themeFill="background1" w:themeFillShade="BF"/>
          </w:tcPr>
          <w:p w:rsidR="000C5E21" w:rsidRPr="00FA493B" w:rsidRDefault="000C5E21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67" w:type="dxa"/>
            <w:vMerge/>
            <w:shd w:val="clear" w:color="auto" w:fill="BFBFBF" w:themeFill="background1" w:themeFillShade="BF"/>
          </w:tcPr>
          <w:p w:rsidR="000C5E21" w:rsidRPr="00FA493B" w:rsidRDefault="000C5E21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12" w:type="dxa"/>
            <w:vMerge/>
            <w:shd w:val="clear" w:color="auto" w:fill="BFBFBF" w:themeFill="background1" w:themeFillShade="BF"/>
          </w:tcPr>
          <w:p w:rsidR="000C5E21" w:rsidRPr="00FA493B" w:rsidRDefault="000C5E21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5E21" w:rsidRPr="00FA493B" w:rsidRDefault="00312585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イニシャル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C5E21" w:rsidRPr="00FA493B" w:rsidRDefault="00312585" w:rsidP="00BE1F0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ランニング</w:t>
            </w:r>
          </w:p>
        </w:tc>
      </w:tr>
      <w:tr w:rsidR="000C5E21" w:rsidRPr="00FA493B" w:rsidTr="00312585">
        <w:tc>
          <w:tcPr>
            <w:tcW w:w="1129" w:type="dxa"/>
          </w:tcPr>
          <w:p w:rsidR="000C5E21" w:rsidRPr="00BE1F05" w:rsidRDefault="000C5E21" w:rsidP="00F0297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BE1F05">
              <w:rPr>
                <w:rFonts w:ascii="メイリオ" w:eastAsia="メイリオ" w:hAnsi="メイリオ" w:hint="eastAsia"/>
                <w:b/>
                <w:szCs w:val="21"/>
              </w:rPr>
              <w:t>エンパワメントスクールの設置</w:t>
            </w:r>
          </w:p>
        </w:tc>
        <w:tc>
          <w:tcPr>
            <w:tcW w:w="2967" w:type="dxa"/>
            <w:tcBorders>
              <w:bottom w:val="single" w:sz="12" w:space="0" w:color="auto"/>
            </w:tcBorders>
          </w:tcPr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西成、長吉、箕面東</w:t>
            </w:r>
            <w:r>
              <w:rPr>
                <w:rFonts w:ascii="メイリオ" w:eastAsia="メイリオ" w:hAnsi="メイリオ"/>
                <w:szCs w:val="21"/>
              </w:rPr>
              <w:t>(</w:t>
            </w:r>
            <w:r w:rsidRPr="00FF45E3">
              <w:rPr>
                <w:rFonts w:ascii="メイリオ" w:eastAsia="メイリオ" w:hAnsi="メイリオ"/>
                <w:szCs w:val="21"/>
              </w:rPr>
              <w:t>H27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成城、岬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Pr="00FF45E3">
              <w:rPr>
                <w:rFonts w:ascii="メイリオ" w:eastAsia="メイリオ" w:hAnsi="メイリオ"/>
                <w:szCs w:val="21"/>
              </w:rPr>
              <w:t>H28</w:t>
            </w:r>
            <w:r>
              <w:rPr>
                <w:rFonts w:ascii="メイリオ" w:eastAsia="メイリオ" w:hAnsi="メイリオ"/>
                <w:szCs w:val="21"/>
              </w:rPr>
              <w:t>）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布施北(</w:t>
            </w:r>
            <w:r w:rsidRPr="00FF45E3">
              <w:rPr>
                <w:rFonts w:ascii="メイリオ" w:eastAsia="メイリオ" w:hAnsi="メイリオ"/>
                <w:szCs w:val="21"/>
              </w:rPr>
              <w:t>H29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 w:hint="eastAsia"/>
                <w:szCs w:val="21"/>
              </w:rPr>
              <w:t>淀川清流</w:t>
            </w:r>
            <w:r w:rsidRPr="00FF45E3">
              <w:rPr>
                <w:rFonts w:ascii="メイリオ" w:eastAsia="メイリオ" w:hAnsi="メイリオ"/>
                <w:szCs w:val="21"/>
              </w:rPr>
              <w:t>*</w:t>
            </w:r>
            <w:r>
              <w:rPr>
                <w:rFonts w:ascii="メイリオ" w:eastAsia="メイリオ" w:hAnsi="メイリオ"/>
                <w:szCs w:val="21"/>
              </w:rPr>
              <w:t>、和泉総合(</w:t>
            </w:r>
            <w:r w:rsidRPr="00FF45E3">
              <w:rPr>
                <w:rFonts w:ascii="メイリオ" w:eastAsia="メイリオ" w:hAnsi="メイリオ"/>
                <w:szCs w:val="21"/>
              </w:rPr>
              <w:t>H30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/>
                <w:szCs w:val="21"/>
              </w:rPr>
              <w:t>*</w:t>
            </w:r>
            <w:r>
              <w:rPr>
                <w:rFonts w:ascii="メイリオ" w:eastAsia="メイリオ" w:hAnsi="メイリオ"/>
                <w:szCs w:val="21"/>
              </w:rPr>
              <w:t>北淀、西淀川</w:t>
            </w:r>
            <w:r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FF45E3">
              <w:rPr>
                <w:rFonts w:ascii="メイリオ" w:eastAsia="メイリオ" w:hAnsi="メイリオ"/>
                <w:szCs w:val="21"/>
              </w:rPr>
              <w:t>統合整備</w:t>
            </w:r>
            <w:r>
              <w:rPr>
                <w:rFonts w:ascii="メイリオ" w:eastAsia="メイリオ" w:hAnsi="メイリオ" w:hint="eastAsia"/>
                <w:szCs w:val="21"/>
              </w:rPr>
              <w:t>校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E51ACB" w:rsidRDefault="00E51ACB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E51ACB" w:rsidRDefault="00E51ACB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E51ACB" w:rsidRPr="00FA0D6F" w:rsidRDefault="00E51ACB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0C5E21" w:rsidRPr="00FA493B" w:rsidRDefault="00312585" w:rsidP="00312585">
            <w:pPr>
              <w:tabs>
                <w:tab w:val="left" w:pos="1276"/>
              </w:tabs>
              <w:spacing w:line="260" w:lineRule="exact"/>
              <w:ind w:leftChars="100" w:left="210" w:firstLineChars="600" w:firstLine="126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【8校設置】</w:t>
            </w:r>
          </w:p>
        </w:tc>
        <w:tc>
          <w:tcPr>
            <w:tcW w:w="3412" w:type="dxa"/>
            <w:tcBorders>
              <w:bottom w:val="single" w:sz="12" w:space="0" w:color="auto"/>
            </w:tcBorders>
          </w:tcPr>
          <w:p w:rsidR="00312585" w:rsidRPr="00CF68D1" w:rsidRDefault="00312585" w:rsidP="0031258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CF68D1">
              <w:rPr>
                <w:rFonts w:ascii="メイリオ" w:eastAsia="メイリオ" w:hAnsi="メイリオ"/>
                <w:szCs w:val="21"/>
              </w:rPr>
              <w:t>１年次では国語、数学、英語を毎日30</w:t>
            </w:r>
            <w:r>
              <w:rPr>
                <w:rFonts w:ascii="メイリオ" w:eastAsia="メイリオ" w:hAnsi="メイリオ"/>
                <w:szCs w:val="21"/>
              </w:rPr>
              <w:t>分の習熟度別、少人数授業（６クラス９展開）</w:t>
            </w:r>
            <w:r>
              <w:rPr>
                <w:rFonts w:ascii="メイリオ" w:eastAsia="メイリオ" w:hAnsi="メイリオ" w:hint="eastAsia"/>
                <w:szCs w:val="21"/>
              </w:rPr>
              <w:t>を</w:t>
            </w:r>
            <w:r w:rsidRPr="00CF68D1">
              <w:rPr>
                <w:rFonts w:ascii="メイリオ" w:eastAsia="メイリオ" w:hAnsi="メイリオ"/>
                <w:szCs w:val="21"/>
              </w:rPr>
              <w:t>実施</w:t>
            </w:r>
          </w:p>
          <w:p w:rsidR="00312585" w:rsidRPr="00CF68D1" w:rsidRDefault="00312585" w:rsidP="0031258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CF68D1">
              <w:rPr>
                <w:rFonts w:ascii="メイリオ" w:eastAsia="メイリオ" w:hAnsi="メイリオ" w:hint="eastAsia"/>
                <w:szCs w:val="21"/>
              </w:rPr>
              <w:t>全学年</w:t>
            </w:r>
            <w:r>
              <w:rPr>
                <w:rFonts w:ascii="メイリオ" w:eastAsia="メイリオ" w:hAnsi="メイリオ" w:hint="eastAsia"/>
                <w:szCs w:val="21"/>
              </w:rPr>
              <w:t>でｴﾝﾊﾟﾜﾒﾝﾄﾀｲﾑ（「正解が一つでない問題」を考えるｸﾞﾙｰﾌﾟﾜｰｸ形式の授業等）を</w:t>
            </w:r>
            <w:r w:rsidRPr="00CF68D1">
              <w:rPr>
                <w:rFonts w:ascii="メイリオ" w:eastAsia="メイリオ" w:hAnsi="メイリオ" w:hint="eastAsia"/>
                <w:szCs w:val="21"/>
              </w:rPr>
              <w:t>実施</w:t>
            </w:r>
          </w:p>
          <w:p w:rsidR="00FF45E3" w:rsidRPr="00FA493B" w:rsidRDefault="00312585" w:rsidP="00312585">
            <w:pPr>
              <w:tabs>
                <w:tab w:val="left" w:pos="1276"/>
              </w:tabs>
              <w:spacing w:line="26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○ｽｸｰﾙｿｰｼｬﾙﾜｰｶｰ(</w:t>
            </w:r>
            <w:r w:rsidRPr="00CF68D1">
              <w:rPr>
                <w:rFonts w:ascii="メイリオ" w:eastAsia="メイリオ" w:hAnsi="メイリオ"/>
                <w:szCs w:val="21"/>
              </w:rPr>
              <w:t>SSW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CF68D1">
              <w:rPr>
                <w:rFonts w:ascii="メイリオ" w:eastAsia="メイリオ" w:hAnsi="メイリオ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ｷｬﾘｱ</w:t>
            </w:r>
            <w:r w:rsidRPr="00CF68D1">
              <w:rPr>
                <w:rFonts w:ascii="メイリオ" w:eastAsia="メイリオ" w:hAnsi="メイリオ"/>
                <w:szCs w:val="21"/>
              </w:rPr>
              <w:t>教育</w:t>
            </w:r>
            <w:r>
              <w:rPr>
                <w:rFonts w:ascii="メイリオ" w:eastAsia="メイリオ" w:hAnsi="メイリオ" w:hint="eastAsia"/>
                <w:szCs w:val="21"/>
              </w:rPr>
              <w:t>ｺｰﾃﾞｨﾈｰﾀｰ</w:t>
            </w:r>
            <w:r>
              <w:rPr>
                <w:rFonts w:ascii="メイリオ" w:eastAsia="メイリオ" w:hAnsi="メイリオ"/>
                <w:szCs w:val="21"/>
              </w:rPr>
              <w:t>(</w:t>
            </w:r>
            <w:r w:rsidRPr="00CF68D1">
              <w:rPr>
                <w:rFonts w:ascii="メイリオ" w:eastAsia="メイリオ" w:hAnsi="メイリオ"/>
                <w:szCs w:val="21"/>
              </w:rPr>
              <w:t>CC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CF68D1">
              <w:rPr>
                <w:rFonts w:ascii="メイリオ" w:eastAsia="メイリオ" w:hAnsi="メイリオ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ｽｸｰﾙｶｳﾝｾﾗｰ</w:t>
            </w:r>
            <w:r>
              <w:rPr>
                <w:rFonts w:ascii="メイリオ" w:eastAsia="メイリオ" w:hAnsi="メイリオ"/>
                <w:szCs w:val="21"/>
              </w:rPr>
              <w:t>(</w:t>
            </w:r>
            <w:r w:rsidRPr="00CF68D1">
              <w:rPr>
                <w:rFonts w:ascii="メイリオ" w:eastAsia="メイリオ" w:hAnsi="メイリオ"/>
                <w:szCs w:val="21"/>
              </w:rPr>
              <w:t>SC</w:t>
            </w:r>
            <w:r>
              <w:rPr>
                <w:rFonts w:ascii="メイリオ" w:eastAsia="メイリオ" w:hAnsi="メイリオ"/>
                <w:szCs w:val="21"/>
              </w:rPr>
              <w:t>)の専門人材を</w:t>
            </w:r>
            <w:r>
              <w:rPr>
                <w:rFonts w:ascii="メイリオ" w:eastAsia="メイリオ" w:hAnsi="メイリオ" w:hint="eastAsia"/>
                <w:szCs w:val="21"/>
              </w:rPr>
              <w:t>各校配置</w:t>
            </w:r>
            <w:r>
              <w:rPr>
                <w:rFonts w:ascii="メイリオ" w:eastAsia="メイリオ" w:hAnsi="メイリオ"/>
                <w:szCs w:val="21"/>
              </w:rPr>
              <w:t>し、就学や進路</w:t>
            </w:r>
            <w:r w:rsidRPr="00CF68D1">
              <w:rPr>
                <w:rFonts w:ascii="メイリオ" w:eastAsia="メイリオ" w:hAnsi="メイリオ"/>
                <w:szCs w:val="21"/>
              </w:rPr>
              <w:t>支援など、生徒の社会的自立に向けて支援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4" w:space="0" w:color="auto"/>
            </w:tcBorders>
          </w:tcPr>
          <w:p w:rsidR="00FA493B" w:rsidRPr="00FA493B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○学習環境の整備</w:t>
            </w:r>
          </w:p>
          <w:p w:rsidR="00BE1F05" w:rsidRDefault="00BE1F05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・校舎エントランス等の整備</w:t>
            </w:r>
          </w:p>
          <w:p w:rsidR="00FA493B" w:rsidRPr="00FA493B" w:rsidRDefault="00BE1F05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FA493B" w:rsidRPr="00FA493B">
              <w:rPr>
                <w:rFonts w:ascii="メイリオ" w:eastAsia="メイリオ" w:hAnsi="メイリオ"/>
                <w:szCs w:val="21"/>
              </w:rPr>
              <w:t>電子モニター・チャイムの整備</w:t>
            </w:r>
          </w:p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○「学び直し」のカリキュラムに必要な教材・教具の整備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・電子黒板の</w:t>
            </w:r>
            <w:r w:rsidRPr="00FA493B">
              <w:rPr>
                <w:rFonts w:ascii="メイリオ" w:eastAsia="メイリオ" w:hAnsi="メイリオ" w:hint="eastAsia"/>
                <w:szCs w:val="21"/>
              </w:rPr>
              <w:t>整備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12" w:space="0" w:color="auto"/>
            </w:tcBorders>
          </w:tcPr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○「学び直し」のカリキュラムに必要な教材・教具の整備</w:t>
            </w:r>
          </w:p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タブレットPC等ICT</w:t>
            </w:r>
            <w:r w:rsidRPr="00FA493B">
              <w:rPr>
                <w:rFonts w:ascii="メイリオ" w:eastAsia="メイリオ" w:hAnsi="メイリオ" w:hint="eastAsia"/>
                <w:szCs w:val="21"/>
              </w:rPr>
              <w:t>機器の整備</w:t>
            </w:r>
          </w:p>
          <w:p w:rsidR="000C5E21" w:rsidRPr="00FA493B" w:rsidRDefault="00FA493B" w:rsidP="0031258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/>
                <w:szCs w:val="21"/>
              </w:rPr>
              <w:t>・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ｴﾝﾊﾟﾜﾒﾝﾄﾀｲﾑ</w:t>
            </w:r>
            <w:r w:rsidRPr="00FA493B">
              <w:rPr>
                <w:rFonts w:ascii="メイリオ" w:eastAsia="メイリオ" w:hAnsi="メイリオ"/>
                <w:szCs w:val="21"/>
              </w:rPr>
              <w:t>にかかる外部人材の活用</w:t>
            </w:r>
          </w:p>
        </w:tc>
      </w:tr>
      <w:tr w:rsidR="000C5E21" w:rsidRPr="00BE1F05" w:rsidTr="00312585">
        <w:tc>
          <w:tcPr>
            <w:tcW w:w="1129" w:type="dxa"/>
            <w:vMerge w:val="restart"/>
          </w:tcPr>
          <w:p w:rsidR="000C5E21" w:rsidRPr="00BE1F05" w:rsidRDefault="000C5E21" w:rsidP="00F0297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BE1F05">
              <w:rPr>
                <w:rFonts w:ascii="メイリオ" w:eastAsia="メイリオ" w:hAnsi="メイリオ" w:hint="eastAsia"/>
                <w:b/>
                <w:szCs w:val="21"/>
              </w:rPr>
              <w:t>普通科総合選択制の改編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3E0256" w:rsidRDefault="000C5E21" w:rsidP="003E0256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312585">
              <w:rPr>
                <w:rFonts w:ascii="メイリオ" w:eastAsia="メイリオ" w:hAnsi="メイリオ" w:hint="eastAsia"/>
                <w:szCs w:val="21"/>
                <w:bdr w:val="single" w:sz="4" w:space="0" w:color="auto"/>
              </w:rPr>
              <w:t>総合学科への改編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福井(</w:t>
            </w:r>
            <w:r w:rsidRPr="00FF45E3">
              <w:rPr>
                <w:rFonts w:ascii="メイリオ" w:eastAsia="メイリオ" w:hAnsi="メイリオ"/>
                <w:szCs w:val="21"/>
              </w:rPr>
              <w:t>H27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門真なみはや、伯太(</w:t>
            </w:r>
            <w:r w:rsidRPr="00FF45E3">
              <w:rPr>
                <w:rFonts w:ascii="メイリオ" w:eastAsia="メイリオ" w:hAnsi="メイリオ"/>
                <w:szCs w:val="21"/>
              </w:rPr>
              <w:t>H29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/>
                <w:szCs w:val="21"/>
              </w:rPr>
              <w:t>成美、大正白稜*</w:t>
            </w:r>
            <w:r>
              <w:rPr>
                <w:rFonts w:ascii="メイリオ" w:eastAsia="メイリオ" w:hAnsi="メイリオ"/>
                <w:szCs w:val="21"/>
              </w:rPr>
              <w:t>(</w:t>
            </w:r>
            <w:r w:rsidRPr="00FF45E3">
              <w:rPr>
                <w:rFonts w:ascii="メイリオ" w:eastAsia="メイリオ" w:hAnsi="メイリオ"/>
                <w:szCs w:val="21"/>
              </w:rPr>
              <w:t>H30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/>
                <w:szCs w:val="21"/>
              </w:rPr>
              <w:t>*</w:t>
            </w:r>
            <w:r>
              <w:rPr>
                <w:rFonts w:ascii="メイリオ" w:eastAsia="メイリオ" w:hAnsi="メイリオ"/>
                <w:szCs w:val="21"/>
              </w:rPr>
              <w:t>泉尾、大正</w:t>
            </w:r>
            <w:r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/>
                <w:szCs w:val="21"/>
              </w:rPr>
              <w:t>統合整備</w:t>
            </w:r>
            <w:r>
              <w:rPr>
                <w:rFonts w:ascii="メイリオ" w:eastAsia="メイリオ" w:hAnsi="メイリオ" w:hint="eastAsia"/>
                <w:szCs w:val="21"/>
              </w:rPr>
              <w:t>校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枚方なぎさ(</w:t>
            </w:r>
            <w:r w:rsidRPr="00FF45E3">
              <w:rPr>
                <w:rFonts w:ascii="メイリオ" w:eastAsia="メイリオ" w:hAnsi="メイリオ"/>
                <w:szCs w:val="21"/>
              </w:rPr>
              <w:t>H31</w:t>
            </w:r>
            <w:r>
              <w:rPr>
                <w:rFonts w:ascii="メイリオ" w:eastAsia="メイリオ" w:hAnsi="メイリオ" w:hint="eastAsia"/>
                <w:szCs w:val="21"/>
              </w:rPr>
              <w:t>)</w:t>
            </w:r>
          </w:p>
          <w:p w:rsidR="00583859" w:rsidRPr="00FA493B" w:rsidRDefault="00312585" w:rsidP="00312585">
            <w:pPr>
              <w:tabs>
                <w:tab w:val="left" w:pos="1276"/>
              </w:tabs>
              <w:spacing w:line="260" w:lineRule="exact"/>
              <w:ind w:firstLineChars="700" w:firstLine="147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【6校改編】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0C5E21" w:rsidRPr="00FA493B" w:rsidRDefault="00312585" w:rsidP="00055B6B">
            <w:pPr>
              <w:tabs>
                <w:tab w:val="left" w:pos="1276"/>
              </w:tabs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583859">
              <w:rPr>
                <w:rFonts w:ascii="メイリオ" w:eastAsia="メイリオ" w:hAnsi="メイリオ" w:hint="eastAsia"/>
                <w:szCs w:val="21"/>
              </w:rPr>
              <w:t>職業系のエリア選択者が多い学校や、卒業後の進路先が多様な学校については、総合学科へ改編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の上、</w:t>
            </w:r>
            <w:r w:rsidR="00055B6B">
              <w:rPr>
                <w:rFonts w:ascii="メイリオ" w:eastAsia="メイリオ" w:hAnsi="メイリオ" w:hint="eastAsia"/>
                <w:szCs w:val="21"/>
              </w:rPr>
              <w:t>生徒の</w:t>
            </w:r>
            <w:r w:rsidR="0098393A">
              <w:rPr>
                <w:rFonts w:ascii="メイリオ" w:eastAsia="メイリオ" w:hAnsi="メイリオ" w:hint="eastAsia"/>
                <w:szCs w:val="21"/>
              </w:rPr>
              <w:t>多様な進路に直結した施設設備を整備し</w:t>
            </w:r>
            <w:r w:rsidR="00055B6B">
              <w:rPr>
                <w:rFonts w:ascii="メイリオ" w:eastAsia="メイリオ" w:hAnsi="メイリオ" w:hint="eastAsia"/>
                <w:szCs w:val="21"/>
              </w:rPr>
              <w:t>、</w:t>
            </w:r>
            <w:r w:rsidR="0098393A">
              <w:rPr>
                <w:rFonts w:ascii="メイリオ" w:eastAsia="メイリオ" w:hAnsi="メイリオ" w:hint="eastAsia"/>
                <w:szCs w:val="21"/>
              </w:rPr>
              <w:t>将来の職業選択を視野に入れた</w:t>
            </w:r>
            <w:r w:rsidR="00055B6B">
              <w:rPr>
                <w:rFonts w:ascii="メイリオ" w:eastAsia="メイリオ" w:hAnsi="メイリオ" w:hint="eastAsia"/>
                <w:szCs w:val="21"/>
              </w:rPr>
              <w:t>幅広い授業等を実施</w:t>
            </w:r>
            <w:r w:rsidR="00FF45E3" w:rsidRPr="00FF45E3">
              <w:rPr>
                <w:rFonts w:ascii="メイリオ" w:eastAsia="メイリオ" w:hAnsi="メイリオ"/>
                <w:szCs w:val="21"/>
              </w:rPr>
              <w:t xml:space="preserve">　　　　　　　　　　　　　</w:t>
            </w:r>
            <w:r w:rsidR="00FA0D6F"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C5E21" w:rsidRPr="00FA493B" w:rsidRDefault="00FA493B" w:rsidP="000C5E21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="000C5E21" w:rsidRPr="00FA493B">
              <w:rPr>
                <w:rFonts w:ascii="メイリオ" w:eastAsia="メイリオ" w:hAnsi="メイリオ" w:hint="eastAsia"/>
                <w:szCs w:val="21"/>
              </w:rPr>
              <w:t>実習教室等の整備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F55553">
              <w:rPr>
                <w:rFonts w:ascii="メイリオ" w:eastAsia="メイリオ" w:hAnsi="メイリオ" w:hint="eastAsia"/>
                <w:szCs w:val="21"/>
              </w:rPr>
              <w:t>保育実習室、</w:t>
            </w:r>
            <w:r w:rsidR="008F300C">
              <w:rPr>
                <w:rFonts w:ascii="メイリオ" w:eastAsia="メイリオ" w:hAnsi="メイリオ" w:hint="eastAsia"/>
                <w:szCs w:val="21"/>
              </w:rPr>
              <w:t>プレゼンルーム</w:t>
            </w:r>
            <w:bookmarkStart w:id="0" w:name="_GoBack"/>
            <w:bookmarkEnd w:id="0"/>
            <w:r w:rsidR="00BE1F05">
              <w:rPr>
                <w:rFonts w:ascii="メイリオ" w:eastAsia="メイリオ" w:hAnsi="メイリオ" w:hint="eastAsia"/>
                <w:szCs w:val="21"/>
              </w:rPr>
              <w:t xml:space="preserve">　等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="000C5E21" w:rsidRPr="00FA493B">
              <w:rPr>
                <w:rFonts w:ascii="メイリオ" w:eastAsia="メイリオ" w:hAnsi="メイリオ" w:hint="eastAsia"/>
                <w:szCs w:val="21"/>
              </w:rPr>
              <w:t>多様な専門教科・科目に必要な実習設備、教具の整備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・福祉</w:t>
            </w:r>
            <w:r w:rsidR="00055B6B">
              <w:rPr>
                <w:rFonts w:ascii="メイリオ" w:eastAsia="メイリオ" w:hAnsi="メイリオ" w:hint="eastAsia"/>
                <w:szCs w:val="21"/>
              </w:rPr>
              <w:t>・看護系列等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実習用教具　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FA493B">
              <w:rPr>
                <w:rFonts w:ascii="メイリオ" w:eastAsia="メイリオ" w:hAnsi="メイリオ" w:hint="eastAsia"/>
                <w:szCs w:val="21"/>
              </w:rPr>
              <w:t>多様な専門教科・科目に必要な実習設備、教具の整備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ｱｸﾃｨﾌﾞﾗｰﾆﾝｸﾞ用のICT機器　等</w:t>
            </w:r>
          </w:p>
        </w:tc>
      </w:tr>
      <w:tr w:rsidR="000C5E21" w:rsidRPr="00FA493B" w:rsidTr="00312585">
        <w:tc>
          <w:tcPr>
            <w:tcW w:w="1129" w:type="dxa"/>
            <w:vMerge/>
          </w:tcPr>
          <w:p w:rsidR="000C5E21" w:rsidRPr="00BE1F05" w:rsidRDefault="000C5E21" w:rsidP="00F0297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E0256" w:rsidRDefault="000C5E21" w:rsidP="003E0256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A6110E">
              <w:rPr>
                <w:rFonts w:ascii="メイリオ" w:eastAsia="メイリオ" w:hAnsi="メイリオ" w:hint="eastAsia"/>
                <w:w w:val="85"/>
                <w:kern w:val="0"/>
                <w:szCs w:val="21"/>
                <w:bdr w:val="single" w:sz="4" w:space="0" w:color="auto"/>
                <w:fitText w:val="2415" w:id="2093198080"/>
              </w:rPr>
              <w:t>普通科専門</w:t>
            </w:r>
            <w:r w:rsidR="003E0256" w:rsidRPr="00A6110E">
              <w:rPr>
                <w:rFonts w:ascii="メイリオ" w:eastAsia="メイリオ" w:hAnsi="メイリオ" w:hint="eastAsia"/>
                <w:w w:val="85"/>
                <w:kern w:val="0"/>
                <w:szCs w:val="21"/>
                <w:bdr w:val="single" w:sz="4" w:space="0" w:color="auto"/>
                <w:fitText w:val="2415" w:id="2093198080"/>
              </w:rPr>
              <w:t>ｺｰｽ</w:t>
            </w:r>
            <w:r w:rsidRPr="00A6110E">
              <w:rPr>
                <w:rFonts w:ascii="メイリオ" w:eastAsia="メイリオ" w:hAnsi="メイリオ" w:hint="eastAsia"/>
                <w:w w:val="85"/>
                <w:kern w:val="0"/>
                <w:szCs w:val="21"/>
                <w:bdr w:val="single" w:sz="4" w:space="0" w:color="auto"/>
                <w:fitText w:val="2415" w:id="2093198080"/>
              </w:rPr>
              <w:t>設置校への改</w:t>
            </w:r>
            <w:r w:rsidRPr="00A6110E">
              <w:rPr>
                <w:rFonts w:ascii="メイリオ" w:eastAsia="メイリオ" w:hAnsi="メイリオ" w:hint="eastAsia"/>
                <w:spacing w:val="6"/>
                <w:w w:val="85"/>
                <w:kern w:val="0"/>
                <w:szCs w:val="21"/>
                <w:bdr w:val="single" w:sz="4" w:space="0" w:color="auto"/>
                <w:fitText w:val="2415" w:id="2093198080"/>
              </w:rPr>
              <w:t>編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八尾翠翔、日根野(</w:t>
            </w:r>
            <w:r w:rsidRPr="00FF45E3">
              <w:rPr>
                <w:rFonts w:ascii="メイリオ" w:eastAsia="メイリオ" w:hAnsi="メイリオ"/>
                <w:szCs w:val="21"/>
              </w:rPr>
              <w:t>H27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/>
                <w:szCs w:val="21"/>
              </w:rPr>
              <w:t>豊島、北かわち皐が丘、</w:t>
            </w:r>
          </w:p>
          <w:p w:rsidR="00312585" w:rsidRPr="00FF45E3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みどり清朋、懐風館(</w:t>
            </w:r>
            <w:r w:rsidRPr="00FF45E3">
              <w:rPr>
                <w:rFonts w:ascii="メイリオ" w:eastAsia="メイリオ" w:hAnsi="メイリオ"/>
                <w:szCs w:val="21"/>
              </w:rPr>
              <w:t>H28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F45E3">
              <w:rPr>
                <w:rFonts w:ascii="メイリオ" w:eastAsia="メイリオ" w:hAnsi="メイリオ" w:hint="eastAsia"/>
                <w:szCs w:val="21"/>
              </w:rPr>
              <w:t>東淀川、かわち野、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りんくう翔南(</w:t>
            </w:r>
            <w:r w:rsidRPr="00FF45E3">
              <w:rPr>
                <w:rFonts w:ascii="メイリオ" w:eastAsia="メイリオ" w:hAnsi="メイリオ"/>
                <w:szCs w:val="21"/>
              </w:rPr>
              <w:t>H29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</w:p>
          <w:p w:rsidR="00583859" w:rsidRPr="00FA493B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北摂つばさ、緑風冠、金剛(</w:t>
            </w:r>
            <w:r w:rsidRPr="00FF45E3">
              <w:rPr>
                <w:rFonts w:ascii="メイリオ" w:eastAsia="メイリオ" w:hAnsi="メイリオ"/>
                <w:szCs w:val="21"/>
              </w:rPr>
              <w:t>H30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【12校改編】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FA0D6F" w:rsidRPr="00FA493B" w:rsidRDefault="00312585" w:rsidP="0098393A">
            <w:pPr>
              <w:tabs>
                <w:tab w:val="left" w:pos="1276"/>
              </w:tabs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583859">
              <w:rPr>
                <w:rFonts w:ascii="メイリオ" w:eastAsia="メイリオ" w:hAnsi="メイリオ" w:hint="eastAsia"/>
                <w:szCs w:val="21"/>
              </w:rPr>
              <w:t>普通科系のエリア選択者が多い学校や、卒業後の進路先として進学者</w:t>
            </w:r>
            <w:r>
              <w:rPr>
                <w:rFonts w:ascii="メイリオ" w:eastAsia="メイリオ" w:hAnsi="メイリオ" w:hint="eastAsia"/>
                <w:szCs w:val="21"/>
              </w:rPr>
              <w:t>が多い傾向にある学校については、普通科専門コース設置校へ改編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の上、ガイダンス機能</w:t>
            </w:r>
            <w:r w:rsidR="0098393A">
              <w:rPr>
                <w:rFonts w:ascii="メイリオ" w:eastAsia="メイリオ" w:hAnsi="メイリオ" w:hint="eastAsia"/>
                <w:szCs w:val="21"/>
              </w:rPr>
              <w:t>・学習環境の充実とあわせて、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専門科目等の授業内容の充実</w:t>
            </w:r>
            <w:r w:rsidR="0098393A">
              <w:rPr>
                <w:rFonts w:ascii="メイリオ" w:eastAsia="メイリオ" w:hAnsi="メイリオ" w:hint="eastAsia"/>
                <w:szCs w:val="21"/>
              </w:rPr>
              <w:t>、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少人数展開の授業</w:t>
            </w:r>
            <w:r w:rsidR="0098393A">
              <w:rPr>
                <w:rFonts w:ascii="メイリオ" w:eastAsia="メイリオ" w:hAnsi="メイリオ" w:hint="eastAsia"/>
                <w:szCs w:val="21"/>
              </w:rPr>
              <w:t>等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を実施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FA493B" w:rsidRPr="00FA493B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FA493B">
              <w:rPr>
                <w:rFonts w:ascii="メイリオ" w:eastAsia="メイリオ" w:hAnsi="メイリオ" w:hint="eastAsia"/>
                <w:szCs w:val="21"/>
              </w:rPr>
              <w:t>大学進学等の進路支援環境の整備</w:t>
            </w:r>
          </w:p>
          <w:p w:rsidR="00BE1F05" w:rsidRDefault="00FA493B" w:rsidP="00BE1F05">
            <w:pPr>
              <w:tabs>
                <w:tab w:val="left" w:pos="1276"/>
              </w:tabs>
              <w:spacing w:line="260" w:lineRule="exact"/>
              <w:ind w:leftChars="100" w:left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ｷｬﾘｱｶﾞｲﾀﾞﾝｽﾙｰﾑ、自習室の整備</w:t>
            </w:r>
          </w:p>
          <w:p w:rsidR="00FA493B" w:rsidRPr="00FA493B" w:rsidRDefault="00BE1F05" w:rsidP="00BE1F05">
            <w:pPr>
              <w:tabs>
                <w:tab w:val="left" w:pos="1276"/>
              </w:tabs>
              <w:spacing w:line="260" w:lineRule="exact"/>
              <w:ind w:leftChars="100" w:left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FA493B" w:rsidRPr="00FA493B">
              <w:rPr>
                <w:rFonts w:ascii="メイリオ" w:eastAsia="メイリオ" w:hAnsi="メイリオ" w:hint="eastAsia"/>
                <w:szCs w:val="21"/>
              </w:rPr>
              <w:t>短焦点</w:t>
            </w:r>
            <w:r>
              <w:rPr>
                <w:rFonts w:ascii="メイリオ" w:eastAsia="メイリオ" w:hAnsi="メイリオ" w:hint="eastAsia"/>
                <w:szCs w:val="21"/>
              </w:rPr>
              <w:t>ﾌﾟﾛｼﾞｪｸﾀの設置　等</w:t>
            </w:r>
          </w:p>
          <w:p w:rsidR="00BE1F05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専門コースの科目に必要な実習設備、</w:t>
            </w:r>
          </w:p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教具の整備</w:t>
            </w:r>
          </w:p>
          <w:p w:rsidR="000C5E21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保育・福祉・工芸</w:t>
            </w:r>
            <w:r w:rsidR="00F55553">
              <w:rPr>
                <w:rFonts w:ascii="メイリオ" w:eastAsia="メイリオ" w:hAnsi="メイリオ" w:hint="eastAsia"/>
                <w:szCs w:val="21"/>
              </w:rPr>
              <w:t>ｺｰｽ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等実習用教具</w:t>
            </w:r>
            <w:r w:rsidR="00F555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BE1F05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E21" w:rsidRPr="00FA493B" w:rsidRDefault="00FA493B" w:rsidP="0031258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FA493B" w:rsidRPr="00FA493B" w:rsidTr="00312585">
        <w:tc>
          <w:tcPr>
            <w:tcW w:w="1129" w:type="dxa"/>
          </w:tcPr>
          <w:p w:rsidR="00FA493B" w:rsidRPr="00BE1F05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BE1F05">
              <w:rPr>
                <w:rFonts w:ascii="メイリオ" w:eastAsia="メイリオ" w:hAnsi="メイリオ" w:hint="eastAsia"/>
                <w:b/>
                <w:szCs w:val="21"/>
              </w:rPr>
              <w:t>機能統合による再編整備</w:t>
            </w:r>
          </w:p>
        </w:tc>
        <w:tc>
          <w:tcPr>
            <w:tcW w:w="2967" w:type="dxa"/>
          </w:tcPr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長野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Pr="00FA0D6F">
              <w:rPr>
                <w:rFonts w:ascii="メイリオ" w:eastAsia="メイリオ" w:hAnsi="メイリオ"/>
                <w:szCs w:val="21"/>
              </w:rPr>
              <w:t>H31</w:t>
            </w:r>
            <w:r>
              <w:rPr>
                <w:rFonts w:ascii="メイリオ" w:eastAsia="メイリオ" w:hAnsi="メイリオ"/>
                <w:szCs w:val="21"/>
              </w:rPr>
              <w:t>、長野北と機能統合)</w:t>
            </w:r>
          </w:p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八尾翠翔</w:t>
            </w:r>
          </w:p>
          <w:p w:rsidR="00583859" w:rsidRPr="00FA493B" w:rsidRDefault="00312585" w:rsidP="00312585">
            <w:pPr>
              <w:tabs>
                <w:tab w:val="left" w:pos="1276"/>
              </w:tabs>
              <w:spacing w:line="260" w:lineRule="exact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(</w:t>
            </w:r>
            <w:r w:rsidRPr="00FA0D6F">
              <w:rPr>
                <w:rFonts w:ascii="メイリオ" w:eastAsia="メイリオ" w:hAnsi="メイリオ"/>
                <w:szCs w:val="21"/>
              </w:rPr>
              <w:t>H31</w:t>
            </w:r>
            <w:r>
              <w:rPr>
                <w:rFonts w:ascii="メイリオ" w:eastAsia="メイリオ" w:hAnsi="メイリオ"/>
                <w:szCs w:val="21"/>
              </w:rPr>
              <w:t>、柏原東と機能統合)</w:t>
            </w:r>
            <w:r w:rsidRPr="00FA493B"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  <w:tc>
          <w:tcPr>
            <w:tcW w:w="3412" w:type="dxa"/>
          </w:tcPr>
          <w:p w:rsidR="00FA493B" w:rsidRPr="00312585" w:rsidRDefault="00312585" w:rsidP="00346BCB">
            <w:pPr>
              <w:tabs>
                <w:tab w:val="left" w:pos="1276"/>
              </w:tabs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583859">
              <w:rPr>
                <w:rFonts w:ascii="メイリオ" w:eastAsia="メイリオ" w:hAnsi="メイリオ" w:hint="eastAsia"/>
                <w:szCs w:val="21"/>
              </w:rPr>
              <w:t>再編整備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の対象となった学校の</w:t>
            </w:r>
            <w:r w:rsidRPr="00583859">
              <w:rPr>
                <w:rFonts w:ascii="メイリオ" w:eastAsia="メイリオ" w:hAnsi="メイリオ" w:hint="eastAsia"/>
                <w:szCs w:val="21"/>
              </w:rPr>
              <w:t>特色ある科目</w:t>
            </w:r>
            <w:r>
              <w:rPr>
                <w:rFonts w:ascii="メイリオ" w:eastAsia="メイリオ" w:hAnsi="メイリオ" w:hint="eastAsia"/>
                <w:szCs w:val="21"/>
              </w:rPr>
              <w:t>や</w:t>
            </w:r>
            <w:r w:rsidRPr="00583859">
              <w:rPr>
                <w:rFonts w:ascii="メイリオ" w:eastAsia="メイリオ" w:hAnsi="メイリオ" w:hint="eastAsia"/>
                <w:szCs w:val="21"/>
              </w:rPr>
              <w:t>教育</w:t>
            </w:r>
            <w:r>
              <w:rPr>
                <w:rFonts w:ascii="メイリオ" w:eastAsia="メイリオ" w:hAnsi="メイリオ" w:hint="eastAsia"/>
                <w:szCs w:val="21"/>
              </w:rPr>
              <w:t>活動を継承・発展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A493B" w:rsidRPr="00FA493B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○教科科目等の新設・授業内容の充実</w:t>
            </w:r>
          </w:p>
          <w:p w:rsidR="00FA493B" w:rsidRPr="00FA493B" w:rsidRDefault="00BE1F05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・科目等実施に必要な実習室、教具</w:t>
            </w:r>
            <w:r w:rsidR="00FA493B" w:rsidRPr="00FA493B">
              <w:rPr>
                <w:rFonts w:ascii="メイリオ" w:eastAsia="メイリオ" w:hAnsi="メイリオ" w:hint="eastAsia"/>
                <w:szCs w:val="21"/>
              </w:rPr>
              <w:t>の整備</w:t>
            </w:r>
          </w:p>
          <w:p w:rsidR="00FA493B" w:rsidRPr="00FA493B" w:rsidRDefault="005B3C95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○継承・発展する教育活動のための環境整備</w:t>
            </w:r>
          </w:p>
          <w:p w:rsidR="00BE1F05" w:rsidRDefault="00FA493B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・高大連携、地域連携等に活用する</w:t>
            </w:r>
          </w:p>
          <w:p w:rsidR="00FA493B" w:rsidRPr="00FA493B" w:rsidRDefault="00FA493B" w:rsidP="00BE1F05">
            <w:pPr>
              <w:tabs>
                <w:tab w:val="left" w:pos="1276"/>
              </w:tabs>
              <w:spacing w:line="26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特別教室の整備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FA493B" w:rsidRPr="00FA493B" w:rsidRDefault="00FA493B" w:rsidP="0031258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FA493B" w:rsidRPr="00FA493B" w:rsidTr="00312585">
        <w:tc>
          <w:tcPr>
            <w:tcW w:w="1129" w:type="dxa"/>
          </w:tcPr>
          <w:p w:rsidR="00FA493B" w:rsidRPr="00BE1F05" w:rsidRDefault="00FF45E3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BE1F05">
              <w:rPr>
                <w:rFonts w:ascii="メイリオ" w:eastAsia="メイリオ" w:hAnsi="メイリオ" w:hint="eastAsia"/>
                <w:b/>
                <w:szCs w:val="21"/>
              </w:rPr>
              <w:t>能勢高校の再編整備</w:t>
            </w:r>
          </w:p>
        </w:tc>
        <w:tc>
          <w:tcPr>
            <w:tcW w:w="2967" w:type="dxa"/>
          </w:tcPr>
          <w:p w:rsidR="00312585" w:rsidRDefault="00312585" w:rsidP="00312585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A0D6F">
              <w:rPr>
                <w:rFonts w:ascii="メイリオ" w:eastAsia="メイリオ" w:hAnsi="メイリオ" w:hint="eastAsia"/>
                <w:szCs w:val="21"/>
              </w:rPr>
              <w:t>能勢</w:t>
            </w:r>
          </w:p>
          <w:p w:rsidR="00FA493B" w:rsidRPr="00FA493B" w:rsidRDefault="00312585" w:rsidP="000F53ED">
            <w:pPr>
              <w:tabs>
                <w:tab w:val="left" w:pos="1276"/>
              </w:tabs>
              <w:spacing w:line="260" w:lineRule="exact"/>
              <w:ind w:leftChars="50" w:left="210" w:hangingChars="50" w:hanging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Pr="00FA0D6F">
              <w:rPr>
                <w:rFonts w:ascii="メイリオ" w:eastAsia="メイリオ" w:hAnsi="メイリオ"/>
                <w:szCs w:val="21"/>
              </w:rPr>
              <w:t>H30</w:t>
            </w:r>
            <w:r>
              <w:rPr>
                <w:rFonts w:ascii="メイリオ" w:eastAsia="メイリオ" w:hAnsi="メイリオ"/>
                <w:szCs w:val="21"/>
              </w:rPr>
              <w:t>、豊中高校分校</w:t>
            </w:r>
            <w:r w:rsidR="000F53ED">
              <w:rPr>
                <w:rFonts w:ascii="メイリオ" w:eastAsia="メイリオ" w:hAnsi="メイリオ" w:hint="eastAsia"/>
                <w:szCs w:val="21"/>
              </w:rPr>
              <w:t>として</w:t>
            </w:r>
            <w:r>
              <w:rPr>
                <w:rFonts w:ascii="メイリオ" w:eastAsia="メイリオ" w:hAnsi="メイリオ"/>
                <w:szCs w:val="21"/>
              </w:rPr>
              <w:t>開校</w:t>
            </w:r>
            <w:r>
              <w:rPr>
                <w:rFonts w:ascii="メイリオ" w:eastAsia="メイリオ" w:hAnsi="メイリオ" w:hint="eastAsia"/>
                <w:szCs w:val="21"/>
              </w:rPr>
              <w:t>)</w:t>
            </w:r>
            <w:r w:rsidRPr="00FA493B"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  <w:tc>
          <w:tcPr>
            <w:tcW w:w="3412" w:type="dxa"/>
          </w:tcPr>
          <w:p w:rsidR="00FA493B" w:rsidRPr="00FA493B" w:rsidRDefault="00312585" w:rsidP="00F55553">
            <w:pPr>
              <w:tabs>
                <w:tab w:val="left" w:pos="1276"/>
              </w:tabs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583859">
              <w:rPr>
                <w:rFonts w:ascii="メイリオ" w:eastAsia="メイリオ" w:hAnsi="メイリオ" w:hint="eastAsia"/>
                <w:szCs w:val="21"/>
              </w:rPr>
              <w:t>分校</w:t>
            </w:r>
            <w:r w:rsidR="00E51ACB">
              <w:rPr>
                <w:rFonts w:ascii="メイリオ" w:eastAsia="メイリオ" w:hAnsi="メイリオ" w:hint="eastAsia"/>
                <w:szCs w:val="21"/>
              </w:rPr>
              <w:t>への改編を機に、大学進学</w:t>
            </w:r>
            <w:r w:rsidR="00346BCB">
              <w:rPr>
                <w:rFonts w:ascii="メイリオ" w:eastAsia="メイリオ" w:hAnsi="メイリオ" w:hint="eastAsia"/>
                <w:szCs w:val="21"/>
              </w:rPr>
              <w:t>コースを設置し</w:t>
            </w:r>
            <w:r w:rsidR="00FF4173">
              <w:rPr>
                <w:rFonts w:ascii="メイリオ" w:eastAsia="メイリオ" w:hAnsi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本校から分校では開講できない科目</w:t>
            </w:r>
            <w:r w:rsidR="00FF4173">
              <w:rPr>
                <w:rFonts w:ascii="メイリオ" w:eastAsia="メイリオ" w:hAnsi="メイリオ" w:hint="eastAsia"/>
                <w:szCs w:val="21"/>
              </w:rPr>
              <w:t>や進学講習などの</w:t>
            </w:r>
            <w:r>
              <w:rPr>
                <w:rFonts w:ascii="メイリオ" w:eastAsia="メイリオ" w:hAnsi="メイリオ" w:hint="eastAsia"/>
                <w:szCs w:val="21"/>
              </w:rPr>
              <w:t>遠隔授業を実施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FA493B" w:rsidRPr="00FA493B" w:rsidRDefault="00FA493B" w:rsidP="00312585">
            <w:pPr>
              <w:tabs>
                <w:tab w:val="left" w:pos="1276"/>
              </w:tabs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A493B" w:rsidRPr="00FA493B" w:rsidRDefault="00FA493B" w:rsidP="00FA493B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FA493B">
              <w:rPr>
                <w:rFonts w:ascii="メイリオ" w:eastAsia="メイリオ" w:hAnsi="メイリオ" w:hint="eastAsia"/>
                <w:szCs w:val="21"/>
              </w:rPr>
              <w:t>○本校・分校間の効果的な連携</w:t>
            </w:r>
          </w:p>
          <w:p w:rsidR="00FA493B" w:rsidRPr="00FA493B" w:rsidRDefault="00F55553" w:rsidP="00BE1F05">
            <w:pPr>
              <w:tabs>
                <w:tab w:val="left" w:pos="1276"/>
              </w:tabs>
              <w:spacing w:line="2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・遠隔授業システム(ネット教室)</w:t>
            </w:r>
            <w:r w:rsidR="00FA493B" w:rsidRPr="00FA493B">
              <w:rPr>
                <w:rFonts w:ascii="メイリオ" w:eastAsia="メイリオ" w:hAnsi="メイリオ" w:hint="eastAsia"/>
                <w:szCs w:val="21"/>
              </w:rPr>
              <w:t>の整備</w:t>
            </w:r>
          </w:p>
        </w:tc>
      </w:tr>
    </w:tbl>
    <w:p w:rsidR="000C5E21" w:rsidRPr="00F0297D" w:rsidRDefault="000C5E21" w:rsidP="00F0297D">
      <w:pPr>
        <w:tabs>
          <w:tab w:val="left" w:pos="1276"/>
        </w:tabs>
        <w:spacing w:line="260" w:lineRule="exact"/>
        <w:rPr>
          <w:rFonts w:ascii="メイリオ" w:eastAsia="メイリオ" w:hAnsi="メイリオ"/>
          <w:b/>
          <w:sz w:val="22"/>
        </w:rPr>
      </w:pPr>
    </w:p>
    <w:sectPr w:rsidR="000C5E21" w:rsidRPr="00F0297D" w:rsidSect="00FF4173">
      <w:pgSz w:w="16838" w:h="11906" w:orient="landscape" w:code="9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FD" w:rsidRDefault="00C548FD" w:rsidP="007D6056">
      <w:r>
        <w:separator/>
      </w:r>
    </w:p>
  </w:endnote>
  <w:endnote w:type="continuationSeparator" w:id="0">
    <w:p w:rsidR="00C548FD" w:rsidRDefault="00C548FD" w:rsidP="007D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FD" w:rsidRDefault="00C548FD" w:rsidP="007D6056">
      <w:r>
        <w:separator/>
      </w:r>
    </w:p>
  </w:footnote>
  <w:footnote w:type="continuationSeparator" w:id="0">
    <w:p w:rsidR="00C548FD" w:rsidRDefault="00C548FD" w:rsidP="007D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BFE"/>
    <w:multiLevelType w:val="hybridMultilevel"/>
    <w:tmpl w:val="BF78D6C0"/>
    <w:lvl w:ilvl="0" w:tplc="FF807CE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F69BF"/>
    <w:multiLevelType w:val="hybridMultilevel"/>
    <w:tmpl w:val="AA2E2806"/>
    <w:lvl w:ilvl="0" w:tplc="FF807CE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7294A"/>
    <w:multiLevelType w:val="hybridMultilevel"/>
    <w:tmpl w:val="DD2A1890"/>
    <w:lvl w:ilvl="0" w:tplc="203AB7E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C1D75"/>
    <w:multiLevelType w:val="hybridMultilevel"/>
    <w:tmpl w:val="855C8910"/>
    <w:lvl w:ilvl="0" w:tplc="FF807CE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541A6"/>
    <w:multiLevelType w:val="hybridMultilevel"/>
    <w:tmpl w:val="7276AB3E"/>
    <w:lvl w:ilvl="0" w:tplc="FF807CE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93444C"/>
    <w:multiLevelType w:val="hybridMultilevel"/>
    <w:tmpl w:val="B4DE41EE"/>
    <w:lvl w:ilvl="0" w:tplc="203AB7E8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7496E"/>
    <w:multiLevelType w:val="hybridMultilevel"/>
    <w:tmpl w:val="FAE84B7E"/>
    <w:lvl w:ilvl="0" w:tplc="203AB7E8"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6"/>
    <w:rsid w:val="00055B6B"/>
    <w:rsid w:val="000C5E21"/>
    <w:rsid w:val="000F53ED"/>
    <w:rsid w:val="0017586A"/>
    <w:rsid w:val="001774D3"/>
    <w:rsid w:val="00205AC1"/>
    <w:rsid w:val="002777BF"/>
    <w:rsid w:val="002F596C"/>
    <w:rsid w:val="00312585"/>
    <w:rsid w:val="00346BCB"/>
    <w:rsid w:val="003D512F"/>
    <w:rsid w:val="003E0256"/>
    <w:rsid w:val="005062BC"/>
    <w:rsid w:val="005700CB"/>
    <w:rsid w:val="00583859"/>
    <w:rsid w:val="005B3C95"/>
    <w:rsid w:val="006F49DB"/>
    <w:rsid w:val="0072796E"/>
    <w:rsid w:val="007A45EC"/>
    <w:rsid w:val="007D6056"/>
    <w:rsid w:val="00825A54"/>
    <w:rsid w:val="0086524C"/>
    <w:rsid w:val="008A3B57"/>
    <w:rsid w:val="008F300C"/>
    <w:rsid w:val="00900A43"/>
    <w:rsid w:val="0098393A"/>
    <w:rsid w:val="009B1562"/>
    <w:rsid w:val="009B1CF6"/>
    <w:rsid w:val="00A46B44"/>
    <w:rsid w:val="00A46F1A"/>
    <w:rsid w:val="00A91160"/>
    <w:rsid w:val="00AC7F46"/>
    <w:rsid w:val="00B8107A"/>
    <w:rsid w:val="00BB0892"/>
    <w:rsid w:val="00BE1F05"/>
    <w:rsid w:val="00BE53AA"/>
    <w:rsid w:val="00C548FD"/>
    <w:rsid w:val="00C74CAF"/>
    <w:rsid w:val="00CE7A01"/>
    <w:rsid w:val="00CF68D1"/>
    <w:rsid w:val="00D055A8"/>
    <w:rsid w:val="00D33007"/>
    <w:rsid w:val="00DF42B4"/>
    <w:rsid w:val="00E4582E"/>
    <w:rsid w:val="00E51ACB"/>
    <w:rsid w:val="00EB6209"/>
    <w:rsid w:val="00EF4F3C"/>
    <w:rsid w:val="00F0297D"/>
    <w:rsid w:val="00F55553"/>
    <w:rsid w:val="00F920E9"/>
    <w:rsid w:val="00F94AC1"/>
    <w:rsid w:val="00FA0D6F"/>
    <w:rsid w:val="00FA493B"/>
    <w:rsid w:val="00FC6E5D"/>
    <w:rsid w:val="00FD28DA"/>
    <w:rsid w:val="00FF417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3AE8C"/>
  <w15:chartTrackingRefBased/>
  <w15:docId w15:val="{4658382C-7E71-4498-BB7F-20168E9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0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6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056"/>
  </w:style>
  <w:style w:type="paragraph" w:styleId="a7">
    <w:name w:val="footer"/>
    <w:basedOn w:val="a"/>
    <w:link w:val="a8"/>
    <w:uiPriority w:val="99"/>
    <w:unhideWhenUsed/>
    <w:rsid w:val="007D6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81FE-24D2-405F-AE0B-06C3C4BC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統</dc:creator>
  <cp:keywords/>
  <dc:description/>
  <cp:lastModifiedBy>西村　友美</cp:lastModifiedBy>
  <cp:revision>12</cp:revision>
  <cp:lastPrinted>2020-01-08T02:25:00Z</cp:lastPrinted>
  <dcterms:created xsi:type="dcterms:W3CDTF">2019-12-23T09:52:00Z</dcterms:created>
  <dcterms:modified xsi:type="dcterms:W3CDTF">2020-01-09T02:26:00Z</dcterms:modified>
</cp:coreProperties>
</file>