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E543" w14:textId="38E5BBA9" w:rsidR="008020FF" w:rsidRPr="009E2C66" w:rsidRDefault="00E71535" w:rsidP="001F4616">
      <w:pPr>
        <w:spacing w:line="440" w:lineRule="exact"/>
        <w:rPr>
          <w:rFonts w:ascii="メイリオ" w:eastAsia="メイリオ" w:hAnsi="メイリオ"/>
          <w:b/>
          <w:sz w:val="28"/>
          <w:szCs w:val="28"/>
        </w:rPr>
      </w:pPr>
      <w:r w:rsidRPr="00245DD1">
        <w:rPr>
          <w:rFonts w:ascii="HG丸ｺﾞｼｯｸM-PRO" w:eastAsia="HG丸ｺﾞｼｯｸM-PRO" w:hAnsi="HG丸ｺﾞｼｯｸM-PRO"/>
          <w:noProof/>
          <w:sz w:val="32"/>
          <w:szCs w:val="32"/>
          <w:highlight w:val="gree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5D1124" wp14:editId="325F97CE">
                <wp:simplePos x="0" y="0"/>
                <wp:positionH relativeFrom="margin">
                  <wp:align>right</wp:align>
                </wp:positionH>
                <wp:positionV relativeFrom="paragraph">
                  <wp:posOffset>-838835</wp:posOffset>
                </wp:positionV>
                <wp:extent cx="2962656" cy="1060704"/>
                <wp:effectExtent l="0" t="0" r="0" b="6350"/>
                <wp:wrapNone/>
                <wp:docPr id="1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656" cy="10607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3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200"/>
                              <w:gridCol w:w="3100"/>
                            </w:tblGrid>
                            <w:tr w:rsidR="00E71535" w:rsidRPr="00A04C18" w14:paraId="27A4F9FA" w14:textId="77777777" w:rsidTr="00D00445">
                              <w:tc>
                                <w:tcPr>
                                  <w:tcW w:w="120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55754281" w14:textId="0C20597E" w:rsidR="00E71535" w:rsidRPr="00E71535" w:rsidRDefault="00E71535" w:rsidP="00E71535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Arial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資料</w:t>
                                  </w:r>
                                  <w:r w:rsidR="00E3563D">
                                    <w:rPr>
                                      <w:rFonts w:ascii="BIZ UDPゴシック" w:eastAsia="BIZ UDPゴシック" w:hAnsi="BIZ UDPゴシック" w:cs="Arial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0E85373E" w14:textId="77777777" w:rsidR="00E71535" w:rsidRPr="00A04C18" w:rsidRDefault="00E71535" w:rsidP="00D00445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A04C18">
                                    <w:rPr>
                                      <w:rFonts w:ascii="BIZ UDPゴシック" w:eastAsia="BIZ UDPゴシック" w:hAnsi="BIZ UDPゴシック" w:cs="Arial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BIZ UDPゴシック" w:eastAsia="BIZ UDPゴシック" w:hAnsi="BIZ UDPゴシック" w:cs="Arial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A04C18">
                                    <w:rPr>
                                      <w:rFonts w:ascii="BIZ UDPゴシック" w:eastAsia="BIZ UDPゴシック" w:hAnsi="BIZ UDPゴシック" w:cs="Arial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BIZ UDPゴシック" w:eastAsia="BIZ UDPゴシック" w:hAnsi="BIZ UDPゴシック" w:cs="Arial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A04C18">
                                    <w:rPr>
                                      <w:rFonts w:ascii="BIZ UDPゴシック" w:eastAsia="BIZ UDPゴシック" w:hAnsi="BIZ UDPゴシック" w:cs="Arial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Pゴシック" w:eastAsia="BIZ UDPゴシック" w:hAnsi="BIZ UDPゴシック" w:cs="Arial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A04C18">
                                    <w:rPr>
                                      <w:rFonts w:ascii="BIZ UDPゴシック" w:eastAsia="BIZ UDPゴシック" w:hAnsi="BIZ UDPゴシック" w:cs="Arial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71535" w:rsidRPr="00A04C18" w14:paraId="5463473C" w14:textId="77777777" w:rsidTr="00D00445">
                              <w:trPr>
                                <w:trHeight w:val="186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F16A4FD" w14:textId="77777777" w:rsidR="00E71535" w:rsidRPr="00A04C18" w:rsidRDefault="00E71535" w:rsidP="00D00445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2C46E74" w14:textId="77777777" w:rsidR="00E71535" w:rsidRPr="00A04C18" w:rsidRDefault="00E71535" w:rsidP="00D00445">
                                  <w:pPr>
                                    <w:widowControl/>
                                    <w:jc w:val="left"/>
                                    <w:rPr>
                                      <w:rFonts w:ascii="BIZ UDPゴシック" w:eastAsia="BIZ UDPゴシック" w:hAnsi="BIZ UDPゴシック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A04C18">
                                    <w:rPr>
                                      <w:rFonts w:ascii="BIZ UDPゴシック" w:eastAsia="BIZ UDPゴシック" w:hAnsi="BIZ UDPゴシック" w:cs="Arial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令和5</w:t>
                                  </w:r>
                                  <w:r>
                                    <w:rPr>
                                      <w:rFonts w:ascii="BIZ UDPゴシック" w:eastAsia="BIZ UDPゴシック" w:hAnsi="BIZ UDPゴシック" w:cs="Arial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年度第2</w:t>
                                  </w:r>
                                  <w:r w:rsidRPr="00A04C18">
                                    <w:rPr>
                                      <w:rFonts w:ascii="BIZ UDPゴシック" w:eastAsia="BIZ UDPゴシック" w:hAnsi="BIZ UDPゴシック" w:cs="Arial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回</w:t>
                                  </w:r>
                                </w:p>
                                <w:p w14:paraId="64CE2B62" w14:textId="77777777" w:rsidR="00E71535" w:rsidRPr="00A04C18" w:rsidRDefault="00E71535" w:rsidP="00D00445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A04C18">
                                    <w:rPr>
                                      <w:rFonts w:ascii="BIZ UDPゴシック" w:eastAsia="BIZ UDPゴシック" w:hAnsi="BIZ UDPゴシック" w:cs="Arial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大阪府地域職域連携推進協議会</w:t>
                                  </w:r>
                                </w:p>
                              </w:tc>
                            </w:tr>
                          </w:tbl>
                          <w:p w14:paraId="7FB0B391" w14:textId="77777777" w:rsidR="00E71535" w:rsidRPr="00A04C18" w:rsidRDefault="00E71535" w:rsidP="00E715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D11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2.1pt;margin-top:-66.05pt;width:233.3pt;height:83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" filled="f" stroked="f">
                <v:textbox>
                  <w:txbxContent>
                    <w:tbl>
                      <w:tblPr>
                        <w:tblW w:w="43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200"/>
                        <w:gridCol w:w="3100"/>
                      </w:tblGrid>
                      <w:tr w:rsidR="00E71535" w:rsidRPr="00A04C18" w14:paraId="27A4F9FA" w14:textId="77777777" w:rsidTr="00D00445">
                        <w:tc>
                          <w:tcPr>
                            <w:tcW w:w="120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55754281" w14:textId="0C20597E" w:rsidR="00E71535" w:rsidRPr="00E71535" w:rsidRDefault="00E71535" w:rsidP="00E71535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資料</w:t>
                            </w:r>
                            <w:r w:rsidR="00E3563D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0E85373E" w14:textId="77777777" w:rsidR="00E71535" w:rsidRPr="00A04C18" w:rsidRDefault="00E71535" w:rsidP="00D00445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4C18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 w:rsidRPr="00A04C18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A04C18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A04C18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 w:rsidR="00E71535" w:rsidRPr="00A04C18" w14:paraId="5463473C" w14:textId="77777777" w:rsidTr="00D00445">
                        <w:trPr>
                          <w:trHeight w:val="186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7F16A4FD" w14:textId="77777777" w:rsidR="00E71535" w:rsidRPr="00A04C18" w:rsidRDefault="00E71535" w:rsidP="00D00445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2C46E74" w14:textId="77777777" w:rsidR="00E71535" w:rsidRPr="00A04C18" w:rsidRDefault="00E71535" w:rsidP="00D00445">
                            <w:pPr>
                              <w:widowControl/>
                              <w:jc w:val="left"/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4C18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令和5</w:t>
                            </w:r>
                            <w:r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年度第2</w:t>
                            </w:r>
                            <w:r w:rsidRPr="00A04C18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回</w:t>
                            </w:r>
                          </w:p>
                          <w:p w14:paraId="64CE2B62" w14:textId="77777777" w:rsidR="00E71535" w:rsidRPr="00A04C18" w:rsidRDefault="00E71535" w:rsidP="00D00445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A04C18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大阪府地域職域連携推進協議会</w:t>
                            </w:r>
                          </w:p>
                        </w:tc>
                      </w:tr>
                    </w:tbl>
                    <w:p w14:paraId="7FB0B391" w14:textId="77777777" w:rsidR="00E71535" w:rsidRPr="00A04C18" w:rsidRDefault="00E71535" w:rsidP="00E71535"/>
                  </w:txbxContent>
                </v:textbox>
                <w10:wrap anchorx="margin"/>
              </v:shape>
            </w:pict>
          </mc:Fallback>
        </mc:AlternateContent>
      </w:r>
    </w:p>
    <w:p w14:paraId="7DE05BD1" w14:textId="51DF95A2" w:rsidR="008020FF" w:rsidRPr="009E2C66" w:rsidRDefault="001F4616" w:rsidP="001F4616">
      <w:pPr>
        <w:spacing w:line="6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9E2C66">
        <w:rPr>
          <w:rFonts w:ascii="メイリオ" w:eastAsia="メイリオ" w:hAnsi="メイリオ" w:hint="eastAsia"/>
          <w:b/>
          <w:sz w:val="28"/>
          <w:szCs w:val="28"/>
        </w:rPr>
        <w:t>「第４次大阪府健康増進計画（素案）」からの主な変更点</w:t>
      </w:r>
    </w:p>
    <w:p w14:paraId="3021BFE5" w14:textId="0DF194CA" w:rsidR="001F4616" w:rsidRDefault="001F4616" w:rsidP="009B52F5">
      <w:pPr>
        <w:spacing w:line="440" w:lineRule="exact"/>
        <w:rPr>
          <w:rFonts w:ascii="メイリオ" w:eastAsia="メイリオ" w:hAnsi="メイリオ"/>
          <w:b/>
          <w:sz w:val="28"/>
          <w:szCs w:val="28"/>
        </w:rPr>
      </w:pPr>
    </w:p>
    <w:p w14:paraId="07E5CA33" w14:textId="492E3852" w:rsidR="003D3926" w:rsidRPr="003D3926" w:rsidRDefault="003D3926" w:rsidP="009B52F5">
      <w:pPr>
        <w:spacing w:line="440" w:lineRule="exact"/>
        <w:rPr>
          <w:rFonts w:ascii="メイリオ" w:eastAsia="メイリオ" w:hAnsi="メイリオ"/>
          <w:b/>
          <w:sz w:val="28"/>
          <w:szCs w:val="28"/>
        </w:rPr>
      </w:pPr>
      <w:r w:rsidRPr="009E2C66">
        <w:rPr>
          <w:rFonts w:ascii="メイリオ" w:eastAsia="メイリオ" w:hAnsi="メイリオ" w:hint="eastAsia"/>
          <w:b/>
          <w:sz w:val="28"/>
          <w:szCs w:val="28"/>
        </w:rPr>
        <w:t>◎</w:t>
      </w:r>
      <w:r>
        <w:rPr>
          <w:rFonts w:ascii="メイリオ" w:eastAsia="メイリオ" w:hAnsi="メイリオ" w:hint="eastAsia"/>
          <w:b/>
          <w:sz w:val="28"/>
          <w:szCs w:val="28"/>
          <w:u w:val="single"/>
        </w:rPr>
        <w:t>第４次計画の基本的事項</w:t>
      </w:r>
      <w:r w:rsidRPr="009E2C66">
        <w:rPr>
          <w:rFonts w:ascii="メイリオ" w:eastAsia="メイリオ" w:hAnsi="メイリオ" w:hint="eastAsia"/>
          <w:b/>
          <w:sz w:val="28"/>
          <w:szCs w:val="28"/>
          <w:u w:val="single"/>
        </w:rPr>
        <w:t>（第３章</w:t>
      </w:r>
      <w:r w:rsidRPr="009E2C66">
        <w:rPr>
          <w:rFonts w:ascii="メイリオ" w:eastAsia="メイリオ" w:hAnsi="メイリオ" w:hint="eastAsia"/>
          <w:b/>
          <w:sz w:val="28"/>
          <w:szCs w:val="28"/>
        </w:rPr>
        <w:t>）</w:t>
      </w:r>
    </w:p>
    <w:p w14:paraId="77D6FE95" w14:textId="78832567" w:rsidR="003D3926" w:rsidRPr="009E2C66" w:rsidRDefault="003D3926" w:rsidP="00F41BAC">
      <w:pPr>
        <w:spacing w:line="440" w:lineRule="exact"/>
        <w:ind w:leftChars="100" w:left="210"/>
        <w:rPr>
          <w:rFonts w:ascii="メイリオ" w:eastAsia="メイリオ" w:hAnsi="メイリオ"/>
          <w:sz w:val="24"/>
          <w:szCs w:val="24"/>
        </w:rPr>
      </w:pPr>
      <w:r w:rsidRPr="009E2C66">
        <w:rPr>
          <w:rFonts w:ascii="メイリオ" w:eastAsia="メイリオ" w:hAnsi="メイリオ" w:hint="eastAsia"/>
          <w:sz w:val="24"/>
          <w:szCs w:val="24"/>
        </w:rPr>
        <w:t>○持続可能な開発目標（SDG</w:t>
      </w:r>
      <w:r w:rsidRPr="009E2C66">
        <w:rPr>
          <w:rFonts w:ascii="メイリオ" w:eastAsia="メイリオ" w:hAnsi="メイリオ"/>
          <w:sz w:val="24"/>
          <w:szCs w:val="24"/>
        </w:rPr>
        <w:t>s</w:t>
      </w:r>
      <w:r w:rsidRPr="009E2C66">
        <w:rPr>
          <w:rFonts w:ascii="メイリオ" w:eastAsia="メイリオ" w:hAnsi="メイリオ" w:hint="eastAsia"/>
          <w:sz w:val="24"/>
          <w:szCs w:val="24"/>
        </w:rPr>
        <w:t>）に関する記載を追記【</w:t>
      </w:r>
      <w:r>
        <w:rPr>
          <w:rFonts w:ascii="メイリオ" w:eastAsia="メイリオ" w:hAnsi="メイリオ" w:hint="eastAsia"/>
          <w:sz w:val="24"/>
          <w:szCs w:val="24"/>
        </w:rPr>
        <w:t>P1</w:t>
      </w:r>
      <w:r w:rsidRPr="009E2C66">
        <w:rPr>
          <w:rFonts w:ascii="メイリオ" w:eastAsia="メイリオ" w:hAnsi="メイリオ" w:hint="eastAsia"/>
          <w:sz w:val="24"/>
          <w:szCs w:val="24"/>
        </w:rPr>
        <w:t>】</w:t>
      </w:r>
    </w:p>
    <w:p w14:paraId="56C8FE77" w14:textId="77777777" w:rsidR="003D3926" w:rsidRPr="003D3926" w:rsidRDefault="003D3926" w:rsidP="009B52F5">
      <w:pPr>
        <w:spacing w:line="440" w:lineRule="exact"/>
        <w:rPr>
          <w:rFonts w:ascii="メイリオ" w:eastAsia="メイリオ" w:hAnsi="メイリオ"/>
          <w:b/>
          <w:sz w:val="28"/>
          <w:szCs w:val="28"/>
        </w:rPr>
      </w:pPr>
    </w:p>
    <w:p w14:paraId="06BDE226" w14:textId="77777777" w:rsidR="003D3926" w:rsidRPr="009E2C66" w:rsidRDefault="003D3926" w:rsidP="003D3926">
      <w:pPr>
        <w:spacing w:line="440" w:lineRule="exact"/>
        <w:rPr>
          <w:rFonts w:ascii="メイリオ" w:eastAsia="メイリオ" w:hAnsi="メイリオ"/>
          <w:b/>
          <w:sz w:val="28"/>
          <w:szCs w:val="28"/>
        </w:rPr>
      </w:pPr>
      <w:r w:rsidRPr="009E2C66">
        <w:rPr>
          <w:rFonts w:ascii="メイリオ" w:eastAsia="メイリオ" w:hAnsi="メイリオ" w:hint="eastAsia"/>
          <w:b/>
          <w:sz w:val="28"/>
          <w:szCs w:val="28"/>
        </w:rPr>
        <w:t>◎</w:t>
      </w:r>
      <w:r w:rsidRPr="009E2C66">
        <w:rPr>
          <w:rFonts w:ascii="メイリオ" w:eastAsia="メイリオ" w:hAnsi="メイリオ" w:hint="eastAsia"/>
          <w:b/>
          <w:sz w:val="28"/>
          <w:szCs w:val="28"/>
          <w:u w:val="single"/>
        </w:rPr>
        <w:t>府民の健康をめぐる状況（第３章</w:t>
      </w:r>
      <w:r w:rsidRPr="009E2C66">
        <w:rPr>
          <w:rFonts w:ascii="メイリオ" w:eastAsia="メイリオ" w:hAnsi="メイリオ" w:hint="eastAsia"/>
          <w:b/>
          <w:sz w:val="28"/>
          <w:szCs w:val="28"/>
        </w:rPr>
        <w:t>）</w:t>
      </w:r>
    </w:p>
    <w:p w14:paraId="6A3E1149" w14:textId="151BC5B2" w:rsidR="000E38B7" w:rsidRPr="009E2C66" w:rsidRDefault="009B52F5" w:rsidP="00503D99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9E2C66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Pr="009E2C66">
        <w:rPr>
          <w:rFonts w:ascii="メイリオ" w:eastAsia="メイリオ" w:hAnsi="メイリオ" w:hint="eastAsia"/>
          <w:sz w:val="24"/>
          <w:szCs w:val="24"/>
        </w:rPr>
        <w:t>○</w:t>
      </w:r>
      <w:r w:rsidR="001F4616" w:rsidRPr="009E2C66">
        <w:rPr>
          <w:rFonts w:ascii="メイリオ" w:eastAsia="メイリオ" w:hAnsi="メイリオ" w:hint="eastAsia"/>
          <w:sz w:val="24"/>
          <w:szCs w:val="24"/>
        </w:rPr>
        <w:t>市町村別健康寿命</w:t>
      </w:r>
      <w:r w:rsidR="00245DD1">
        <w:rPr>
          <w:rFonts w:ascii="メイリオ" w:eastAsia="メイリオ" w:hAnsi="メイリオ" w:hint="eastAsia"/>
          <w:sz w:val="24"/>
          <w:szCs w:val="24"/>
        </w:rPr>
        <w:t>を更新</w:t>
      </w:r>
      <w:r w:rsidR="002904D9" w:rsidRPr="009E2C66">
        <w:rPr>
          <w:rFonts w:ascii="メイリオ" w:eastAsia="メイリオ" w:hAnsi="メイリオ" w:hint="eastAsia"/>
          <w:sz w:val="24"/>
          <w:szCs w:val="24"/>
        </w:rPr>
        <w:t>【P1</w:t>
      </w:r>
      <w:r w:rsidR="0060516B">
        <w:rPr>
          <w:rFonts w:ascii="メイリオ" w:eastAsia="メイリオ" w:hAnsi="メイリオ" w:hint="eastAsia"/>
          <w:sz w:val="24"/>
          <w:szCs w:val="24"/>
        </w:rPr>
        <w:t>3</w:t>
      </w:r>
      <w:r w:rsidR="002904D9" w:rsidRPr="009E2C66">
        <w:rPr>
          <w:rFonts w:ascii="メイリオ" w:eastAsia="メイリオ" w:hAnsi="メイリオ" w:hint="eastAsia"/>
          <w:sz w:val="24"/>
          <w:szCs w:val="24"/>
        </w:rPr>
        <w:t>】</w:t>
      </w:r>
    </w:p>
    <w:p w14:paraId="55963534" w14:textId="5046BF3C" w:rsidR="00AF3EB6" w:rsidRDefault="00AF3EB6" w:rsidP="00AF3EB6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9E2C66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2702CF">
        <w:rPr>
          <w:rFonts w:ascii="メイリオ" w:eastAsia="メイリオ" w:hAnsi="メイリオ" w:hint="eastAsia"/>
          <w:sz w:val="24"/>
          <w:szCs w:val="24"/>
        </w:rPr>
        <w:t>○心疾患、脳血管疾患、腎不全の年齢調整死亡率</w:t>
      </w:r>
      <w:r w:rsidR="00245DD1" w:rsidRPr="002702CF">
        <w:rPr>
          <w:rFonts w:ascii="メイリオ" w:eastAsia="メイリオ" w:hAnsi="メイリオ" w:hint="eastAsia"/>
          <w:sz w:val="24"/>
          <w:szCs w:val="24"/>
        </w:rPr>
        <w:t>を更新</w:t>
      </w:r>
      <w:r w:rsidR="002904D9" w:rsidRPr="002702CF">
        <w:rPr>
          <w:rFonts w:ascii="メイリオ" w:eastAsia="メイリオ" w:hAnsi="メイリオ" w:hint="eastAsia"/>
          <w:sz w:val="24"/>
          <w:szCs w:val="24"/>
        </w:rPr>
        <w:t>【P2</w:t>
      </w:r>
      <w:r w:rsidR="0060516B">
        <w:rPr>
          <w:rFonts w:ascii="メイリオ" w:eastAsia="メイリオ" w:hAnsi="メイリオ" w:hint="eastAsia"/>
          <w:sz w:val="24"/>
          <w:szCs w:val="24"/>
        </w:rPr>
        <w:t>8</w:t>
      </w:r>
      <w:r w:rsidR="002904D9" w:rsidRPr="002702CF">
        <w:rPr>
          <w:rFonts w:ascii="メイリオ" w:eastAsia="メイリオ" w:hAnsi="メイリオ" w:hint="eastAsia"/>
          <w:sz w:val="24"/>
          <w:szCs w:val="24"/>
        </w:rPr>
        <w:t>～】</w:t>
      </w:r>
    </w:p>
    <w:p w14:paraId="0A48A508" w14:textId="77777777" w:rsidR="00F41BAC" w:rsidRDefault="00F41BAC" w:rsidP="00F41BAC">
      <w:pPr>
        <w:spacing w:line="44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2702CF">
        <w:rPr>
          <w:rFonts w:ascii="メイリオ" w:eastAsia="メイリオ" w:hAnsi="メイリオ" w:hint="eastAsia"/>
          <w:sz w:val="24"/>
          <w:szCs w:val="24"/>
        </w:rPr>
        <w:t>○</w:t>
      </w:r>
      <w:r w:rsidRPr="00F41BAC">
        <w:rPr>
          <w:rFonts w:ascii="メイリオ" w:eastAsia="メイリオ" w:hAnsi="メイリオ" w:hint="eastAsia"/>
          <w:sz w:val="24"/>
          <w:szCs w:val="24"/>
        </w:rPr>
        <w:t>糖尿病、高血圧、脂質異常症の疑いがある者のうち、未治療者の割合を更新</w:t>
      </w:r>
    </w:p>
    <w:p w14:paraId="452353A9" w14:textId="2C566AB6" w:rsidR="00F41BAC" w:rsidRPr="009E2C66" w:rsidRDefault="00F41BAC" w:rsidP="00F41BAC">
      <w:pPr>
        <w:spacing w:line="440" w:lineRule="exact"/>
        <w:ind w:leftChars="200" w:left="420"/>
        <w:rPr>
          <w:rFonts w:ascii="メイリオ" w:eastAsia="メイリオ" w:hAnsi="メイリオ" w:hint="eastAsia"/>
          <w:sz w:val="24"/>
          <w:szCs w:val="24"/>
        </w:rPr>
      </w:pPr>
      <w:r w:rsidRPr="00F41BAC">
        <w:rPr>
          <w:rFonts w:ascii="メイリオ" w:eastAsia="メイリオ" w:hAnsi="メイリオ" w:hint="eastAsia"/>
          <w:sz w:val="24"/>
          <w:szCs w:val="24"/>
        </w:rPr>
        <w:t>【P30～】</w:t>
      </w:r>
    </w:p>
    <w:p w14:paraId="041CFEED" w14:textId="7CB38F1B" w:rsidR="00245DD1" w:rsidRPr="009E2C66" w:rsidRDefault="00F41BAC" w:rsidP="00F41BAC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2702CF">
        <w:rPr>
          <w:rFonts w:ascii="メイリオ" w:eastAsia="メイリオ" w:hAnsi="メイリオ" w:hint="eastAsia"/>
          <w:sz w:val="24"/>
          <w:szCs w:val="24"/>
        </w:rPr>
        <w:t>○</w:t>
      </w:r>
      <w:r w:rsidR="00093FD7">
        <w:rPr>
          <w:rFonts w:ascii="メイリオ" w:eastAsia="メイリオ" w:hAnsi="メイリオ" w:hint="eastAsia"/>
          <w:sz w:val="24"/>
          <w:szCs w:val="24"/>
        </w:rPr>
        <w:t>「</w:t>
      </w:r>
      <w:r w:rsidR="00245DD1">
        <w:rPr>
          <w:rFonts w:ascii="メイリオ" w:eastAsia="メイリオ" w:hAnsi="メイリオ" w:hint="eastAsia"/>
          <w:sz w:val="24"/>
          <w:szCs w:val="24"/>
        </w:rPr>
        <w:t>座位行動</w:t>
      </w:r>
      <w:r w:rsidR="00093FD7">
        <w:rPr>
          <w:rFonts w:ascii="メイリオ" w:eastAsia="メイリオ" w:hAnsi="メイリオ" w:hint="eastAsia"/>
          <w:sz w:val="24"/>
          <w:szCs w:val="24"/>
        </w:rPr>
        <w:t>」</w:t>
      </w:r>
      <w:r w:rsidR="00245DD1">
        <w:rPr>
          <w:rFonts w:ascii="メイリオ" w:eastAsia="メイリオ" w:hAnsi="メイリオ" w:hint="eastAsia"/>
          <w:sz w:val="24"/>
          <w:szCs w:val="24"/>
        </w:rPr>
        <w:t>の現状について追記</w:t>
      </w:r>
      <w:r w:rsidR="00245DD1" w:rsidRPr="009E2C66">
        <w:rPr>
          <w:rFonts w:ascii="メイリオ" w:eastAsia="メイリオ" w:hAnsi="メイリオ" w:hint="eastAsia"/>
          <w:sz w:val="24"/>
          <w:szCs w:val="24"/>
        </w:rPr>
        <w:t>【P</w:t>
      </w:r>
      <w:r w:rsidR="00093FD7">
        <w:rPr>
          <w:rFonts w:ascii="メイリオ" w:eastAsia="メイリオ" w:hAnsi="メイリオ" w:hint="eastAsia"/>
          <w:sz w:val="24"/>
          <w:szCs w:val="24"/>
        </w:rPr>
        <w:t>42～</w:t>
      </w:r>
      <w:r w:rsidR="00245DD1" w:rsidRPr="009E2C66">
        <w:rPr>
          <w:rFonts w:ascii="メイリオ" w:eastAsia="メイリオ" w:hAnsi="メイリオ" w:hint="eastAsia"/>
          <w:sz w:val="24"/>
          <w:szCs w:val="24"/>
        </w:rPr>
        <w:t>】</w:t>
      </w:r>
    </w:p>
    <w:p w14:paraId="443605F2" w14:textId="77777777" w:rsidR="00AF3EB6" w:rsidRPr="009E2C66" w:rsidRDefault="00AF3EB6" w:rsidP="00AF3EB6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14:paraId="4EB82F6A" w14:textId="0FE9FF05" w:rsidR="002C48DF" w:rsidRPr="009E2C66" w:rsidRDefault="002C48DF" w:rsidP="002C48DF">
      <w:pPr>
        <w:spacing w:line="440" w:lineRule="exact"/>
        <w:rPr>
          <w:rFonts w:ascii="メイリオ" w:eastAsia="メイリオ" w:hAnsi="メイリオ"/>
          <w:b/>
          <w:sz w:val="28"/>
          <w:szCs w:val="28"/>
        </w:rPr>
      </w:pPr>
      <w:r w:rsidRPr="009E2C66">
        <w:rPr>
          <w:rFonts w:ascii="メイリオ" w:eastAsia="メイリオ" w:hAnsi="メイリオ" w:hint="eastAsia"/>
          <w:b/>
          <w:sz w:val="28"/>
          <w:szCs w:val="28"/>
        </w:rPr>
        <w:t>◎</w:t>
      </w:r>
      <w:r w:rsidRPr="009E2C66">
        <w:rPr>
          <w:rFonts w:ascii="メイリオ" w:eastAsia="メイリオ" w:hAnsi="メイリオ" w:hint="eastAsia"/>
          <w:b/>
          <w:sz w:val="28"/>
          <w:szCs w:val="28"/>
          <w:u w:val="single"/>
        </w:rPr>
        <w:t>基本</w:t>
      </w:r>
      <w:r w:rsidR="00126864" w:rsidRPr="009E2C66">
        <w:rPr>
          <w:rFonts w:ascii="メイリオ" w:eastAsia="メイリオ" w:hAnsi="メイリオ" w:hint="eastAsia"/>
          <w:b/>
          <w:sz w:val="28"/>
          <w:szCs w:val="28"/>
          <w:u w:val="single"/>
        </w:rPr>
        <w:t>的考え方</w:t>
      </w:r>
      <w:r w:rsidR="00AF3EB6" w:rsidRPr="009E2C66">
        <w:rPr>
          <w:rFonts w:ascii="メイリオ" w:eastAsia="メイリオ" w:hAnsi="メイリオ" w:hint="eastAsia"/>
          <w:b/>
          <w:sz w:val="28"/>
          <w:szCs w:val="28"/>
          <w:u w:val="single"/>
        </w:rPr>
        <w:t>に</w:t>
      </w:r>
      <w:r w:rsidR="00D96C63" w:rsidRPr="009E2C66">
        <w:rPr>
          <w:rFonts w:ascii="メイリオ" w:eastAsia="メイリオ" w:hAnsi="メイリオ" w:hint="eastAsia"/>
          <w:b/>
          <w:sz w:val="28"/>
          <w:szCs w:val="28"/>
          <w:u w:val="single"/>
        </w:rPr>
        <w:t>ついて</w:t>
      </w:r>
      <w:r w:rsidRPr="009E2C66">
        <w:rPr>
          <w:rFonts w:ascii="メイリオ" w:eastAsia="メイリオ" w:hAnsi="メイリオ" w:hint="eastAsia"/>
          <w:b/>
          <w:sz w:val="28"/>
          <w:szCs w:val="28"/>
          <w:u w:val="single"/>
        </w:rPr>
        <w:t>（第４章</w:t>
      </w:r>
      <w:r w:rsidRPr="009E2C66">
        <w:rPr>
          <w:rFonts w:ascii="メイリオ" w:eastAsia="メイリオ" w:hAnsi="メイリオ" w:hint="eastAsia"/>
          <w:b/>
          <w:sz w:val="28"/>
          <w:szCs w:val="28"/>
        </w:rPr>
        <w:t>）</w:t>
      </w:r>
    </w:p>
    <w:p w14:paraId="25A14A12" w14:textId="5FDDCD93" w:rsidR="00A22C65" w:rsidRPr="009E2C66" w:rsidRDefault="002904D9" w:rsidP="00F41BAC">
      <w:pPr>
        <w:spacing w:line="440" w:lineRule="exact"/>
        <w:ind w:leftChars="100" w:left="210"/>
        <w:rPr>
          <w:rFonts w:ascii="メイリオ" w:eastAsia="メイリオ" w:hAnsi="メイリオ"/>
          <w:sz w:val="24"/>
          <w:szCs w:val="24"/>
        </w:rPr>
      </w:pPr>
      <w:r w:rsidRPr="009E2C66">
        <w:rPr>
          <w:rFonts w:ascii="メイリオ" w:eastAsia="メイリオ" w:hAnsi="メイリオ" w:hint="eastAsia"/>
          <w:sz w:val="24"/>
          <w:szCs w:val="24"/>
        </w:rPr>
        <w:t>○</w:t>
      </w:r>
      <w:r w:rsidR="0060516B">
        <w:rPr>
          <w:rFonts w:ascii="メイリオ" w:eastAsia="メイリオ" w:hAnsi="メイリオ" w:hint="eastAsia"/>
          <w:sz w:val="24"/>
          <w:szCs w:val="24"/>
        </w:rPr>
        <w:t>「健康格差の縮小」における</w:t>
      </w:r>
      <w:r w:rsidRPr="009E2C66">
        <w:rPr>
          <w:rFonts w:ascii="メイリオ" w:eastAsia="メイリオ" w:hAnsi="メイリオ" w:hint="eastAsia"/>
          <w:sz w:val="24"/>
          <w:szCs w:val="24"/>
        </w:rPr>
        <w:t>取組状況について、人口1.2万人未満の市町村</w:t>
      </w:r>
      <w:r w:rsidR="0060516B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Pr="009E2C66">
        <w:rPr>
          <w:rFonts w:ascii="メイリオ" w:eastAsia="メイリオ" w:hAnsi="メイリオ" w:hint="eastAsia"/>
          <w:sz w:val="24"/>
          <w:szCs w:val="24"/>
        </w:rPr>
        <w:t>（能勢町、田尻町、千早赤阪村）を含まない数値を算入【P62】</w:t>
      </w:r>
    </w:p>
    <w:p w14:paraId="299CD5FB" w14:textId="77777777" w:rsidR="00AF3EB6" w:rsidRPr="009E2C66" w:rsidRDefault="00AF3EB6" w:rsidP="00E81048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14:paraId="288A9E43" w14:textId="22C1A40A" w:rsidR="00846E5B" w:rsidRPr="009E2C66" w:rsidRDefault="000E38B7" w:rsidP="00AF3EB6">
      <w:pPr>
        <w:spacing w:line="440" w:lineRule="exact"/>
        <w:rPr>
          <w:rFonts w:ascii="メイリオ" w:eastAsia="メイリオ" w:hAnsi="メイリオ"/>
          <w:b/>
          <w:sz w:val="28"/>
          <w:szCs w:val="28"/>
        </w:rPr>
      </w:pPr>
      <w:r w:rsidRPr="009E2C66">
        <w:rPr>
          <w:rFonts w:ascii="メイリオ" w:eastAsia="メイリオ" w:hAnsi="メイリオ" w:hint="eastAsia"/>
          <w:b/>
          <w:sz w:val="28"/>
          <w:szCs w:val="28"/>
        </w:rPr>
        <w:t>◎「</w:t>
      </w:r>
      <w:r w:rsidR="00E3563D" w:rsidRPr="009E2C66">
        <w:rPr>
          <w:rFonts w:ascii="メイリオ" w:eastAsia="メイリオ" w:hAnsi="メイリオ" w:hint="eastAsia"/>
          <w:b/>
          <w:sz w:val="28"/>
          <w:szCs w:val="28"/>
          <w:u w:val="single"/>
        </w:rPr>
        <w:t>数値目標</w:t>
      </w:r>
      <w:r w:rsidRPr="009E2C66">
        <w:rPr>
          <w:rFonts w:ascii="メイリオ" w:eastAsia="メイリオ" w:hAnsi="メイリオ" w:hint="eastAsia"/>
          <w:b/>
          <w:sz w:val="28"/>
          <w:szCs w:val="28"/>
          <w:u w:val="single"/>
        </w:rPr>
        <w:t>」について（</w:t>
      </w:r>
      <w:r w:rsidR="00280128" w:rsidRPr="009E2C66">
        <w:rPr>
          <w:rFonts w:ascii="メイリオ" w:eastAsia="メイリオ" w:hAnsi="メイリオ" w:hint="eastAsia"/>
          <w:b/>
          <w:sz w:val="28"/>
          <w:szCs w:val="28"/>
          <w:u w:val="single"/>
        </w:rPr>
        <w:t>第５</w:t>
      </w:r>
      <w:r w:rsidRPr="009E2C66">
        <w:rPr>
          <w:rFonts w:ascii="メイリオ" w:eastAsia="メイリオ" w:hAnsi="メイリオ" w:hint="eastAsia"/>
          <w:b/>
          <w:sz w:val="28"/>
          <w:szCs w:val="28"/>
          <w:u w:val="single"/>
        </w:rPr>
        <w:t>章</w:t>
      </w:r>
      <w:r w:rsidRPr="009E2C66">
        <w:rPr>
          <w:rFonts w:ascii="メイリオ" w:eastAsia="メイリオ" w:hAnsi="メイリオ" w:hint="eastAsia"/>
          <w:b/>
          <w:sz w:val="28"/>
          <w:szCs w:val="28"/>
        </w:rPr>
        <w:t>）</w:t>
      </w:r>
    </w:p>
    <w:p w14:paraId="68E638B8" w14:textId="433FB602" w:rsidR="00991DF7" w:rsidRPr="009E2C66" w:rsidRDefault="00991DF7" w:rsidP="00503D99">
      <w:pPr>
        <w:spacing w:line="440" w:lineRule="exact"/>
        <w:ind w:firstLineChars="100" w:firstLine="240"/>
        <w:rPr>
          <w:rFonts w:ascii="メイリオ" w:eastAsia="メイリオ" w:hAnsi="メイリオ" w:cs="ＭＳ 明朝"/>
          <w:sz w:val="24"/>
          <w:szCs w:val="24"/>
        </w:rPr>
      </w:pPr>
      <w:r w:rsidRPr="009E2C66">
        <w:rPr>
          <w:rFonts w:ascii="メイリオ" w:eastAsia="メイリオ" w:hAnsi="メイリオ" w:cs="ＭＳ 明朝" w:hint="eastAsia"/>
          <w:sz w:val="24"/>
          <w:szCs w:val="24"/>
        </w:rPr>
        <w:t>○「20</w:t>
      </w:r>
      <w:r w:rsidR="00AF3EB6" w:rsidRPr="009E2C66">
        <w:rPr>
          <w:rFonts w:ascii="メイリオ" w:eastAsia="メイリオ" w:hAnsi="メイリオ" w:cs="ＭＳ 明朝" w:hint="eastAsia"/>
          <w:sz w:val="24"/>
          <w:szCs w:val="24"/>
        </w:rPr>
        <w:t>35</w:t>
      </w:r>
      <w:r w:rsidRPr="009E2C66">
        <w:rPr>
          <w:rFonts w:ascii="メイリオ" w:eastAsia="メイリオ" w:hAnsi="メイリオ" w:cs="ＭＳ 明朝" w:hint="eastAsia"/>
          <w:sz w:val="24"/>
          <w:szCs w:val="24"/>
        </w:rPr>
        <w:t>年</w:t>
      </w:r>
      <w:r w:rsidR="00AF3EB6" w:rsidRPr="009E2C66">
        <w:rPr>
          <w:rFonts w:ascii="メイリオ" w:eastAsia="メイリオ" w:hAnsi="メイリオ" w:cs="ＭＳ 明朝" w:hint="eastAsia"/>
          <w:sz w:val="24"/>
          <w:szCs w:val="24"/>
        </w:rPr>
        <w:t>度</w:t>
      </w:r>
      <w:r w:rsidRPr="009E2C66">
        <w:rPr>
          <w:rFonts w:ascii="メイリオ" w:eastAsia="メイリオ" w:hAnsi="メイリオ" w:cs="ＭＳ 明朝" w:hint="eastAsia"/>
          <w:sz w:val="24"/>
          <w:szCs w:val="24"/>
        </w:rPr>
        <w:t>目標値」</w:t>
      </w:r>
      <w:r w:rsidR="00C1261C" w:rsidRPr="009E2C66">
        <w:rPr>
          <w:rFonts w:ascii="メイリオ" w:eastAsia="メイリオ" w:hAnsi="メイリオ" w:cs="ＭＳ 明朝" w:hint="eastAsia"/>
          <w:sz w:val="24"/>
          <w:szCs w:val="24"/>
        </w:rPr>
        <w:t>について、</w:t>
      </w:r>
      <w:r w:rsidR="00846E5B" w:rsidRPr="009E2C66">
        <w:rPr>
          <w:rFonts w:ascii="メイリオ" w:eastAsia="メイリオ" w:hAnsi="メイリオ" w:cs="ＭＳ 明朝" w:hint="eastAsia"/>
          <w:sz w:val="24"/>
          <w:szCs w:val="24"/>
        </w:rPr>
        <w:t>次の4点を総合的に勘案し目標</w:t>
      </w:r>
      <w:r w:rsidR="00E3563D" w:rsidRPr="009E2C66">
        <w:rPr>
          <w:rFonts w:ascii="メイリオ" w:eastAsia="メイリオ" w:hAnsi="メイリオ" w:cs="ＭＳ 明朝" w:hint="eastAsia"/>
          <w:sz w:val="24"/>
          <w:szCs w:val="24"/>
        </w:rPr>
        <w:t>を設定</w:t>
      </w:r>
      <w:r w:rsidR="002904D9" w:rsidRPr="009E2C66">
        <w:rPr>
          <w:rFonts w:ascii="メイリオ" w:eastAsia="メイリオ" w:hAnsi="メイリオ" w:cs="ＭＳ 明朝" w:hint="eastAsia"/>
          <w:sz w:val="24"/>
          <w:szCs w:val="24"/>
        </w:rPr>
        <w:t>【P</w:t>
      </w:r>
      <w:r w:rsidR="00F13F1C">
        <w:rPr>
          <w:rFonts w:ascii="メイリオ" w:eastAsia="メイリオ" w:hAnsi="メイリオ" w:cs="ＭＳ 明朝" w:hint="eastAsia"/>
          <w:sz w:val="24"/>
          <w:szCs w:val="24"/>
        </w:rPr>
        <w:t>70</w:t>
      </w:r>
      <w:r w:rsidR="002904D9" w:rsidRPr="009E2C66">
        <w:rPr>
          <w:rFonts w:ascii="メイリオ" w:eastAsia="メイリオ" w:hAnsi="メイリオ" w:cs="ＭＳ 明朝" w:hint="eastAsia"/>
          <w:sz w:val="24"/>
          <w:szCs w:val="24"/>
        </w:rPr>
        <w:t>～】</w:t>
      </w:r>
    </w:p>
    <w:p w14:paraId="631AD684" w14:textId="00CC2DB4" w:rsidR="00991DF7" w:rsidRPr="009E2C66" w:rsidRDefault="00991DF7" w:rsidP="00991DF7">
      <w:pPr>
        <w:spacing w:line="440" w:lineRule="exact"/>
        <w:ind w:firstLineChars="200" w:firstLine="480"/>
        <w:rPr>
          <w:rFonts w:ascii="メイリオ" w:eastAsia="メイリオ" w:hAnsi="メイリオ" w:cs="ＭＳ 明朝"/>
          <w:sz w:val="24"/>
          <w:szCs w:val="24"/>
        </w:rPr>
      </w:pPr>
      <w:r w:rsidRPr="009E2C66">
        <w:rPr>
          <w:rFonts w:ascii="メイリオ" w:eastAsia="メイリオ" w:hAnsi="メイリオ" w:cs="ＭＳ 明朝" w:hint="eastAsia"/>
          <w:sz w:val="24"/>
          <w:szCs w:val="24"/>
        </w:rPr>
        <w:t>‣</w:t>
      </w:r>
      <w:r w:rsidR="00AF3EB6" w:rsidRPr="009E2C66">
        <w:rPr>
          <w:rFonts w:ascii="メイリオ" w:eastAsia="メイリオ" w:hAnsi="メイリオ" w:cs="ＭＳ 明朝" w:hint="eastAsia"/>
          <w:sz w:val="24"/>
          <w:szCs w:val="24"/>
        </w:rPr>
        <w:t>３</w:t>
      </w:r>
      <w:r w:rsidRPr="009E2C66">
        <w:rPr>
          <w:rFonts w:ascii="メイリオ" w:eastAsia="メイリオ" w:hAnsi="メイリオ" w:cs="ＭＳ 明朝" w:hint="eastAsia"/>
          <w:sz w:val="24"/>
          <w:szCs w:val="24"/>
        </w:rPr>
        <w:t>次計画の評価</w:t>
      </w:r>
      <w:r w:rsidR="00322368" w:rsidRPr="009E2C66">
        <w:rPr>
          <w:rFonts w:ascii="メイリオ" w:eastAsia="メイリオ" w:hAnsi="メイリオ" w:cs="ＭＳ 明朝" w:hint="eastAsia"/>
          <w:sz w:val="24"/>
          <w:szCs w:val="24"/>
        </w:rPr>
        <w:t>・今後の推移</w:t>
      </w:r>
    </w:p>
    <w:p w14:paraId="17A46078" w14:textId="77777777" w:rsidR="00C1261C" w:rsidRPr="009E2C66" w:rsidRDefault="00991DF7" w:rsidP="00C1261C">
      <w:pPr>
        <w:spacing w:line="440" w:lineRule="exact"/>
        <w:ind w:firstLineChars="200" w:firstLine="480"/>
        <w:rPr>
          <w:rFonts w:ascii="メイリオ" w:eastAsia="メイリオ" w:hAnsi="メイリオ" w:cs="ＭＳ 明朝"/>
          <w:sz w:val="24"/>
          <w:szCs w:val="24"/>
        </w:rPr>
      </w:pPr>
      <w:r w:rsidRPr="009E2C66">
        <w:rPr>
          <w:rFonts w:ascii="メイリオ" w:eastAsia="メイリオ" w:hAnsi="メイリオ" w:cs="ＭＳ 明朝" w:hint="eastAsia"/>
          <w:sz w:val="24"/>
          <w:szCs w:val="24"/>
        </w:rPr>
        <w:t>‣関連計画の評価</w:t>
      </w:r>
      <w:r w:rsidR="00C1261C" w:rsidRPr="009E2C66">
        <w:rPr>
          <w:rFonts w:ascii="メイリオ" w:eastAsia="メイリオ" w:hAnsi="メイリオ" w:cs="ＭＳ 明朝" w:hint="eastAsia"/>
          <w:sz w:val="24"/>
          <w:szCs w:val="24"/>
        </w:rPr>
        <w:t>（がん対策推進計画・食育推進計・歯科口腔保健計画等）</w:t>
      </w:r>
    </w:p>
    <w:p w14:paraId="18159F42" w14:textId="4A4E2F39" w:rsidR="00846E5B" w:rsidRPr="009E2C66" w:rsidRDefault="00991DF7" w:rsidP="00846E5B">
      <w:pPr>
        <w:spacing w:line="440" w:lineRule="exact"/>
        <w:ind w:firstLineChars="200" w:firstLine="480"/>
        <w:rPr>
          <w:rFonts w:ascii="メイリオ" w:eastAsia="メイリオ" w:hAnsi="メイリオ" w:cs="ＭＳ 明朝"/>
          <w:sz w:val="24"/>
          <w:szCs w:val="24"/>
        </w:rPr>
      </w:pPr>
      <w:r w:rsidRPr="009E2C66">
        <w:rPr>
          <w:rFonts w:ascii="メイリオ" w:eastAsia="メイリオ" w:hAnsi="メイリオ" w:cs="ＭＳ 明朝" w:hint="eastAsia"/>
          <w:sz w:val="24"/>
          <w:szCs w:val="24"/>
        </w:rPr>
        <w:t>‣国の動向（健康日本21（第</w:t>
      </w:r>
      <w:r w:rsidR="00AF3EB6" w:rsidRPr="009E2C66">
        <w:rPr>
          <w:rFonts w:ascii="メイリオ" w:eastAsia="メイリオ" w:hAnsi="メイリオ" w:cs="ＭＳ 明朝" w:hint="eastAsia"/>
          <w:sz w:val="24"/>
          <w:szCs w:val="24"/>
        </w:rPr>
        <w:t>３</w:t>
      </w:r>
      <w:r w:rsidRPr="009E2C66">
        <w:rPr>
          <w:rFonts w:ascii="メイリオ" w:eastAsia="メイリオ" w:hAnsi="メイリオ" w:cs="ＭＳ 明朝" w:hint="eastAsia"/>
          <w:sz w:val="24"/>
          <w:szCs w:val="24"/>
        </w:rPr>
        <w:t>次）の目標値等）</w:t>
      </w:r>
    </w:p>
    <w:p w14:paraId="108B5B48" w14:textId="77777777" w:rsidR="00991DF7" w:rsidRPr="009E2C66" w:rsidRDefault="00846E5B" w:rsidP="00846E5B">
      <w:pPr>
        <w:spacing w:line="440" w:lineRule="exact"/>
        <w:ind w:firstLineChars="200" w:firstLine="480"/>
        <w:rPr>
          <w:rFonts w:ascii="メイリオ" w:eastAsia="メイリオ" w:hAnsi="メイリオ" w:cs="ＭＳ 明朝"/>
          <w:sz w:val="24"/>
          <w:szCs w:val="24"/>
        </w:rPr>
      </w:pPr>
      <w:r w:rsidRPr="009E2C66">
        <w:rPr>
          <w:rFonts w:ascii="メイリオ" w:eastAsia="メイリオ" w:hAnsi="メイリオ" w:cs="ＭＳ 明朝" w:hint="eastAsia"/>
          <w:sz w:val="24"/>
          <w:szCs w:val="24"/>
        </w:rPr>
        <w:t>‣府民・行政等の取組み</w:t>
      </w:r>
      <w:r w:rsidR="00322368" w:rsidRPr="009E2C66">
        <w:rPr>
          <w:rFonts w:ascii="メイリオ" w:eastAsia="メイリオ" w:hAnsi="メイリオ" w:cs="ＭＳ 明朝" w:hint="eastAsia"/>
          <w:sz w:val="24"/>
          <w:szCs w:val="24"/>
        </w:rPr>
        <w:t xml:space="preserve">等　</w:t>
      </w:r>
      <w:r w:rsidR="00C1261C" w:rsidRPr="009E2C66">
        <w:rPr>
          <w:rFonts w:ascii="メイリオ" w:eastAsia="メイリオ" w:hAnsi="メイリオ" w:cs="ＭＳ 明朝" w:hint="eastAsia"/>
          <w:sz w:val="24"/>
          <w:szCs w:val="24"/>
        </w:rPr>
        <w:t xml:space="preserve">　　など</w:t>
      </w:r>
    </w:p>
    <w:p w14:paraId="4D398464" w14:textId="77777777" w:rsidR="00846E5B" w:rsidRPr="009E2C66" w:rsidRDefault="00846E5B" w:rsidP="00846E5B">
      <w:pPr>
        <w:spacing w:line="440" w:lineRule="exact"/>
        <w:rPr>
          <w:rFonts w:ascii="メイリオ" w:eastAsia="メイリオ" w:hAnsi="メイリオ" w:cs="ＭＳ 明朝"/>
          <w:sz w:val="24"/>
          <w:szCs w:val="24"/>
        </w:rPr>
      </w:pPr>
    </w:p>
    <w:p w14:paraId="3298C2C0" w14:textId="433B9DC1" w:rsidR="009B52F5" w:rsidRPr="009E2C66" w:rsidRDefault="00B51E57" w:rsidP="00503D99">
      <w:pPr>
        <w:spacing w:line="440" w:lineRule="exact"/>
        <w:rPr>
          <w:rFonts w:ascii="メイリオ" w:eastAsia="メイリオ" w:hAnsi="メイリオ"/>
          <w:b/>
          <w:sz w:val="28"/>
          <w:szCs w:val="28"/>
        </w:rPr>
      </w:pPr>
      <w:r w:rsidRPr="009E2C66">
        <w:rPr>
          <w:rFonts w:ascii="メイリオ" w:eastAsia="メイリオ" w:hAnsi="メイリオ" w:hint="eastAsia"/>
          <w:b/>
          <w:sz w:val="28"/>
          <w:szCs w:val="28"/>
        </w:rPr>
        <w:t>◎</w:t>
      </w:r>
      <w:r w:rsidR="00411DAF" w:rsidRPr="009E2C66">
        <w:rPr>
          <w:rFonts w:ascii="メイリオ" w:eastAsia="メイリオ" w:hAnsi="メイリオ" w:hint="eastAsia"/>
          <w:b/>
          <w:sz w:val="28"/>
          <w:szCs w:val="28"/>
        </w:rPr>
        <w:t>「</w:t>
      </w:r>
      <w:r w:rsidR="00846E5B" w:rsidRPr="009E2C66">
        <w:rPr>
          <w:rFonts w:ascii="メイリオ" w:eastAsia="メイリオ" w:hAnsi="メイリオ" w:hint="eastAsia"/>
          <w:b/>
          <w:sz w:val="28"/>
          <w:szCs w:val="28"/>
          <w:u w:val="single"/>
        </w:rPr>
        <w:t>第</w:t>
      </w:r>
      <w:r w:rsidR="001D2DC6">
        <w:rPr>
          <w:rFonts w:ascii="メイリオ" w:eastAsia="メイリオ" w:hAnsi="メイリオ" w:hint="eastAsia"/>
          <w:b/>
          <w:sz w:val="28"/>
          <w:szCs w:val="28"/>
          <w:u w:val="single"/>
        </w:rPr>
        <w:t>４</w:t>
      </w:r>
      <w:r w:rsidR="00846E5B" w:rsidRPr="009E2C66">
        <w:rPr>
          <w:rFonts w:ascii="メイリオ" w:eastAsia="メイリオ" w:hAnsi="メイリオ" w:hint="eastAsia"/>
          <w:b/>
          <w:sz w:val="28"/>
          <w:szCs w:val="28"/>
          <w:u w:val="single"/>
        </w:rPr>
        <w:t>次計画における</w:t>
      </w:r>
      <w:r w:rsidRPr="009E2C66">
        <w:rPr>
          <w:rFonts w:ascii="メイリオ" w:eastAsia="メイリオ" w:hAnsi="メイリオ" w:hint="eastAsia"/>
          <w:b/>
          <w:sz w:val="28"/>
          <w:szCs w:val="28"/>
          <w:u w:val="single"/>
        </w:rPr>
        <w:t>具体的取組み</w:t>
      </w:r>
      <w:r w:rsidR="00411DAF" w:rsidRPr="009E2C66">
        <w:rPr>
          <w:rFonts w:ascii="メイリオ" w:eastAsia="メイリオ" w:hAnsi="メイリオ" w:hint="eastAsia"/>
          <w:b/>
          <w:sz w:val="28"/>
          <w:szCs w:val="28"/>
          <w:u w:val="single"/>
        </w:rPr>
        <w:t>」</w:t>
      </w:r>
      <w:r w:rsidR="003760A9" w:rsidRPr="009E2C66">
        <w:rPr>
          <w:rFonts w:ascii="メイリオ" w:eastAsia="メイリオ" w:hAnsi="メイリオ" w:hint="eastAsia"/>
          <w:b/>
          <w:sz w:val="28"/>
          <w:szCs w:val="28"/>
          <w:u w:val="single"/>
        </w:rPr>
        <w:t>について</w:t>
      </w:r>
      <w:r w:rsidR="00846E5B" w:rsidRPr="009E2C66">
        <w:rPr>
          <w:rFonts w:ascii="メイリオ" w:eastAsia="メイリオ" w:hAnsi="メイリオ" w:hint="eastAsia"/>
          <w:b/>
          <w:sz w:val="28"/>
          <w:szCs w:val="28"/>
          <w:u w:val="single"/>
        </w:rPr>
        <w:t>（第</w:t>
      </w:r>
      <w:r w:rsidR="00280128" w:rsidRPr="009E2C66">
        <w:rPr>
          <w:rFonts w:ascii="メイリオ" w:eastAsia="メイリオ" w:hAnsi="メイリオ" w:hint="eastAsia"/>
          <w:b/>
          <w:sz w:val="28"/>
          <w:szCs w:val="28"/>
          <w:u w:val="single"/>
        </w:rPr>
        <w:t>５</w:t>
      </w:r>
      <w:r w:rsidR="00846E5B" w:rsidRPr="009E2C66">
        <w:rPr>
          <w:rFonts w:ascii="メイリオ" w:eastAsia="メイリオ" w:hAnsi="メイリオ" w:hint="eastAsia"/>
          <w:b/>
          <w:sz w:val="28"/>
          <w:szCs w:val="28"/>
          <w:u w:val="single"/>
        </w:rPr>
        <w:t>章</w:t>
      </w:r>
      <w:r w:rsidR="00846E5B" w:rsidRPr="009E2C66">
        <w:rPr>
          <w:rFonts w:ascii="メイリオ" w:eastAsia="メイリオ" w:hAnsi="メイリオ" w:hint="eastAsia"/>
          <w:b/>
          <w:sz w:val="28"/>
          <w:szCs w:val="28"/>
        </w:rPr>
        <w:t>）</w:t>
      </w:r>
    </w:p>
    <w:p w14:paraId="2C70606E" w14:textId="77777777" w:rsidR="00E3563D" w:rsidRPr="009E2C66" w:rsidRDefault="00503D99" w:rsidP="00AF3EB6">
      <w:pPr>
        <w:spacing w:line="440" w:lineRule="exact"/>
        <w:ind w:leftChars="113" w:left="477" w:hangingChars="100" w:hanging="240"/>
        <w:rPr>
          <w:rFonts w:ascii="メイリオ" w:eastAsia="メイリオ" w:hAnsi="メイリオ"/>
          <w:sz w:val="24"/>
          <w:szCs w:val="24"/>
        </w:rPr>
      </w:pPr>
      <w:r w:rsidRPr="009E2C66">
        <w:rPr>
          <w:rFonts w:ascii="メイリオ" w:eastAsia="メイリオ" w:hAnsi="メイリオ" w:hint="eastAsia"/>
          <w:sz w:val="24"/>
          <w:szCs w:val="24"/>
        </w:rPr>
        <w:t>○</w:t>
      </w:r>
      <w:r w:rsidR="00E3563D" w:rsidRPr="009E2C66">
        <w:rPr>
          <w:rFonts w:ascii="メイリオ" w:eastAsia="メイリオ" w:hAnsi="メイリオ" w:hint="eastAsia"/>
          <w:sz w:val="24"/>
          <w:szCs w:val="24"/>
        </w:rPr>
        <w:t>身体活動・運動</w:t>
      </w:r>
    </w:p>
    <w:p w14:paraId="1FDE607B" w14:textId="68986E5E" w:rsidR="00503D99" w:rsidRPr="009E2C66" w:rsidRDefault="00AF3EB6" w:rsidP="00E3563D">
      <w:pPr>
        <w:spacing w:line="440" w:lineRule="exact"/>
        <w:ind w:leftChars="213" w:left="447"/>
        <w:rPr>
          <w:rFonts w:ascii="メイリオ" w:eastAsia="メイリオ" w:hAnsi="メイリオ"/>
          <w:sz w:val="24"/>
          <w:szCs w:val="24"/>
        </w:rPr>
      </w:pPr>
      <w:r w:rsidRPr="009E2C66">
        <w:rPr>
          <w:rFonts w:ascii="メイリオ" w:eastAsia="メイリオ" w:hAnsi="メイリオ" w:hint="eastAsia"/>
          <w:sz w:val="24"/>
          <w:szCs w:val="24"/>
        </w:rPr>
        <w:t>「座位行動」に関する</w:t>
      </w:r>
      <w:r w:rsidR="00E3563D" w:rsidRPr="009E2C66">
        <w:rPr>
          <w:rFonts w:ascii="メイリオ" w:eastAsia="メイリオ" w:hAnsi="メイリオ" w:hint="eastAsia"/>
          <w:sz w:val="24"/>
          <w:szCs w:val="24"/>
        </w:rPr>
        <w:t>具体的取組み</w:t>
      </w:r>
      <w:r w:rsidRPr="009E2C66">
        <w:rPr>
          <w:rFonts w:ascii="メイリオ" w:eastAsia="メイリオ" w:hAnsi="メイリオ" w:hint="eastAsia"/>
          <w:sz w:val="24"/>
          <w:szCs w:val="24"/>
        </w:rPr>
        <w:t>を追加</w:t>
      </w:r>
      <w:r w:rsidR="002904D9" w:rsidRPr="009E2C66">
        <w:rPr>
          <w:rFonts w:ascii="メイリオ" w:eastAsia="メイリオ" w:hAnsi="メイリオ" w:hint="eastAsia"/>
          <w:sz w:val="24"/>
          <w:szCs w:val="24"/>
        </w:rPr>
        <w:t>【P7</w:t>
      </w:r>
      <w:r w:rsidR="00093FD7">
        <w:rPr>
          <w:rFonts w:ascii="メイリオ" w:eastAsia="メイリオ" w:hAnsi="メイリオ" w:hint="eastAsia"/>
          <w:sz w:val="24"/>
          <w:szCs w:val="24"/>
        </w:rPr>
        <w:t>3</w:t>
      </w:r>
      <w:r w:rsidR="002904D9" w:rsidRPr="009E2C66">
        <w:rPr>
          <w:rFonts w:ascii="メイリオ" w:eastAsia="メイリオ" w:hAnsi="メイリオ" w:hint="eastAsia"/>
          <w:sz w:val="24"/>
          <w:szCs w:val="24"/>
        </w:rPr>
        <w:t>】</w:t>
      </w:r>
    </w:p>
    <w:p w14:paraId="312805C2" w14:textId="49BFE411" w:rsidR="001E0D95" w:rsidRPr="00B5520F" w:rsidRDefault="00D96C63" w:rsidP="00D96C63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9E2C66">
        <w:rPr>
          <w:rFonts w:ascii="メイリオ" w:eastAsia="メイリオ" w:hAnsi="メイリオ" w:hint="eastAsia"/>
          <w:sz w:val="24"/>
          <w:szCs w:val="24"/>
        </w:rPr>
        <w:t>○その他、</w:t>
      </w:r>
      <w:r w:rsidR="00E3563D" w:rsidRPr="009E2C66">
        <w:rPr>
          <w:rFonts w:ascii="メイリオ" w:eastAsia="メイリオ" w:hAnsi="メイリオ" w:hint="eastAsia"/>
          <w:sz w:val="24"/>
          <w:szCs w:val="24"/>
        </w:rPr>
        <w:t>取組み内容の分野整理及び文言修正</w:t>
      </w:r>
      <w:r w:rsidR="002904D9" w:rsidRPr="009E2C66">
        <w:rPr>
          <w:rFonts w:ascii="メイリオ" w:eastAsia="メイリオ" w:hAnsi="メイリオ" w:hint="eastAsia"/>
          <w:sz w:val="24"/>
          <w:szCs w:val="24"/>
        </w:rPr>
        <w:t>【P7</w:t>
      </w:r>
      <w:r w:rsidR="00093FD7">
        <w:rPr>
          <w:rFonts w:ascii="メイリオ" w:eastAsia="メイリオ" w:hAnsi="メイリオ" w:hint="eastAsia"/>
          <w:sz w:val="24"/>
          <w:szCs w:val="24"/>
        </w:rPr>
        <w:t>2</w:t>
      </w:r>
      <w:r w:rsidR="002904D9" w:rsidRPr="009E2C66">
        <w:rPr>
          <w:rFonts w:ascii="メイリオ" w:eastAsia="メイリオ" w:hAnsi="メイリオ" w:hint="eastAsia"/>
          <w:sz w:val="24"/>
          <w:szCs w:val="24"/>
        </w:rPr>
        <w:t>～】</w:t>
      </w:r>
    </w:p>
    <w:sectPr w:rsidR="001E0D95" w:rsidRPr="00B5520F" w:rsidSect="008020FF">
      <w:pgSz w:w="11906" w:h="16838"/>
      <w:pgMar w:top="1985" w:right="1418" w:bottom="153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302E" w14:textId="77777777" w:rsidR="0030054F" w:rsidRDefault="0030054F" w:rsidP="005F7258">
      <w:r>
        <w:separator/>
      </w:r>
    </w:p>
  </w:endnote>
  <w:endnote w:type="continuationSeparator" w:id="0">
    <w:p w14:paraId="65BF2122" w14:textId="77777777" w:rsidR="0030054F" w:rsidRDefault="0030054F" w:rsidP="005F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29E5" w14:textId="77777777" w:rsidR="0030054F" w:rsidRDefault="0030054F" w:rsidP="005F7258">
      <w:r>
        <w:separator/>
      </w:r>
    </w:p>
  </w:footnote>
  <w:footnote w:type="continuationSeparator" w:id="0">
    <w:p w14:paraId="38BEE62B" w14:textId="77777777" w:rsidR="0030054F" w:rsidRDefault="0030054F" w:rsidP="005F7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DA"/>
    <w:rsid w:val="000326FA"/>
    <w:rsid w:val="00082A23"/>
    <w:rsid w:val="00093FD7"/>
    <w:rsid w:val="000E38B7"/>
    <w:rsid w:val="00126864"/>
    <w:rsid w:val="00137028"/>
    <w:rsid w:val="001752F0"/>
    <w:rsid w:val="001A2E00"/>
    <w:rsid w:val="001C59DF"/>
    <w:rsid w:val="001D2DC6"/>
    <w:rsid w:val="001E0D95"/>
    <w:rsid w:val="001F4616"/>
    <w:rsid w:val="00245DD1"/>
    <w:rsid w:val="002702CF"/>
    <w:rsid w:val="00280128"/>
    <w:rsid w:val="00282692"/>
    <w:rsid w:val="00283E8A"/>
    <w:rsid w:val="002904D9"/>
    <w:rsid w:val="002C48DF"/>
    <w:rsid w:val="002F7DD1"/>
    <w:rsid w:val="0030054F"/>
    <w:rsid w:val="00322368"/>
    <w:rsid w:val="003760A9"/>
    <w:rsid w:val="003D3926"/>
    <w:rsid w:val="00411DAF"/>
    <w:rsid w:val="004225FC"/>
    <w:rsid w:val="004B67D0"/>
    <w:rsid w:val="00503D99"/>
    <w:rsid w:val="00523A02"/>
    <w:rsid w:val="00543A97"/>
    <w:rsid w:val="00555F80"/>
    <w:rsid w:val="005C2632"/>
    <w:rsid w:val="005F7258"/>
    <w:rsid w:val="006030B6"/>
    <w:rsid w:val="0060516B"/>
    <w:rsid w:val="00623A1C"/>
    <w:rsid w:val="00632F0F"/>
    <w:rsid w:val="00644B4D"/>
    <w:rsid w:val="0064783E"/>
    <w:rsid w:val="006A0115"/>
    <w:rsid w:val="006F128C"/>
    <w:rsid w:val="00764E82"/>
    <w:rsid w:val="007773DA"/>
    <w:rsid w:val="007B7C31"/>
    <w:rsid w:val="007F6B8C"/>
    <w:rsid w:val="008020FF"/>
    <w:rsid w:val="00846E5B"/>
    <w:rsid w:val="00883E47"/>
    <w:rsid w:val="008A3669"/>
    <w:rsid w:val="008A53AD"/>
    <w:rsid w:val="008C2653"/>
    <w:rsid w:val="008C6FCE"/>
    <w:rsid w:val="008D0D64"/>
    <w:rsid w:val="008D0F70"/>
    <w:rsid w:val="008D1A5B"/>
    <w:rsid w:val="00932EE3"/>
    <w:rsid w:val="00954D9F"/>
    <w:rsid w:val="00991DF7"/>
    <w:rsid w:val="009A5E77"/>
    <w:rsid w:val="009B52F5"/>
    <w:rsid w:val="009C798F"/>
    <w:rsid w:val="009D0295"/>
    <w:rsid w:val="009E2C66"/>
    <w:rsid w:val="009E2E9B"/>
    <w:rsid w:val="00A01CCC"/>
    <w:rsid w:val="00A22C65"/>
    <w:rsid w:val="00A31450"/>
    <w:rsid w:val="00A40DC1"/>
    <w:rsid w:val="00A74406"/>
    <w:rsid w:val="00A81F86"/>
    <w:rsid w:val="00AF2221"/>
    <w:rsid w:val="00AF3EB6"/>
    <w:rsid w:val="00B02155"/>
    <w:rsid w:val="00B51E57"/>
    <w:rsid w:val="00B5520F"/>
    <w:rsid w:val="00B66B56"/>
    <w:rsid w:val="00BB2A97"/>
    <w:rsid w:val="00BB7DCE"/>
    <w:rsid w:val="00BC2117"/>
    <w:rsid w:val="00C07866"/>
    <w:rsid w:val="00C1261C"/>
    <w:rsid w:val="00C37467"/>
    <w:rsid w:val="00C6019A"/>
    <w:rsid w:val="00CD609D"/>
    <w:rsid w:val="00CE6311"/>
    <w:rsid w:val="00D00445"/>
    <w:rsid w:val="00D24495"/>
    <w:rsid w:val="00D36194"/>
    <w:rsid w:val="00D6024C"/>
    <w:rsid w:val="00D96C63"/>
    <w:rsid w:val="00DC2841"/>
    <w:rsid w:val="00E33461"/>
    <w:rsid w:val="00E3563D"/>
    <w:rsid w:val="00E71535"/>
    <w:rsid w:val="00E81048"/>
    <w:rsid w:val="00E93013"/>
    <w:rsid w:val="00ED3C70"/>
    <w:rsid w:val="00F13F1C"/>
    <w:rsid w:val="00F41BAC"/>
    <w:rsid w:val="00F61DBE"/>
    <w:rsid w:val="00FB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2F3D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258"/>
  </w:style>
  <w:style w:type="paragraph" w:styleId="a5">
    <w:name w:val="footer"/>
    <w:basedOn w:val="a"/>
    <w:link w:val="a6"/>
    <w:uiPriority w:val="99"/>
    <w:unhideWhenUsed/>
    <w:rsid w:val="005F7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2023-11-09T03:51:00Z</dcterms:created>
  <dcterms:modified xsi:type="dcterms:W3CDTF">2023-12-11T12:11:00Z</dcterms:modified>
</cp:coreProperties>
</file>