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212A66A8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C40CC6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0DBD9ADA" w14:textId="77777777" w:rsidR="00522BA3" w:rsidRPr="00522BA3" w:rsidRDefault="00522BA3" w:rsidP="00C40CC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42" w:type="dxa"/>
            <w:shd w:val="clear" w:color="auto" w:fill="auto"/>
            <w:vAlign w:val="center"/>
          </w:tcPr>
          <w:p w14:paraId="3DEA5445" w14:textId="11A396FD" w:rsidR="00522BA3" w:rsidRPr="00522BA3" w:rsidRDefault="00522BA3" w:rsidP="00C40CC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C40CC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3025D7">
        <w:trPr>
          <w:trHeight w:val="9062"/>
        </w:trPr>
        <w:tc>
          <w:tcPr>
            <w:tcW w:w="2232" w:type="dxa"/>
          </w:tcPr>
          <w:p w14:paraId="46DA38B1" w14:textId="77777777" w:rsidR="00522BA3" w:rsidRPr="00522BA3" w:rsidRDefault="00522BA3" w:rsidP="00C40CC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3000FC65" w:rsidR="00BA4797" w:rsidRDefault="00EE6B8D" w:rsidP="00C40CC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池田子ども家庭センター</w:t>
            </w:r>
          </w:p>
          <w:p w14:paraId="3CBDC0D5" w14:textId="33AE5DC6" w:rsidR="00763559" w:rsidRPr="00522BA3" w:rsidRDefault="00763559" w:rsidP="00C40CC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42" w:type="dxa"/>
          </w:tcPr>
          <w:p w14:paraId="569B7FBF" w14:textId="0418F6FC" w:rsidR="00522BA3" w:rsidRPr="007D4458" w:rsidRDefault="00522BA3" w:rsidP="00C40CC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099C4D00" w:rsidR="00833593" w:rsidRPr="009361D7" w:rsidRDefault="00833593" w:rsidP="00C40CC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増設</w:t>
            </w:r>
            <w:r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ascii="ＭＳ 明朝" w:hAnsi="ＭＳ 明朝" w:hint="eastAsia"/>
                <w:sz w:val="24"/>
              </w:rPr>
              <w:t>少</w:t>
            </w:r>
            <w:r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C40CC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36BC19B6" w:rsidR="00833593" w:rsidRPr="009361D7" w:rsidRDefault="00833593" w:rsidP="00C40CC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 w:rsidR="00CB1FD5">
              <w:rPr>
                <w:rFonts w:ascii="ＭＳ 明朝" w:hAnsi="ＭＳ 明朝" w:hint="eastAsia"/>
                <w:sz w:val="24"/>
              </w:rPr>
              <w:t>４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CB1FD5">
              <w:rPr>
                <w:rFonts w:ascii="ＭＳ 明朝" w:hAnsi="ＭＳ 明朝" w:hint="eastAsia"/>
                <w:sz w:val="24"/>
              </w:rPr>
              <w:t>５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CB1FD5">
              <w:rPr>
                <w:rFonts w:ascii="ＭＳ 明朝" w:hAnsi="ＭＳ 明朝" w:hint="eastAsia"/>
                <w:sz w:val="24"/>
              </w:rPr>
              <w:t>30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AC3869">
              <w:rPr>
                <w:rFonts w:ascii="ＭＳ 明朝" w:hAnsi="ＭＳ 明朝" w:hint="eastAsia"/>
                <w:sz w:val="24"/>
              </w:rPr>
              <w:t>４年５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AC3869">
              <w:rPr>
                <w:rFonts w:ascii="ＭＳ 明朝" w:hAnsi="ＭＳ 明朝" w:hint="eastAsia"/>
                <w:sz w:val="24"/>
              </w:rPr>
              <w:t>30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3025D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3025D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5A6B3490" w:rsidR="00833593" w:rsidRPr="009361D7" w:rsidRDefault="00AC3869" w:rsidP="003025D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コンセント</w:t>
                  </w:r>
                  <w:r w:rsidR="00833593">
                    <w:rPr>
                      <w:rFonts w:ascii="ＭＳ 明朝" w:hAnsi="ＭＳ 明朝" w:hint="eastAsia"/>
                      <w:sz w:val="24"/>
                    </w:rPr>
                    <w:t>増設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58DD7B5D" w:rsidR="00833593" w:rsidRPr="009361D7" w:rsidRDefault="002024FB" w:rsidP="003025D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143,000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1EFCBECF" w:rsidR="00833593" w:rsidRPr="007D4458" w:rsidRDefault="00833593" w:rsidP="00C40CC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035AA200" w14:textId="77777777" w:rsidR="00522BA3" w:rsidRPr="00522BA3" w:rsidRDefault="00522BA3" w:rsidP="00C40CC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6110C6A8" w:rsidR="00833593" w:rsidRPr="00CD6BA7" w:rsidRDefault="00326606" w:rsidP="00C40CC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44D03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C40CC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0CC6" w:rsidRPr="00522BA3" w14:paraId="7F126A81" w14:textId="77777777" w:rsidTr="00C40CC6">
        <w:trPr>
          <w:trHeight w:val="624"/>
        </w:trPr>
        <w:tc>
          <w:tcPr>
            <w:tcW w:w="20490" w:type="dxa"/>
            <w:gridSpan w:val="3"/>
            <w:vAlign w:val="center"/>
          </w:tcPr>
          <w:p w14:paraId="66199913" w14:textId="59E564F3" w:rsidR="00C40CC6" w:rsidRPr="00522BA3" w:rsidRDefault="00C40CC6" w:rsidP="00C40CC6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4B09EA">
              <w:rPr>
                <w:rFonts w:ascii="ＭＳ Ｐゴシック" w:eastAsia="ＭＳ Ｐゴシック" w:hAnsi="ＭＳ Ｐゴシック" w:cs="Arial" w:hint="eastAsia"/>
                <w:sz w:val="24"/>
              </w:rPr>
              <w:t>措置の内容</w:t>
            </w:r>
            <w:r w:rsidR="0078440A">
              <w:rPr>
                <w:rFonts w:ascii="ＭＳ Ｐゴシック" w:eastAsia="ＭＳ Ｐゴシック" w:hAnsi="ＭＳ Ｐゴシック" w:cs="Arial" w:hint="eastAsia"/>
                <w:sz w:val="24"/>
              </w:rPr>
              <w:t xml:space="preserve"> </w:t>
            </w:r>
          </w:p>
        </w:tc>
      </w:tr>
      <w:tr w:rsidR="00C40CC6" w:rsidRPr="00522BA3" w14:paraId="1FEE1F93" w14:textId="77777777" w:rsidTr="00C40CC6">
        <w:tc>
          <w:tcPr>
            <w:tcW w:w="20490" w:type="dxa"/>
            <w:gridSpan w:val="3"/>
          </w:tcPr>
          <w:p w14:paraId="20D48661" w14:textId="77777777" w:rsidR="00C40CC6" w:rsidRPr="004B09EA" w:rsidRDefault="00C40CC6" w:rsidP="00942587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</w:p>
          <w:p w14:paraId="28115636" w14:textId="40A3574F" w:rsidR="002755A4" w:rsidRDefault="002755A4" w:rsidP="00942587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 w:rsidRPr="00C40CC6">
              <w:rPr>
                <w:rFonts w:hAnsi="ＭＳ 明朝" w:hint="eastAsia"/>
                <w:sz w:val="24"/>
              </w:rPr>
              <w:t>公有財産台帳への資産の登録について、修正を行った。また、会計局会計指導課あて依頼</w:t>
            </w:r>
            <w:r>
              <w:rPr>
                <w:rFonts w:hAnsi="ＭＳ 明朝" w:hint="eastAsia"/>
                <w:sz w:val="24"/>
              </w:rPr>
              <w:t>し</w:t>
            </w:r>
            <w:r w:rsidRPr="00C40CC6">
              <w:rPr>
                <w:rFonts w:hAnsi="ＭＳ 明朝" w:hint="eastAsia"/>
                <w:sz w:val="24"/>
              </w:rPr>
              <w:t>、</w:t>
            </w:r>
            <w:r>
              <w:rPr>
                <w:rFonts w:hAnsi="ＭＳ 明朝" w:hint="eastAsia"/>
                <w:sz w:val="24"/>
              </w:rPr>
              <w:t>複式仕訳の</w:t>
            </w:r>
            <w:r w:rsidRPr="00C40CC6">
              <w:rPr>
                <w:rFonts w:hAnsi="ＭＳ 明朝" w:hint="eastAsia"/>
                <w:sz w:val="24"/>
              </w:rPr>
              <w:t>修正処理を</w:t>
            </w:r>
            <w:r>
              <w:rPr>
                <w:rFonts w:hAnsi="ＭＳ 明朝" w:hint="eastAsia"/>
                <w:sz w:val="24"/>
              </w:rPr>
              <w:t>行った</w:t>
            </w:r>
            <w:r w:rsidRPr="00C40CC6">
              <w:rPr>
                <w:rFonts w:hAnsi="ＭＳ 明朝" w:hint="eastAsia"/>
                <w:sz w:val="24"/>
              </w:rPr>
              <w:t>。</w:t>
            </w:r>
          </w:p>
          <w:p w14:paraId="3C250C3E" w14:textId="0CDB723A" w:rsidR="002755A4" w:rsidRPr="002755A4" w:rsidRDefault="002755A4" w:rsidP="00942587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2755A4">
              <w:rPr>
                <w:rFonts w:hAnsi="ＭＳ 明朝" w:hint="eastAsia"/>
                <w:color w:val="000000" w:themeColor="text1"/>
                <w:sz w:val="24"/>
              </w:rPr>
              <w:t>本件は、企画調整課</w:t>
            </w:r>
            <w:r>
              <w:rPr>
                <w:rFonts w:hAnsi="ＭＳ 明朝" w:hint="eastAsia"/>
                <w:color w:val="000000" w:themeColor="text1"/>
                <w:sz w:val="24"/>
              </w:rPr>
              <w:t>職員</w:t>
            </w:r>
            <w:r w:rsidRPr="002755A4">
              <w:rPr>
                <w:rFonts w:hAnsi="ＭＳ 明朝" w:hint="eastAsia"/>
                <w:color w:val="000000" w:themeColor="text1"/>
                <w:sz w:val="24"/>
              </w:rPr>
              <w:t>それぞれが制度を十分に理解していなかった</w:t>
            </w:r>
            <w:r>
              <w:rPr>
                <w:rFonts w:hAnsi="ＭＳ 明朝" w:hint="eastAsia"/>
                <w:color w:val="000000" w:themeColor="text1"/>
                <w:sz w:val="24"/>
              </w:rPr>
              <w:t>こと</w:t>
            </w:r>
            <w:r w:rsidRPr="002755A4">
              <w:rPr>
                <w:rFonts w:hAnsi="ＭＳ 明朝" w:hint="eastAsia"/>
                <w:color w:val="000000" w:themeColor="text1"/>
                <w:sz w:val="24"/>
              </w:rPr>
              <w:t>が要因であるため、再発防止として、企画調整課職員全員に対し</w:t>
            </w:r>
            <w:r>
              <w:rPr>
                <w:rFonts w:hAnsi="ＭＳ 明朝" w:hint="eastAsia"/>
                <w:color w:val="000000" w:themeColor="text1"/>
                <w:sz w:val="24"/>
              </w:rPr>
              <w:t>検出</w:t>
            </w:r>
            <w:r w:rsidRPr="002755A4">
              <w:rPr>
                <w:rFonts w:hAnsi="ＭＳ 明朝" w:hint="eastAsia"/>
                <w:color w:val="000000" w:themeColor="text1"/>
                <w:sz w:val="24"/>
              </w:rPr>
              <w:t>事項</w:t>
            </w:r>
            <w:r>
              <w:rPr>
                <w:rFonts w:hAnsi="ＭＳ 明朝" w:hint="eastAsia"/>
                <w:color w:val="000000" w:themeColor="text1"/>
                <w:sz w:val="24"/>
              </w:rPr>
              <w:t>の</w:t>
            </w:r>
            <w:r w:rsidRPr="002755A4">
              <w:rPr>
                <w:rFonts w:hAnsi="ＭＳ 明朝" w:hint="eastAsia"/>
                <w:color w:val="000000" w:themeColor="text1"/>
                <w:sz w:val="24"/>
              </w:rPr>
              <w:t>内容を共有するとともに、再発防止策として今後増設工事に関する起案が回議された時は、複数人で誤りがないか確認するよう周知した。</w:t>
            </w:r>
          </w:p>
          <w:p w14:paraId="0F8CE508" w14:textId="77777777" w:rsidR="00C40CC6" w:rsidRDefault="002755A4" w:rsidP="00942587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2755A4">
              <w:rPr>
                <w:rFonts w:hAnsi="ＭＳ 明朝" w:hint="eastAsia"/>
                <w:color w:val="000000" w:themeColor="text1"/>
                <w:sz w:val="24"/>
              </w:rPr>
              <w:t>今後は、大阪府公有財産台帳等処理要領に基づき、適正な事務処理を行う。</w:t>
            </w:r>
          </w:p>
          <w:p w14:paraId="4CCAECE0" w14:textId="286A42AE" w:rsidR="00276B89" w:rsidRPr="00C40CC6" w:rsidRDefault="00276B89" w:rsidP="0094258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1FE3AE2F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2024F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2024F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2024FB"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B43EF7">
      <w:footerReference w:type="default" r:id="rId10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F06E" w14:textId="77777777" w:rsidR="00154354" w:rsidRDefault="00154354">
      <w:r>
        <w:separator/>
      </w:r>
    </w:p>
  </w:endnote>
  <w:endnote w:type="continuationSeparator" w:id="0">
    <w:p w14:paraId="7EB6AA4A" w14:textId="77777777" w:rsidR="00154354" w:rsidRDefault="0015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4E1E" w14:textId="77777777" w:rsidR="00154354" w:rsidRDefault="00154354">
      <w:r>
        <w:separator/>
      </w:r>
    </w:p>
  </w:footnote>
  <w:footnote w:type="continuationSeparator" w:id="0">
    <w:p w14:paraId="462E6E0C" w14:textId="77777777" w:rsidR="00154354" w:rsidRDefault="0015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2C93"/>
    <w:rsid w:val="001331E7"/>
    <w:rsid w:val="00133AAF"/>
    <w:rsid w:val="00136196"/>
    <w:rsid w:val="0014228B"/>
    <w:rsid w:val="00142651"/>
    <w:rsid w:val="001426F1"/>
    <w:rsid w:val="00153BDC"/>
    <w:rsid w:val="00154354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24FB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407F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2F6F"/>
    <w:rsid w:val="0027473F"/>
    <w:rsid w:val="002755A4"/>
    <w:rsid w:val="00275F73"/>
    <w:rsid w:val="00276B89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5D7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7E4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5523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46923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440A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B32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79D3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587"/>
    <w:rsid w:val="00942A0E"/>
    <w:rsid w:val="00944D03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0FD5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1EF0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C3869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65D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0CC6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4859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1FD5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82A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0FD9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E72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6B8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055C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2FC4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4B40D-B88D-4435-BD96-B37E07D46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37E87-1E20-4ACA-921A-1281BE729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A57DD-97AE-481C-BF8D-7722E27E1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2024-04-09T05:05:00Z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