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720D1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2F5F17">
        <w:rPr>
          <w:rFonts w:asciiTheme="majorEastAsia" w:eastAsiaTheme="majorEastAsia" w:hAnsiTheme="majorEastAsia" w:hint="eastAsia"/>
        </w:rPr>
        <w:t>8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2F5F17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6720D1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2F5F17">
        <w:rPr>
          <w:rFonts w:asciiTheme="majorEastAsia" w:eastAsiaTheme="majorEastAsia" w:hAnsiTheme="majorEastAsia" w:cs="ＭＳ 明朝" w:hint="eastAsia"/>
        </w:rPr>
        <w:t>12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2F5F17">
        <w:rPr>
          <w:rFonts w:asciiTheme="majorEastAsia" w:eastAsiaTheme="majorEastAsia" w:hAnsiTheme="majorEastAsia" w:cs="ＭＳ 明朝" w:hint="eastAsia"/>
        </w:rPr>
        <w:t>15日（木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066C19">
        <w:rPr>
          <w:rFonts w:asciiTheme="majorEastAsia" w:eastAsiaTheme="majorEastAsia" w:hAnsiTheme="majorEastAsia" w:cs="ＭＳ 明朝" w:hint="eastAsia"/>
        </w:rPr>
        <w:t>リモート</w:t>
      </w:r>
      <w:r w:rsidR="006720D1">
        <w:rPr>
          <w:rFonts w:asciiTheme="majorEastAsia" w:eastAsiaTheme="majorEastAsia" w:hAnsiTheme="majorEastAsia" w:cs="ＭＳ 明朝" w:hint="eastAsia"/>
        </w:rPr>
        <w:t>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2F5F17" w:rsidP="00D471A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11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</w:t>
      </w:r>
      <w:r w:rsidR="004A666E">
        <w:rPr>
          <w:rFonts w:asciiTheme="majorEastAsia" w:eastAsiaTheme="majorEastAsia" w:hAnsiTheme="majorEastAsia" w:cs="Times New Roman" w:hint="eastAsia"/>
          <w:sz w:val="24"/>
          <w:szCs w:val="24"/>
        </w:rPr>
        <w:t>うち10件は「承認相当」、1件は</w:t>
      </w:r>
      <w:r w:rsidR="00A30988">
        <w:rPr>
          <w:rFonts w:asciiTheme="majorEastAsia" w:eastAsiaTheme="majorEastAsia" w:hAnsiTheme="majorEastAsia" w:cs="Times New Roman" w:hint="eastAsia"/>
          <w:sz w:val="24"/>
          <w:szCs w:val="24"/>
        </w:rPr>
        <w:t>「当該再就職によって</w:t>
      </w:r>
      <w:r w:rsidR="00A30988" w:rsidRPr="00A30988">
        <w:rPr>
          <w:rFonts w:asciiTheme="majorEastAsia" w:eastAsiaTheme="majorEastAsia" w:hAnsiTheme="majorEastAsia" w:cs="Times New Roman" w:hint="eastAsia"/>
          <w:sz w:val="24"/>
          <w:szCs w:val="24"/>
        </w:rPr>
        <w:t>職員の離職後の再就職等の適正な管理に支障が生じないと認め</w:t>
      </w:r>
      <w:r w:rsidR="00D471AE">
        <w:rPr>
          <w:rFonts w:asciiTheme="majorEastAsia" w:eastAsiaTheme="majorEastAsia" w:hAnsiTheme="majorEastAsia" w:cs="Times New Roman" w:hint="eastAsia"/>
          <w:sz w:val="24"/>
          <w:szCs w:val="24"/>
        </w:rPr>
        <w:t>られない」とのことから</w:t>
      </w:r>
      <w:bookmarkStart w:id="0" w:name="_GoBack"/>
      <w:bookmarkEnd w:id="0"/>
      <w:r w:rsidR="004A666E">
        <w:rPr>
          <w:rFonts w:asciiTheme="majorEastAsia" w:eastAsiaTheme="majorEastAsia" w:hAnsiTheme="majorEastAsia" w:cs="Times New Roman" w:hint="eastAsia"/>
          <w:sz w:val="24"/>
          <w:szCs w:val="24"/>
        </w:rPr>
        <w:t>「不承認相当」とする意見であった。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DC5F80" w:rsidRPr="00553C87" w:rsidRDefault="00DC5F80" w:rsidP="00DC5F80">
      <w:pPr>
        <w:snapToGrid w:val="0"/>
        <w:spacing w:line="276" w:lineRule="auto"/>
        <w:ind w:leftChars="50" w:left="345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DC5F80" w:rsidRPr="0020266E" w:rsidRDefault="00DC5F80" w:rsidP="00DC5F80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DC5F80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2F5F17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66E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0988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471AE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C5F80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05E80E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28ED-725D-4BAC-A0D6-0BFA5D1B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古賀　壮</cp:lastModifiedBy>
  <cp:revision>19</cp:revision>
  <cp:lastPrinted>2017-02-20T02:57:00Z</cp:lastPrinted>
  <dcterms:created xsi:type="dcterms:W3CDTF">2021-09-17T05:49:00Z</dcterms:created>
  <dcterms:modified xsi:type="dcterms:W3CDTF">2023-02-14T10:35:00Z</dcterms:modified>
</cp:coreProperties>
</file>