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68" w:rsidRPr="00327893" w:rsidRDefault="00126105" w:rsidP="00FB1268">
      <w:pPr>
        <w:jc w:val="center"/>
        <w:rPr>
          <w:rFonts w:asciiTheme="majorEastAsia" w:eastAsiaTheme="majorEastAsia" w:hAnsiTheme="majorEastAsia"/>
          <w:sz w:val="36"/>
          <w:szCs w:val="36"/>
        </w:rPr>
      </w:pPr>
      <w:r w:rsidRPr="007C256F">
        <w:rPr>
          <w:rFonts w:ascii="HG丸ｺﾞｼｯｸM-PRO" w:eastAsia="HG丸ｺﾞｼｯｸM-PRO" w:hAnsi="HG丸ｺﾞｼｯｸM-PRO"/>
          <w:noProof/>
        </w:rPr>
        <mc:AlternateContent>
          <mc:Choice Requires="wps">
            <w:drawing>
              <wp:anchor distT="45720" distB="45720" distL="114300" distR="114300" simplePos="0" relativeHeight="251661312" behindDoc="1" locked="0" layoutInCell="1" allowOverlap="1" wp14:anchorId="6F2D5F82" wp14:editId="3AB5F0FB">
                <wp:simplePos x="0" y="0"/>
                <wp:positionH relativeFrom="margin">
                  <wp:posOffset>12522944</wp:posOffset>
                </wp:positionH>
                <wp:positionV relativeFrom="paragraph">
                  <wp:posOffset>-64858</wp:posOffset>
                </wp:positionV>
                <wp:extent cx="1332362" cy="415637"/>
                <wp:effectExtent l="0" t="0" r="2032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362" cy="415637"/>
                        </a:xfrm>
                        <a:prstGeom prst="rect">
                          <a:avLst/>
                        </a:prstGeom>
                        <a:solidFill>
                          <a:srgbClr val="FFFFFF"/>
                        </a:solidFill>
                        <a:ln w="9525">
                          <a:solidFill>
                            <a:srgbClr val="000000"/>
                          </a:solidFill>
                          <a:miter lim="800000"/>
                          <a:headEnd/>
                          <a:tailEnd/>
                        </a:ln>
                      </wps:spPr>
                      <wps:txbx>
                        <w:txbxContent>
                          <w:p w:rsidR="000226E3" w:rsidRPr="000E41A7" w:rsidRDefault="000226E3" w:rsidP="000226E3">
                            <w:pPr>
                              <w:jc w:val="center"/>
                              <w:rPr>
                                <w:rFonts w:ascii="ＭＳ ゴシック" w:eastAsia="ＭＳ ゴシック" w:hAnsi="ＭＳ ゴシック"/>
                                <w:sz w:val="32"/>
                                <w:szCs w:val="32"/>
                              </w:rPr>
                            </w:pPr>
                            <w:r w:rsidRPr="000E41A7">
                              <w:rPr>
                                <w:rFonts w:ascii="ＭＳ ゴシック" w:eastAsia="ＭＳ ゴシック" w:hAnsi="ＭＳ ゴシック" w:hint="eastAsia"/>
                                <w:sz w:val="32"/>
                                <w:szCs w:val="32"/>
                              </w:rPr>
                              <w:t>資料３－２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2D5F82" id="_x0000_t202" coordsize="21600,21600" o:spt="202" path="m,l,21600r21600,l21600,xe">
                <v:stroke joinstyle="miter"/>
                <v:path gradientshapeok="t" o:connecttype="rect"/>
              </v:shapetype>
              <v:shape id="テキスト ボックス 2" o:spid="_x0000_s1026" type="#_x0000_t202" style="position:absolute;left:0;text-align:left;margin-left:986.05pt;margin-top:-5.1pt;width:104.9pt;height:32.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">
                <v:textbox>
                  <w:txbxContent>
                    <w:p w:rsidR="000226E3" w:rsidRPr="000E41A7" w:rsidRDefault="000226E3" w:rsidP="000226E3">
                      <w:pPr>
                        <w:jc w:val="center"/>
                        <w:rPr>
                          <w:rFonts w:ascii="ＭＳ ゴシック" w:eastAsia="ＭＳ ゴシック" w:hAnsi="ＭＳ ゴシック"/>
                          <w:sz w:val="32"/>
                          <w:szCs w:val="32"/>
                        </w:rPr>
                      </w:pPr>
                      <w:r w:rsidRPr="000E41A7">
                        <w:rPr>
                          <w:rFonts w:ascii="ＭＳ ゴシック" w:eastAsia="ＭＳ ゴシック" w:hAnsi="ＭＳ ゴシック" w:hint="eastAsia"/>
                          <w:sz w:val="32"/>
                          <w:szCs w:val="32"/>
                        </w:rPr>
                        <w:t>資料３－２</w:t>
                      </w:r>
                    </w:p>
                  </w:txbxContent>
                </v:textbox>
                <w10:wrap anchorx="margin"/>
              </v:shape>
            </w:pict>
          </mc:Fallback>
        </mc:AlternateContent>
      </w:r>
      <w:r w:rsidR="00FB1268">
        <w:rPr>
          <w:rFonts w:asciiTheme="majorEastAsia" w:eastAsiaTheme="majorEastAsia" w:hAnsiTheme="majorEastAsia" w:hint="eastAsia"/>
          <w:sz w:val="36"/>
          <w:szCs w:val="36"/>
        </w:rPr>
        <w:t>第二次</w:t>
      </w:r>
      <w:r w:rsidR="00FB1268" w:rsidRPr="00327893">
        <w:rPr>
          <w:rFonts w:asciiTheme="majorEastAsia" w:eastAsiaTheme="majorEastAsia" w:hAnsiTheme="majorEastAsia" w:hint="eastAsia"/>
          <w:sz w:val="36"/>
          <w:szCs w:val="36"/>
        </w:rPr>
        <w:t>大阪府</w:t>
      </w:r>
      <w:r w:rsidR="00FB1268">
        <w:rPr>
          <w:rFonts w:asciiTheme="majorEastAsia" w:eastAsiaTheme="majorEastAsia" w:hAnsiTheme="majorEastAsia" w:hint="eastAsia"/>
          <w:sz w:val="36"/>
          <w:szCs w:val="36"/>
        </w:rPr>
        <w:t>子どもの貧困対策計画</w:t>
      </w:r>
      <w:r w:rsidR="00175574">
        <w:rPr>
          <w:rFonts w:asciiTheme="majorEastAsia" w:eastAsiaTheme="majorEastAsia" w:hAnsiTheme="majorEastAsia"/>
          <w:sz w:val="36"/>
          <w:szCs w:val="36"/>
        </w:rPr>
        <w:t>(</w:t>
      </w:r>
      <w:r w:rsidR="00F75100">
        <w:rPr>
          <w:rFonts w:asciiTheme="majorEastAsia" w:eastAsiaTheme="majorEastAsia" w:hAnsiTheme="majorEastAsia" w:hint="eastAsia"/>
          <w:sz w:val="36"/>
          <w:szCs w:val="36"/>
        </w:rPr>
        <w:t>案</w:t>
      </w:r>
      <w:r w:rsidR="00175574">
        <w:rPr>
          <w:rFonts w:asciiTheme="majorEastAsia" w:eastAsiaTheme="majorEastAsia" w:hAnsiTheme="majorEastAsia" w:hint="eastAsia"/>
          <w:sz w:val="36"/>
          <w:szCs w:val="36"/>
        </w:rPr>
        <w:t>)</w:t>
      </w:r>
      <w:r w:rsidR="00FB1268">
        <w:rPr>
          <w:rFonts w:asciiTheme="majorEastAsia" w:eastAsiaTheme="majorEastAsia" w:hAnsiTheme="majorEastAsia" w:hint="eastAsia"/>
          <w:sz w:val="36"/>
          <w:szCs w:val="36"/>
        </w:rPr>
        <w:t>構成（第一次計画との比較</w:t>
      </w:r>
      <w:r w:rsidR="00FB1268" w:rsidRPr="009E4553">
        <w:rPr>
          <w:rFonts w:asciiTheme="majorEastAsia" w:eastAsiaTheme="majorEastAsia" w:hAnsiTheme="majorEastAsia" w:hint="eastAsia"/>
          <w:sz w:val="36"/>
          <w:szCs w:val="36"/>
        </w:rPr>
        <w:t>）</w:t>
      </w:r>
    </w:p>
    <w:tbl>
      <w:tblPr>
        <w:tblStyle w:val="a7"/>
        <w:tblpPr w:leftFromText="142" w:rightFromText="142" w:vertAnchor="text" w:tblpY="1"/>
        <w:tblOverlap w:val="never"/>
        <w:tblW w:w="0" w:type="auto"/>
        <w:tblLook w:val="04A0" w:firstRow="1" w:lastRow="0" w:firstColumn="1" w:lastColumn="0" w:noHBand="0" w:noVBand="1"/>
      </w:tblPr>
      <w:tblGrid>
        <w:gridCol w:w="1931"/>
        <w:gridCol w:w="9539"/>
        <w:gridCol w:w="10066"/>
      </w:tblGrid>
      <w:tr w:rsidR="00FB1268" w:rsidTr="00C97E2D">
        <w:trPr>
          <w:trHeight w:val="558"/>
        </w:trPr>
        <w:tc>
          <w:tcPr>
            <w:tcW w:w="1931" w:type="dxa"/>
            <w:tcBorders>
              <w:bottom w:val="double" w:sz="4" w:space="0" w:color="auto"/>
            </w:tcBorders>
            <w:vAlign w:val="center"/>
          </w:tcPr>
          <w:p w:rsidR="00FB1268" w:rsidRPr="00C97E2D" w:rsidRDefault="00C97E2D" w:rsidP="00C97E2D">
            <w:pPr>
              <w:jc w:val="center"/>
              <w:rPr>
                <w:rFonts w:ascii="ＭＳ Ｐゴシック" w:eastAsia="ＭＳ Ｐゴシック" w:hAnsi="ＭＳ Ｐゴシック"/>
                <w:sz w:val="22"/>
              </w:rPr>
            </w:pPr>
            <w:r w:rsidRPr="00C97E2D">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C97E2D">
              <w:rPr>
                <w:rFonts w:ascii="ＭＳ Ｐゴシック" w:eastAsia="ＭＳ Ｐゴシック" w:hAnsi="ＭＳ Ｐゴシック" w:hint="eastAsia"/>
                <w:sz w:val="22"/>
              </w:rPr>
              <w:t>称</w:t>
            </w:r>
          </w:p>
        </w:tc>
        <w:tc>
          <w:tcPr>
            <w:tcW w:w="9539" w:type="dxa"/>
            <w:tcBorders>
              <w:bottom w:val="double" w:sz="4" w:space="0" w:color="auto"/>
            </w:tcBorders>
            <w:vAlign w:val="center"/>
          </w:tcPr>
          <w:p w:rsidR="00FB1268" w:rsidRPr="00427F73" w:rsidRDefault="00FB1268" w:rsidP="009D08EE">
            <w:pPr>
              <w:jc w:val="cente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一</w:t>
            </w:r>
            <w:r w:rsidRPr="00427F73">
              <w:rPr>
                <w:rFonts w:ascii="ＭＳ Ｐゴシック" w:eastAsia="ＭＳ Ｐゴシック" w:hAnsi="ＭＳ Ｐゴシック" w:hint="eastAsia"/>
                <w:sz w:val="22"/>
              </w:rPr>
              <w:t>次大阪府</w:t>
            </w:r>
            <w:r>
              <w:rPr>
                <w:rFonts w:ascii="ＭＳ Ｐゴシック" w:eastAsia="ＭＳ Ｐゴシック" w:hAnsi="ＭＳ Ｐゴシック" w:hint="eastAsia"/>
                <w:sz w:val="22"/>
              </w:rPr>
              <w:t>子どもの貧困対策計画</w:t>
            </w:r>
          </w:p>
        </w:tc>
        <w:tc>
          <w:tcPr>
            <w:tcW w:w="10066" w:type="dxa"/>
            <w:tcBorders>
              <w:bottom w:val="double" w:sz="4" w:space="0" w:color="auto"/>
            </w:tcBorders>
            <w:vAlign w:val="center"/>
          </w:tcPr>
          <w:p w:rsidR="00FB1268" w:rsidRPr="00427F73" w:rsidRDefault="00FB1268" w:rsidP="009D08EE">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第二</w:t>
            </w:r>
            <w:r w:rsidRPr="001702C6">
              <w:rPr>
                <w:rFonts w:ascii="ＭＳ Ｐゴシック" w:eastAsia="ＭＳ Ｐゴシック" w:hAnsi="ＭＳ Ｐゴシック" w:hint="eastAsia"/>
                <w:sz w:val="22"/>
              </w:rPr>
              <w:t>次大阪府子どもの貧困対策計画</w:t>
            </w:r>
            <w:r>
              <w:rPr>
                <w:rFonts w:ascii="ＭＳ Ｐゴシック" w:eastAsia="ＭＳ Ｐゴシック" w:hAnsi="ＭＳ Ｐゴシック" w:hint="eastAsia"/>
                <w:sz w:val="22"/>
              </w:rPr>
              <w:t>（案）</w:t>
            </w:r>
          </w:p>
        </w:tc>
      </w:tr>
      <w:tr w:rsidR="00FB1268" w:rsidTr="000226E3">
        <w:trPr>
          <w:trHeight w:val="554"/>
        </w:trPr>
        <w:tc>
          <w:tcPr>
            <w:tcW w:w="1931" w:type="dxa"/>
            <w:tcBorders>
              <w:top w:val="double" w:sz="4" w:space="0" w:color="auto"/>
            </w:tcBorders>
            <w:vAlign w:val="center"/>
          </w:tcPr>
          <w:p w:rsidR="00FB1268" w:rsidRPr="00427F73" w:rsidRDefault="00FB1268" w:rsidP="009D08EE">
            <w:pPr>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計画期間</w:t>
            </w:r>
          </w:p>
        </w:tc>
        <w:tc>
          <w:tcPr>
            <w:tcW w:w="9539" w:type="dxa"/>
            <w:tcBorders>
              <w:top w:val="double" w:sz="4" w:space="0" w:color="auto"/>
            </w:tcBorders>
            <w:vAlign w:val="center"/>
          </w:tcPr>
          <w:p w:rsidR="00FB1268" w:rsidRPr="00427F73" w:rsidRDefault="00FB1268" w:rsidP="009D08EE">
            <w:pPr>
              <w:tabs>
                <w:tab w:val="left" w:pos="2506"/>
              </w:tabs>
              <w:jc w:val="center"/>
              <w:rPr>
                <w:rFonts w:ascii="ＭＳ Ｐゴシック" w:eastAsia="ＭＳ Ｐゴシック" w:hAnsi="ＭＳ Ｐゴシック"/>
                <w:sz w:val="22"/>
              </w:rPr>
            </w:pPr>
            <w:r w:rsidRPr="00427F73">
              <w:rPr>
                <w:rFonts w:ascii="ＭＳ Ｐゴシック" w:eastAsia="ＭＳ Ｐゴシック" w:hAnsi="ＭＳ Ｐゴシック" w:hint="eastAsia"/>
                <w:sz w:val="22"/>
              </w:rPr>
              <w:t>平成２７年度～平成３１年度（５年間）</w:t>
            </w:r>
          </w:p>
        </w:tc>
        <w:tc>
          <w:tcPr>
            <w:tcW w:w="10066" w:type="dxa"/>
            <w:tcBorders>
              <w:top w:val="double" w:sz="4" w:space="0" w:color="auto"/>
            </w:tcBorders>
            <w:vAlign w:val="center"/>
          </w:tcPr>
          <w:p w:rsidR="00FB1268" w:rsidRPr="00427F73" w:rsidRDefault="00C97E2D" w:rsidP="009D08EE">
            <w:pPr>
              <w:jc w:val="cente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5592ECBE" wp14:editId="00910F17">
                      <wp:simplePos x="0" y="0"/>
                      <wp:positionH relativeFrom="column">
                        <wp:posOffset>-344170</wp:posOffset>
                      </wp:positionH>
                      <wp:positionV relativeFrom="paragraph">
                        <wp:posOffset>-340360</wp:posOffset>
                      </wp:positionV>
                      <wp:extent cx="628650" cy="47625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628650" cy="476250"/>
                              </a:xfrm>
                              <a:prstGeom prst="rightArrow">
                                <a:avLst>
                                  <a:gd name="adj1" fmla="val 50000"/>
                                  <a:gd name="adj2" fmla="val 5428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13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7.1pt;margin-top:-26.8pt;width:49.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" adj="12717" fillcolor="#5b9bd5 [3204]" strokecolor="#1f4d78 [1604]" strokeweight="1pt"/>
                  </w:pict>
                </mc:Fallback>
              </mc:AlternateContent>
            </w:r>
            <w:r w:rsidR="00FB1268">
              <w:rPr>
                <w:rFonts w:ascii="ＭＳ Ｐゴシック" w:eastAsia="ＭＳ Ｐゴシック" w:hAnsi="ＭＳ Ｐゴシック" w:hint="eastAsia"/>
                <w:sz w:val="22"/>
              </w:rPr>
              <w:t>令和</w:t>
            </w:r>
            <w:r w:rsidR="00FB1268" w:rsidRPr="00427F73">
              <w:rPr>
                <w:rFonts w:ascii="ＭＳ Ｐゴシック" w:eastAsia="ＭＳ Ｐゴシック" w:hAnsi="ＭＳ Ｐゴシック" w:hint="eastAsia"/>
                <w:sz w:val="22"/>
              </w:rPr>
              <w:t>２年度～</w:t>
            </w:r>
            <w:r w:rsidR="00FB1268">
              <w:rPr>
                <w:rFonts w:ascii="ＭＳ Ｐゴシック" w:eastAsia="ＭＳ Ｐゴシック" w:hAnsi="ＭＳ Ｐゴシック" w:hint="eastAsia"/>
                <w:sz w:val="22"/>
              </w:rPr>
              <w:t>令和６</w:t>
            </w:r>
            <w:r w:rsidR="00FB1268" w:rsidRPr="00427F73">
              <w:rPr>
                <w:rFonts w:ascii="ＭＳ Ｐゴシック" w:eastAsia="ＭＳ Ｐゴシック" w:hAnsi="ＭＳ Ｐゴシック" w:hint="eastAsia"/>
                <w:sz w:val="22"/>
              </w:rPr>
              <w:t>年度（５年間）</w:t>
            </w:r>
          </w:p>
        </w:tc>
      </w:tr>
      <w:tr w:rsidR="00C97E2D" w:rsidTr="000226E3">
        <w:trPr>
          <w:trHeight w:val="2231"/>
        </w:trPr>
        <w:tc>
          <w:tcPr>
            <w:tcW w:w="1931" w:type="dxa"/>
            <w:vMerge w:val="restart"/>
            <w:vAlign w:val="center"/>
          </w:tcPr>
          <w:p w:rsidR="00C97E2D" w:rsidRPr="00427F73" w:rsidRDefault="00C97E2D" w:rsidP="00FB126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内　　　容</w:t>
            </w:r>
          </w:p>
        </w:tc>
        <w:tc>
          <w:tcPr>
            <w:tcW w:w="9539" w:type="dxa"/>
            <w:tcBorders>
              <w:bottom w:val="dashSmallGap" w:sz="4" w:space="0" w:color="auto"/>
            </w:tcBorders>
          </w:tcPr>
          <w:p w:rsidR="00C97E2D" w:rsidRPr="00427F73"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１　策定の趣旨</w:t>
            </w:r>
          </w:p>
          <w:p w:rsidR="00C97E2D" w:rsidRDefault="00C97E2D" w:rsidP="009D08E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A7B54">
              <w:rPr>
                <w:rFonts w:ascii="ＭＳ Ｐゴシック" w:eastAsia="ＭＳ Ｐゴシック" w:hAnsi="ＭＳ Ｐゴシック" w:hint="eastAsia"/>
                <w:sz w:val="22"/>
              </w:rPr>
              <w:t>教育、就労、生活支援など各分野の総合的な取組みにより、子どもの貧困対策を推進する</w:t>
            </w:r>
          </w:p>
          <w:p w:rsidR="00C97E2D" w:rsidRDefault="00C97E2D" w:rsidP="009D08E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A7B54">
              <w:rPr>
                <w:rFonts w:ascii="ＭＳ Ｐゴシック" w:eastAsia="ＭＳ Ｐゴシック" w:hAnsi="ＭＳ Ｐゴシック" w:hint="eastAsia"/>
                <w:sz w:val="22"/>
              </w:rPr>
              <w:t>本計画（大阪府子ども総合計画）とめざす方向が一致し、取り組むべき施策も重複することから、</w:t>
            </w:r>
          </w:p>
          <w:p w:rsidR="00C97E2D" w:rsidRDefault="00C97E2D" w:rsidP="009D08EE">
            <w:pPr>
              <w:ind w:firstLineChars="150" w:firstLine="330"/>
              <w:rPr>
                <w:rFonts w:ascii="ＭＳ Ｐゴシック" w:eastAsia="ＭＳ Ｐゴシック" w:hAnsi="ＭＳ Ｐゴシック"/>
                <w:sz w:val="22"/>
              </w:rPr>
            </w:pPr>
            <w:r w:rsidRPr="007A7B54">
              <w:rPr>
                <w:rFonts w:ascii="ＭＳ Ｐゴシック" w:eastAsia="ＭＳ Ｐゴシック" w:hAnsi="ＭＳ Ｐゴシック" w:hint="eastAsia"/>
                <w:sz w:val="22"/>
              </w:rPr>
              <w:t>本計画における事業計画の１つ</w:t>
            </w:r>
            <w:r>
              <w:rPr>
                <w:rFonts w:ascii="ＭＳ Ｐゴシック" w:eastAsia="ＭＳ Ｐゴシック" w:hAnsi="ＭＳ Ｐゴシック" w:hint="eastAsia"/>
                <w:sz w:val="22"/>
              </w:rPr>
              <w:t>とする。</w:t>
            </w:r>
          </w:p>
          <w:p w:rsidR="00C97E2D" w:rsidRPr="00427F73" w:rsidRDefault="00C97E2D" w:rsidP="009D08EE">
            <w:pPr>
              <w:rPr>
                <w:rFonts w:ascii="ＭＳ Ｐゴシック" w:eastAsia="ＭＳ Ｐゴシック" w:hAnsi="ＭＳ Ｐゴシック"/>
                <w:sz w:val="22"/>
              </w:rPr>
            </w:pPr>
          </w:p>
          <w:p w:rsidR="00C97E2D" w:rsidRPr="00427F73" w:rsidRDefault="00C97E2D" w:rsidP="009D08EE">
            <w:pPr>
              <w:ind w:firstLineChars="100" w:firstLine="220"/>
              <w:rPr>
                <w:rFonts w:ascii="ＭＳ Ｐゴシック" w:eastAsia="ＭＳ Ｐゴシック" w:hAnsi="ＭＳ Ｐゴシック"/>
                <w:sz w:val="22"/>
              </w:rPr>
            </w:pPr>
          </w:p>
        </w:tc>
        <w:tc>
          <w:tcPr>
            <w:tcW w:w="10066" w:type="dxa"/>
            <w:tcBorders>
              <w:bottom w:val="dashSmallGap" w:sz="4" w:space="0" w:color="auto"/>
            </w:tcBorders>
          </w:tcPr>
          <w:p w:rsidR="00C97E2D" w:rsidRPr="00427F73"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１　策定の趣旨</w:t>
            </w:r>
          </w:p>
          <w:p w:rsidR="00C97E2D" w:rsidRPr="00427F73"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一次計画の基本的な</w:t>
            </w:r>
            <w:r w:rsidRPr="00427F73">
              <w:rPr>
                <w:rFonts w:ascii="ＭＳ Ｐゴシック" w:eastAsia="ＭＳ Ｐゴシック" w:hAnsi="ＭＳ Ｐゴシック" w:hint="eastAsia"/>
                <w:sz w:val="22"/>
              </w:rPr>
              <w:t>考え方を継承</w:t>
            </w:r>
          </w:p>
          <w:p w:rsidR="00C97E2D" w:rsidRPr="007A7B54" w:rsidRDefault="00C97E2D" w:rsidP="009D08EE">
            <w:pPr>
              <w:rPr>
                <w:rFonts w:ascii="ＭＳ Ｐゴシック" w:eastAsia="ＭＳ Ｐゴシック" w:hAnsi="ＭＳ Ｐゴシック"/>
                <w:sz w:val="22"/>
              </w:rPr>
            </w:pP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○第一次計画策定後の取組及び国の動きを踏まえ、下記を追加</w:t>
            </w: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・実態調査の実施、調査結果を踏まえた施策の総点検の実施</w:t>
            </w: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・子ども輝く未来基金の創設</w:t>
            </w:r>
          </w:p>
          <w:p w:rsidR="00C97E2D" w:rsidRPr="00427F73" w:rsidRDefault="00C97E2D" w:rsidP="00C97E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・法改正により、市町村においても策定が努力義務となったことも踏まえ、市町村の取組を後押し</w:t>
            </w:r>
          </w:p>
        </w:tc>
      </w:tr>
      <w:tr w:rsidR="00C97E2D" w:rsidTr="00126105">
        <w:trPr>
          <w:trHeight w:val="2473"/>
        </w:trPr>
        <w:tc>
          <w:tcPr>
            <w:tcW w:w="1931" w:type="dxa"/>
            <w:vMerge/>
          </w:tcPr>
          <w:p w:rsidR="00C97E2D" w:rsidRPr="00427F73" w:rsidRDefault="00C97E2D" w:rsidP="009D08EE">
            <w:pPr>
              <w:rPr>
                <w:rFonts w:ascii="ＭＳ Ｐゴシック" w:eastAsia="ＭＳ Ｐゴシック" w:hAnsi="ＭＳ Ｐゴシック"/>
                <w:sz w:val="22"/>
              </w:rPr>
            </w:pPr>
          </w:p>
        </w:tc>
        <w:tc>
          <w:tcPr>
            <w:tcW w:w="9539" w:type="dxa"/>
            <w:tcBorders>
              <w:top w:val="dashSmallGap" w:sz="4" w:space="0" w:color="auto"/>
              <w:bottom w:val="dashSmallGap" w:sz="4" w:space="0" w:color="auto"/>
            </w:tcBorders>
          </w:tcPr>
          <w:p w:rsidR="00C97E2D" w:rsidRPr="00427F73"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２　現状と課題</w:t>
            </w:r>
          </w:p>
          <w:p w:rsidR="00C97E2D" w:rsidRDefault="00C97E2D" w:rsidP="009D08EE">
            <w:pPr>
              <w:ind w:left="196" w:hangingChars="89" w:hanging="19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・リーマンショックによる経済状況の悪化に伴い、非正規雇用・就職困難者が増加</w:t>
            </w:r>
          </w:p>
          <w:p w:rsidR="00C97E2D" w:rsidRDefault="00C97E2D" w:rsidP="009D08EE">
            <w:pPr>
              <w:ind w:left="196" w:hangingChars="89" w:hanging="19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・大阪府は全国と比べ、生活保護率や就学援助率が高い状況</w:t>
            </w:r>
          </w:p>
          <w:p w:rsidR="00C97E2D" w:rsidRDefault="00C97E2D" w:rsidP="009D08EE">
            <w:pPr>
              <w:ind w:left="196" w:hangingChars="89" w:hanging="196"/>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・現状</w:t>
            </w:r>
            <w:r w:rsidRPr="001702C6">
              <w:rPr>
                <w:rFonts w:ascii="ＭＳ Ｐゴシック" w:eastAsia="ＭＳ Ｐゴシック" w:hAnsi="ＭＳ Ｐゴシック" w:hint="eastAsia"/>
                <w:sz w:val="22"/>
              </w:rPr>
              <w:t>と課題について、「子ども」及び「家庭や社会」の視点で整理</w:t>
            </w:r>
          </w:p>
          <w:p w:rsidR="00C97E2D" w:rsidRDefault="00C97E2D" w:rsidP="009D08EE">
            <w:pPr>
              <w:ind w:left="196" w:hangingChars="89" w:hanging="196"/>
              <w:rPr>
                <w:rFonts w:ascii="ＭＳ Ｐゴシック" w:eastAsia="ＭＳ Ｐゴシック" w:hAnsi="ＭＳ Ｐゴシック"/>
                <w:sz w:val="22"/>
              </w:rPr>
            </w:pPr>
          </w:p>
          <w:p w:rsidR="00C97E2D" w:rsidRDefault="00C97E2D" w:rsidP="009D08EE">
            <w:pPr>
              <w:ind w:left="196" w:hangingChars="89" w:hanging="196"/>
              <w:rPr>
                <w:rFonts w:ascii="ＭＳ Ｐゴシック" w:eastAsia="ＭＳ Ｐゴシック" w:hAnsi="ＭＳ Ｐゴシック"/>
                <w:sz w:val="22"/>
              </w:rPr>
            </w:pPr>
          </w:p>
          <w:p w:rsidR="00C97E2D" w:rsidRDefault="00C97E2D" w:rsidP="009D08EE">
            <w:pPr>
              <w:rPr>
                <w:rFonts w:ascii="ＭＳ Ｐゴシック" w:eastAsia="ＭＳ Ｐゴシック" w:hAnsi="ＭＳ Ｐゴシック"/>
                <w:sz w:val="22"/>
              </w:rPr>
            </w:pPr>
          </w:p>
          <w:p w:rsidR="00C97E2D" w:rsidRPr="00A20885" w:rsidRDefault="00C97E2D" w:rsidP="009D08EE">
            <w:pPr>
              <w:ind w:leftChars="100" w:left="320" w:hangingChars="50" w:hanging="110"/>
              <w:rPr>
                <w:rFonts w:ascii="ＭＳ Ｐゴシック" w:eastAsia="ＭＳ Ｐゴシック" w:hAnsi="ＭＳ Ｐゴシック"/>
                <w:sz w:val="22"/>
              </w:rPr>
            </w:pPr>
          </w:p>
        </w:tc>
        <w:tc>
          <w:tcPr>
            <w:tcW w:w="10066" w:type="dxa"/>
            <w:tcBorders>
              <w:top w:val="dashSmallGap" w:sz="4" w:space="0" w:color="auto"/>
              <w:bottom w:val="dashSmallGap" w:sz="4" w:space="0" w:color="auto"/>
            </w:tcBorders>
          </w:tcPr>
          <w:p w:rsidR="00C97E2D" w:rsidRPr="00427F73"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２　現状と課題</w:t>
            </w:r>
          </w:p>
          <w:p w:rsidR="00C97E2D" w:rsidRDefault="00C97E2D" w:rsidP="009D08EE">
            <w:pPr>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○子どもの貧困率等のデータに加え、第一次計画策定後の施策や居場所づくりの拡充の状況、</w:t>
            </w:r>
          </w:p>
          <w:p w:rsidR="00C97E2D" w:rsidRDefault="00C97E2D" w:rsidP="009D08EE">
            <w:pPr>
              <w:ind w:leftChars="100" w:left="210"/>
              <w:rPr>
                <w:rFonts w:ascii="ＭＳ Ｐゴシック" w:eastAsia="ＭＳ Ｐゴシック" w:hAnsi="ＭＳ Ｐゴシック"/>
                <w:sz w:val="22"/>
              </w:rPr>
            </w:pPr>
            <w:r>
              <w:rPr>
                <w:rFonts w:ascii="ＭＳ Ｐゴシック" w:eastAsia="ＭＳ Ｐゴシック" w:hAnsi="ＭＳ Ｐゴシック" w:hint="eastAsia"/>
                <w:sz w:val="22"/>
              </w:rPr>
              <w:t>府が実施した実態調査結果を踏まえた課題を記載</w:t>
            </w:r>
          </w:p>
          <w:p w:rsidR="00C97E2D" w:rsidRDefault="00C97E2D" w:rsidP="009D08EE">
            <w:pPr>
              <w:rPr>
                <w:rFonts w:ascii="ＭＳ Ｐゴシック" w:eastAsia="ＭＳ Ｐゴシック" w:hAnsi="ＭＳ Ｐゴシック"/>
                <w:sz w:val="22"/>
              </w:rPr>
            </w:pPr>
          </w:p>
          <w:p w:rsidR="00C97E2D" w:rsidRDefault="00C97E2D" w:rsidP="009D08EE">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702C6">
              <w:rPr>
                <w:rFonts w:ascii="ＭＳ Ｐゴシック" w:eastAsia="ＭＳ Ｐゴシック" w:hAnsi="ＭＳ Ｐゴシック" w:hint="eastAsia"/>
                <w:sz w:val="22"/>
              </w:rPr>
              <w:t>地域において子どもや保護者を支援する体制の充実は図られている一方で、支援を利用できるにも</w:t>
            </w:r>
          </w:p>
          <w:p w:rsidR="00C97E2D" w:rsidRDefault="00C97E2D" w:rsidP="009D08EE">
            <w:pPr>
              <w:ind w:firstLineChars="150" w:firstLine="330"/>
              <w:rPr>
                <w:rFonts w:ascii="ＭＳ Ｐゴシック" w:eastAsia="ＭＳ Ｐゴシック" w:hAnsi="ＭＳ Ｐゴシック"/>
                <w:sz w:val="22"/>
              </w:rPr>
            </w:pPr>
            <w:r w:rsidRPr="001702C6">
              <w:rPr>
                <w:rFonts w:ascii="ＭＳ Ｐゴシック" w:eastAsia="ＭＳ Ｐゴシック" w:hAnsi="ＭＳ Ｐゴシック" w:hint="eastAsia"/>
                <w:sz w:val="22"/>
              </w:rPr>
              <w:t>関わらず十分に活用されていない</w:t>
            </w:r>
            <w:r>
              <w:rPr>
                <w:rFonts w:ascii="ＭＳ Ｐゴシック" w:eastAsia="ＭＳ Ｐゴシック" w:hAnsi="ＭＳ Ｐゴシック" w:hint="eastAsia"/>
                <w:sz w:val="22"/>
              </w:rPr>
              <w:t>状況がある</w:t>
            </w: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1702C6">
              <w:rPr>
                <w:rFonts w:ascii="ＭＳ Ｐゴシック" w:eastAsia="ＭＳ Ｐゴシック" w:hAnsi="ＭＳ Ｐゴシック" w:hint="eastAsia"/>
                <w:sz w:val="22"/>
              </w:rPr>
              <w:t>様々な場面において、子ども(保護者)に関わる方の気づきにより、困難を抱える子ども(保護者)を</w:t>
            </w:r>
          </w:p>
          <w:p w:rsidR="00C97E2D" w:rsidRPr="006E03E1" w:rsidRDefault="00C97E2D" w:rsidP="00EB46E5">
            <w:pPr>
              <w:ind w:firstLineChars="150" w:firstLine="330"/>
              <w:rPr>
                <w:rFonts w:ascii="ＭＳ Ｐゴシック" w:eastAsia="ＭＳ Ｐゴシック" w:hAnsi="ＭＳ Ｐゴシック"/>
                <w:szCs w:val="21"/>
              </w:rPr>
            </w:pPr>
            <w:r w:rsidRPr="001702C6">
              <w:rPr>
                <w:rFonts w:ascii="ＭＳ Ｐゴシック" w:eastAsia="ＭＳ Ｐゴシック" w:hAnsi="ＭＳ Ｐゴシック" w:hint="eastAsia"/>
                <w:sz w:val="22"/>
              </w:rPr>
              <w:t>漏れなく支援や地域の見守りにつなぐ仕組みづくりが必要</w:t>
            </w:r>
          </w:p>
        </w:tc>
      </w:tr>
      <w:tr w:rsidR="00C97E2D" w:rsidTr="00C97E2D">
        <w:trPr>
          <w:trHeight w:val="2262"/>
        </w:trPr>
        <w:tc>
          <w:tcPr>
            <w:tcW w:w="1931" w:type="dxa"/>
            <w:vMerge/>
          </w:tcPr>
          <w:p w:rsidR="00C97E2D" w:rsidRPr="00427F73" w:rsidRDefault="00C97E2D" w:rsidP="009D08EE">
            <w:pPr>
              <w:rPr>
                <w:rFonts w:ascii="ＭＳ Ｐゴシック" w:eastAsia="ＭＳ Ｐゴシック" w:hAnsi="ＭＳ Ｐゴシック"/>
                <w:sz w:val="22"/>
              </w:rPr>
            </w:pPr>
          </w:p>
        </w:tc>
        <w:tc>
          <w:tcPr>
            <w:tcW w:w="9539" w:type="dxa"/>
            <w:tcBorders>
              <w:top w:val="dashSmallGap" w:sz="4" w:space="0" w:color="auto"/>
              <w:bottom w:val="dashSmallGap" w:sz="4" w:space="0" w:color="auto"/>
            </w:tcBorders>
          </w:tcPr>
          <w:p w:rsidR="00C97E2D" w:rsidRDefault="00C97E2D" w:rsidP="009D08EE">
            <w:pPr>
              <w:rPr>
                <w:rFonts w:ascii="ＭＳ Ｐゴシック" w:eastAsia="ＭＳ Ｐゴシック" w:hAnsi="ＭＳ Ｐゴシック"/>
                <w:sz w:val="22"/>
              </w:rPr>
            </w:pPr>
            <w:r w:rsidRPr="00FB1268">
              <w:rPr>
                <w:rFonts w:ascii="ＭＳ Ｐゴシック" w:eastAsia="ＭＳ Ｐゴシック" w:hAnsi="ＭＳ Ｐゴシック" w:hint="eastAsia"/>
                <w:sz w:val="22"/>
              </w:rPr>
              <w:t>３．子どもの貧困対策の方向性</w:t>
            </w: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・下記２つの視点で方向性を記載</w:t>
            </w:r>
          </w:p>
          <w:p w:rsidR="00C97E2D" w:rsidRDefault="00C97E2D" w:rsidP="00DA574E">
            <w:pPr>
              <w:ind w:firstLineChars="100" w:firstLine="220"/>
              <w:rPr>
                <w:rFonts w:ascii="ＭＳ Ｐゴシック" w:eastAsia="ＭＳ Ｐゴシック" w:hAnsi="ＭＳ Ｐゴシック"/>
                <w:sz w:val="22"/>
              </w:rPr>
            </w:pPr>
            <w:r w:rsidRPr="00DA574E">
              <w:rPr>
                <w:rFonts w:ascii="ＭＳ Ｐゴシック" w:eastAsia="ＭＳ Ｐゴシック" w:hAnsi="ＭＳ Ｐゴシック" w:hint="eastAsia"/>
                <w:sz w:val="22"/>
              </w:rPr>
              <w:t>（１）子どもに視点を置いた切れめのない支援を実施</w:t>
            </w:r>
          </w:p>
          <w:p w:rsidR="00C97E2D" w:rsidRDefault="00C97E2D" w:rsidP="00DA574E">
            <w:pPr>
              <w:ind w:firstLineChars="100" w:firstLine="220"/>
              <w:rPr>
                <w:rFonts w:ascii="ＭＳ Ｐゴシック" w:eastAsia="ＭＳ Ｐゴシック" w:hAnsi="ＭＳ Ｐゴシック"/>
                <w:sz w:val="22"/>
              </w:rPr>
            </w:pPr>
            <w:r w:rsidRPr="00DA574E">
              <w:rPr>
                <w:rFonts w:ascii="ＭＳ Ｐゴシック" w:eastAsia="ＭＳ Ｐゴシック" w:hAnsi="ＭＳ Ｐゴシック" w:hint="eastAsia"/>
                <w:sz w:val="22"/>
              </w:rPr>
              <w:t>（２）子どもにもっとも身近な社会である家庭を支援し、社会全体で子どもの貧困に対応</w:t>
            </w:r>
          </w:p>
        </w:tc>
        <w:tc>
          <w:tcPr>
            <w:tcW w:w="10066" w:type="dxa"/>
            <w:tcBorders>
              <w:top w:val="dashSmallGap" w:sz="4" w:space="0" w:color="auto"/>
              <w:bottom w:val="dashSmallGap" w:sz="4" w:space="0" w:color="auto"/>
            </w:tcBorders>
          </w:tcPr>
          <w:p w:rsidR="00C97E2D" w:rsidRDefault="00C97E2D" w:rsidP="009D08EE">
            <w:pPr>
              <w:rPr>
                <w:rFonts w:ascii="ＭＳ Ｐゴシック" w:eastAsia="ＭＳ Ｐゴシック" w:hAnsi="ＭＳ Ｐゴシック"/>
                <w:sz w:val="22"/>
              </w:rPr>
            </w:pPr>
            <w:r w:rsidRPr="00FB1268">
              <w:rPr>
                <w:rFonts w:ascii="ＭＳ Ｐゴシック" w:eastAsia="ＭＳ Ｐゴシック" w:hAnsi="ＭＳ Ｐゴシック" w:hint="eastAsia"/>
                <w:sz w:val="22"/>
              </w:rPr>
              <w:t>３．子どもの貧困対策の方向性</w:t>
            </w:r>
            <w:r w:rsidR="007E61E5">
              <w:rPr>
                <w:rFonts w:ascii="ＭＳ Ｐゴシック" w:eastAsia="ＭＳ Ｐゴシック" w:hAnsi="ＭＳ Ｐゴシック" w:hint="eastAsia"/>
                <w:sz w:val="22"/>
              </w:rPr>
              <w:t>とポイント</w:t>
            </w:r>
            <w:bookmarkStart w:id="0" w:name="_GoBack"/>
            <w:bookmarkEnd w:id="0"/>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○第一次計画策定後の取組及び課題を踏まえ、下記を記載</w:t>
            </w:r>
          </w:p>
          <w:p w:rsidR="00C97E2D"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E0746">
              <w:rPr>
                <w:rFonts w:ascii="ＭＳ Ｐゴシック" w:eastAsia="ＭＳ Ｐゴシック" w:hAnsi="ＭＳ Ｐゴシック" w:hint="eastAsia"/>
                <w:sz w:val="22"/>
              </w:rPr>
              <w:t>（１）学校をプラットフォームとした地域・福祉との連携による子ども</w:t>
            </w:r>
            <w:r w:rsidRPr="004E0746">
              <w:rPr>
                <w:rFonts w:ascii="ＭＳ Ｐゴシック" w:eastAsia="ＭＳ Ｐゴシック" w:hAnsi="ＭＳ Ｐゴシック"/>
                <w:sz w:val="22"/>
              </w:rPr>
              <w:t>(保護者)を支援につなぐスキーム</w:t>
            </w:r>
          </w:p>
          <w:p w:rsidR="00C97E2D" w:rsidRDefault="00C97E2D" w:rsidP="004E0746">
            <w:pPr>
              <w:ind w:firstLineChars="50" w:firstLine="110"/>
              <w:rPr>
                <w:rFonts w:ascii="ＭＳ Ｐゴシック" w:eastAsia="ＭＳ Ｐゴシック" w:hAnsi="ＭＳ Ｐゴシック"/>
                <w:sz w:val="22"/>
              </w:rPr>
            </w:pPr>
            <w:r w:rsidRPr="004E0746">
              <w:rPr>
                <w:rFonts w:ascii="ＭＳ Ｐゴシック" w:eastAsia="ＭＳ Ｐゴシック" w:hAnsi="ＭＳ Ｐゴシック" w:hint="eastAsia"/>
                <w:sz w:val="22"/>
              </w:rPr>
              <w:t>（２）子どもの居場所づくりへの支援</w:t>
            </w:r>
          </w:p>
          <w:p w:rsidR="00C97E2D" w:rsidRDefault="00C97E2D" w:rsidP="004E0746">
            <w:pPr>
              <w:ind w:firstLineChars="50" w:firstLine="110"/>
              <w:rPr>
                <w:rFonts w:ascii="ＭＳ Ｐゴシック" w:eastAsia="ＭＳ Ｐゴシック" w:hAnsi="ＭＳ Ｐゴシック"/>
                <w:sz w:val="22"/>
              </w:rPr>
            </w:pPr>
            <w:r w:rsidRPr="004E0746">
              <w:rPr>
                <w:rFonts w:ascii="ＭＳ Ｐゴシック" w:eastAsia="ＭＳ Ｐゴシック" w:hAnsi="ＭＳ Ｐゴシック" w:hint="eastAsia"/>
                <w:sz w:val="22"/>
              </w:rPr>
              <w:t>（３）社会全体で子どもの貧困対策に取り組む機運の醸成・子ども輝く未来基金の活用</w:t>
            </w:r>
          </w:p>
          <w:p w:rsidR="00C97E2D" w:rsidRDefault="00C97E2D" w:rsidP="004E0746">
            <w:pPr>
              <w:ind w:firstLineChars="50" w:firstLine="110"/>
              <w:rPr>
                <w:rFonts w:ascii="ＭＳ Ｐゴシック" w:eastAsia="ＭＳ Ｐゴシック" w:hAnsi="ＭＳ Ｐゴシック"/>
                <w:sz w:val="22"/>
              </w:rPr>
            </w:pPr>
            <w:r w:rsidRPr="004E0746">
              <w:rPr>
                <w:rFonts w:ascii="ＭＳ Ｐゴシック" w:eastAsia="ＭＳ Ｐゴシック" w:hAnsi="ＭＳ Ｐゴシック" w:hint="eastAsia"/>
                <w:sz w:val="22"/>
              </w:rPr>
              <w:t>（４）市町村との連携強化・地域の実情把握</w:t>
            </w:r>
          </w:p>
          <w:p w:rsidR="00C97E2D" w:rsidRPr="004E0746" w:rsidRDefault="00C97E2D" w:rsidP="004E0746">
            <w:pPr>
              <w:ind w:firstLineChars="50" w:firstLine="110"/>
              <w:rPr>
                <w:rFonts w:ascii="ＭＳ Ｐゴシック" w:eastAsia="ＭＳ Ｐゴシック" w:hAnsi="ＭＳ Ｐゴシック"/>
                <w:sz w:val="22"/>
              </w:rPr>
            </w:pPr>
            <w:r w:rsidRPr="004E0746">
              <w:rPr>
                <w:rFonts w:ascii="ＭＳ Ｐゴシック" w:eastAsia="ＭＳ Ｐゴシック" w:hAnsi="ＭＳ Ｐゴシック" w:hint="eastAsia"/>
                <w:sz w:val="22"/>
              </w:rPr>
              <w:t>（５）関連施策との一体的な推進</w:t>
            </w:r>
          </w:p>
        </w:tc>
      </w:tr>
      <w:tr w:rsidR="00C97E2D" w:rsidTr="00C97E2D">
        <w:trPr>
          <w:trHeight w:val="1922"/>
        </w:trPr>
        <w:tc>
          <w:tcPr>
            <w:tcW w:w="1931" w:type="dxa"/>
            <w:vMerge/>
          </w:tcPr>
          <w:p w:rsidR="00C97E2D" w:rsidRPr="00427F73" w:rsidRDefault="00C97E2D" w:rsidP="009D08EE">
            <w:pPr>
              <w:rPr>
                <w:rFonts w:ascii="ＭＳ Ｐゴシック" w:eastAsia="ＭＳ Ｐゴシック" w:hAnsi="ＭＳ Ｐゴシック"/>
                <w:sz w:val="22"/>
              </w:rPr>
            </w:pPr>
          </w:p>
        </w:tc>
        <w:tc>
          <w:tcPr>
            <w:tcW w:w="9539" w:type="dxa"/>
            <w:tcBorders>
              <w:top w:val="dashSmallGap" w:sz="4" w:space="0" w:color="auto"/>
              <w:bottom w:val="dashSmallGap" w:sz="4" w:space="0" w:color="auto"/>
            </w:tcBorders>
          </w:tcPr>
          <w:p w:rsidR="00C97E2D" w:rsidRDefault="00C97E2D" w:rsidP="004E0746">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FB126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具体的取組</w:t>
            </w:r>
          </w:p>
          <w:p w:rsidR="00C97E2D" w:rsidRDefault="00C97E2D" w:rsidP="004E074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・下記２つの視点で事業を記載</w:t>
            </w:r>
          </w:p>
          <w:p w:rsidR="00C97E2D" w:rsidRDefault="00C97E2D" w:rsidP="004E0746">
            <w:pPr>
              <w:ind w:firstLineChars="100" w:firstLine="220"/>
              <w:rPr>
                <w:rFonts w:ascii="ＭＳ Ｐゴシック" w:eastAsia="ＭＳ Ｐゴシック" w:hAnsi="ＭＳ Ｐゴシック"/>
                <w:sz w:val="22"/>
              </w:rPr>
            </w:pPr>
            <w:r w:rsidRPr="00DA574E">
              <w:rPr>
                <w:rFonts w:ascii="ＭＳ Ｐゴシック" w:eastAsia="ＭＳ Ｐゴシック" w:hAnsi="ＭＳ Ｐゴシック" w:hint="eastAsia"/>
                <w:sz w:val="22"/>
              </w:rPr>
              <w:t>（１）子どもに視点を置いた切れめのない支援</w:t>
            </w:r>
          </w:p>
          <w:p w:rsidR="00C97E2D" w:rsidRPr="004E0746" w:rsidRDefault="00C97E2D" w:rsidP="004E0746">
            <w:pPr>
              <w:ind w:firstLineChars="100" w:firstLine="220"/>
              <w:rPr>
                <w:rFonts w:ascii="ＭＳ Ｐゴシック" w:eastAsia="ＭＳ Ｐゴシック" w:hAnsi="ＭＳ Ｐゴシック"/>
                <w:sz w:val="22"/>
              </w:rPr>
            </w:pPr>
            <w:r w:rsidRPr="00DA574E">
              <w:rPr>
                <w:rFonts w:ascii="ＭＳ Ｐゴシック" w:eastAsia="ＭＳ Ｐゴシック" w:hAnsi="ＭＳ Ｐゴシック" w:hint="eastAsia"/>
                <w:sz w:val="22"/>
              </w:rPr>
              <w:t>（２）</w:t>
            </w:r>
            <w:r w:rsidRPr="004E0746">
              <w:rPr>
                <w:rFonts w:ascii="ＭＳ Ｐゴシック" w:eastAsia="ＭＳ Ｐゴシック" w:hAnsi="ＭＳ Ｐゴシック" w:hint="eastAsia"/>
                <w:sz w:val="22"/>
              </w:rPr>
              <w:t>子どもにもっとも身近な社会である家庭を支援し、社会全体で子どもの貧困に対応</w:t>
            </w:r>
          </w:p>
        </w:tc>
        <w:tc>
          <w:tcPr>
            <w:tcW w:w="10066" w:type="dxa"/>
            <w:tcBorders>
              <w:top w:val="dashSmallGap" w:sz="4" w:space="0" w:color="auto"/>
              <w:bottom w:val="dashSmallGap" w:sz="4" w:space="0" w:color="auto"/>
            </w:tcBorders>
          </w:tcPr>
          <w:p w:rsidR="00C97E2D" w:rsidRDefault="00C97E2D" w:rsidP="009D08EE">
            <w:pPr>
              <w:rPr>
                <w:rFonts w:ascii="ＭＳ Ｐゴシック" w:eastAsia="ＭＳ Ｐゴシック" w:hAnsi="ＭＳ Ｐゴシック"/>
                <w:sz w:val="22"/>
              </w:rPr>
            </w:pPr>
            <w:r w:rsidRPr="004E0746">
              <w:rPr>
                <w:rFonts w:ascii="ＭＳ Ｐゴシック" w:eastAsia="ＭＳ Ｐゴシック" w:hAnsi="ＭＳ Ｐゴシック" w:hint="eastAsia"/>
                <w:sz w:val="22"/>
              </w:rPr>
              <w:t>４．具体的取組</w:t>
            </w:r>
          </w:p>
          <w:p w:rsidR="00C97E2D" w:rsidRDefault="00DF2AAA" w:rsidP="004E0746">
            <w:pPr>
              <w:rPr>
                <w:rFonts w:ascii="ＭＳ Ｐゴシック" w:eastAsia="ＭＳ Ｐゴシック" w:hAnsi="ＭＳ Ｐゴシック"/>
                <w:sz w:val="22"/>
              </w:rPr>
            </w:pPr>
            <w:r>
              <w:rPr>
                <w:rFonts w:ascii="ＭＳ Ｐゴシック" w:eastAsia="ＭＳ Ｐゴシック" w:hAnsi="ＭＳ Ｐゴシック" w:hint="eastAsia"/>
                <w:sz w:val="22"/>
              </w:rPr>
              <w:t>○実態調査及び施策の総点検の結果</w:t>
            </w:r>
            <w:r w:rsidR="00C97E2D">
              <w:rPr>
                <w:rFonts w:ascii="ＭＳ Ｐゴシック" w:eastAsia="ＭＳ Ｐゴシック" w:hAnsi="ＭＳ Ｐゴシック" w:hint="eastAsia"/>
                <w:sz w:val="22"/>
              </w:rPr>
              <w:t>を踏まえ、下記７つの視点で事業を記載</w:t>
            </w:r>
          </w:p>
          <w:p w:rsidR="00C97E2D" w:rsidRPr="004E0746" w:rsidRDefault="00C97E2D" w:rsidP="004E074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E0746">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w:t>
            </w:r>
            <w:r w:rsidRPr="004E0746">
              <w:rPr>
                <w:rFonts w:ascii="ＭＳ Ｐゴシック" w:eastAsia="ＭＳ Ｐゴシック" w:hAnsi="ＭＳ Ｐゴシック" w:hint="eastAsia"/>
                <w:sz w:val="22"/>
              </w:rPr>
              <w:t>困窮している世帯を経済的に支援します（就労支援を含む）</w:t>
            </w:r>
          </w:p>
          <w:p w:rsidR="00C97E2D" w:rsidRPr="004E0746" w:rsidRDefault="00C97E2D" w:rsidP="004E074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E0746">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w:t>
            </w:r>
            <w:r w:rsidRPr="004E0746">
              <w:rPr>
                <w:rFonts w:ascii="ＭＳ Ｐゴシック" w:eastAsia="ＭＳ Ｐゴシック" w:hAnsi="ＭＳ Ｐゴシック" w:hint="eastAsia"/>
                <w:sz w:val="22"/>
              </w:rPr>
              <w:t>学びを支える環境づくりを支援します</w:t>
            </w:r>
            <w:r>
              <w:rPr>
                <w:rFonts w:ascii="ＭＳ Ｐゴシック" w:eastAsia="ＭＳ Ｐゴシック" w:hAnsi="ＭＳ Ｐゴシック" w:hint="eastAsia"/>
                <w:sz w:val="22"/>
              </w:rPr>
              <w:t xml:space="preserve">　　（</w:t>
            </w:r>
            <w:r w:rsidRPr="004E0746">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w:t>
            </w:r>
            <w:r w:rsidRPr="004E0746">
              <w:rPr>
                <w:rFonts w:ascii="ＭＳ Ｐゴシック" w:eastAsia="ＭＳ Ｐゴシック" w:hAnsi="ＭＳ Ｐゴシック" w:hint="eastAsia"/>
                <w:sz w:val="22"/>
              </w:rPr>
              <w:t>子どもたちが孤立しないように支援します</w:t>
            </w:r>
          </w:p>
          <w:p w:rsidR="00C97E2D" w:rsidRPr="004E0746" w:rsidRDefault="00C97E2D" w:rsidP="004E074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E0746">
              <w:rPr>
                <w:rFonts w:ascii="ＭＳ Ｐゴシック" w:eastAsia="ＭＳ Ｐゴシック" w:hAnsi="ＭＳ Ｐゴシック" w:hint="eastAsia"/>
                <w:sz w:val="22"/>
              </w:rPr>
              <w:t>保護者が孤立しないように支援します</w:t>
            </w:r>
            <w:r>
              <w:rPr>
                <w:rFonts w:ascii="ＭＳ Ｐゴシック" w:eastAsia="ＭＳ Ｐゴシック" w:hAnsi="ＭＳ Ｐゴシック" w:hint="eastAsia"/>
                <w:sz w:val="22"/>
              </w:rPr>
              <w:t xml:space="preserve">　 （５）</w:t>
            </w:r>
            <w:r w:rsidRPr="004E0746">
              <w:rPr>
                <w:rFonts w:ascii="ＭＳ Ｐゴシック" w:eastAsia="ＭＳ Ｐゴシック" w:hAnsi="ＭＳ Ｐゴシック" w:hint="eastAsia"/>
                <w:sz w:val="22"/>
              </w:rPr>
              <w:t>安心して子育てできる環境を整備します</w:t>
            </w:r>
          </w:p>
          <w:p w:rsidR="00C97E2D" w:rsidRPr="00FB1268" w:rsidRDefault="00C97E2D" w:rsidP="00C97E2D">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4E0746">
              <w:rPr>
                <w:rFonts w:ascii="ＭＳ Ｐゴシック" w:eastAsia="ＭＳ Ｐゴシック" w:hAnsi="ＭＳ Ｐゴシック" w:hint="eastAsia"/>
                <w:sz w:val="22"/>
              </w:rPr>
              <w:t>健康づくりを支援します</w:t>
            </w:r>
            <w:r>
              <w:rPr>
                <w:rFonts w:ascii="ＭＳ Ｐゴシック" w:eastAsia="ＭＳ Ｐゴシック" w:hAnsi="ＭＳ Ｐゴシック" w:hint="eastAsia"/>
                <w:sz w:val="22"/>
              </w:rPr>
              <w:t xml:space="preserve">　　　　　　　　　　 （７）</w:t>
            </w:r>
            <w:r w:rsidRPr="004E0746">
              <w:rPr>
                <w:rFonts w:ascii="ＭＳ Ｐゴシック" w:eastAsia="ＭＳ Ｐゴシック" w:hAnsi="ＭＳ Ｐゴシック" w:hint="eastAsia"/>
                <w:sz w:val="22"/>
              </w:rPr>
              <w:t>オール大阪での取組</w:t>
            </w:r>
          </w:p>
        </w:tc>
      </w:tr>
      <w:tr w:rsidR="00C97E2D" w:rsidTr="00126105">
        <w:trPr>
          <w:trHeight w:val="1313"/>
        </w:trPr>
        <w:tc>
          <w:tcPr>
            <w:tcW w:w="1931" w:type="dxa"/>
            <w:vMerge/>
          </w:tcPr>
          <w:p w:rsidR="00C97E2D" w:rsidRPr="00427F73" w:rsidRDefault="00C97E2D" w:rsidP="009D08EE">
            <w:pPr>
              <w:rPr>
                <w:rFonts w:ascii="ＭＳ Ｐゴシック" w:eastAsia="ＭＳ Ｐゴシック" w:hAnsi="ＭＳ Ｐゴシック"/>
                <w:sz w:val="22"/>
              </w:rPr>
            </w:pPr>
          </w:p>
        </w:tc>
        <w:tc>
          <w:tcPr>
            <w:tcW w:w="9539" w:type="dxa"/>
            <w:tcBorders>
              <w:top w:val="dashSmallGap" w:sz="4" w:space="0" w:color="auto"/>
              <w:bottom w:val="dashSmallGap" w:sz="4" w:space="0" w:color="auto"/>
            </w:tcBorders>
          </w:tcPr>
          <w:p w:rsidR="00C97E2D" w:rsidRDefault="00C97E2D" w:rsidP="00EB46E5">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FB126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計画の推進</w:t>
            </w:r>
          </w:p>
          <w:p w:rsidR="00C97E2D" w:rsidRDefault="00C97E2D" w:rsidP="005D29C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・庁内関係部局</w:t>
            </w:r>
            <w:r w:rsidRPr="00317381">
              <w:rPr>
                <w:rFonts w:ascii="ＭＳ Ｐゴシック" w:eastAsia="ＭＳ Ｐゴシック" w:hAnsi="ＭＳ Ｐゴシック" w:hint="eastAsia"/>
                <w:sz w:val="22"/>
              </w:rPr>
              <w:t>で構成する関係課長会議等を通じて、関係部局が連携</w:t>
            </w:r>
            <w:r>
              <w:rPr>
                <w:rFonts w:ascii="ＭＳ Ｐゴシック" w:eastAsia="ＭＳ Ｐゴシック" w:hAnsi="ＭＳ Ｐゴシック" w:hint="eastAsia"/>
                <w:sz w:val="22"/>
              </w:rPr>
              <w:t>を図るとともに、</w:t>
            </w:r>
          </w:p>
          <w:p w:rsidR="00C97E2D" w:rsidRPr="00317381" w:rsidRDefault="00C97E2D" w:rsidP="005D29C6">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国や市町村と連携を図りながら総合的に推進</w:t>
            </w:r>
          </w:p>
          <w:p w:rsidR="00C97E2D" w:rsidRDefault="00C97E2D" w:rsidP="005D29C6">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17381">
              <w:rPr>
                <w:rFonts w:ascii="ＭＳ Ｐゴシック" w:eastAsia="ＭＳ Ｐゴシック" w:hAnsi="ＭＳ Ｐゴシック" w:hint="eastAsia"/>
                <w:sz w:val="22"/>
              </w:rPr>
              <w:t>進捗管理については、大阪府子ども施策審議会へ報告するなど本計画</w:t>
            </w:r>
            <w:r>
              <w:rPr>
                <w:rFonts w:ascii="ＭＳ Ｐゴシック" w:eastAsia="ＭＳ Ｐゴシック" w:hAnsi="ＭＳ Ｐゴシック" w:hint="eastAsia"/>
                <w:sz w:val="22"/>
              </w:rPr>
              <w:t>併せて実施</w:t>
            </w:r>
          </w:p>
        </w:tc>
        <w:tc>
          <w:tcPr>
            <w:tcW w:w="10066" w:type="dxa"/>
            <w:tcBorders>
              <w:top w:val="dashSmallGap" w:sz="4" w:space="0" w:color="auto"/>
              <w:bottom w:val="dashSmallGap" w:sz="4" w:space="0" w:color="auto"/>
            </w:tcBorders>
          </w:tcPr>
          <w:p w:rsidR="00C97E2D" w:rsidRDefault="00C97E2D" w:rsidP="00EB46E5">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FB126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計画の推進</w:t>
            </w:r>
          </w:p>
          <w:p w:rsidR="00C97E2D" w:rsidRPr="005D29C6" w:rsidRDefault="00C97E2D" w:rsidP="009D08E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7F73">
              <w:rPr>
                <w:rFonts w:ascii="ＭＳ Ｐゴシック" w:eastAsia="ＭＳ Ｐゴシック" w:hAnsi="ＭＳ Ｐゴシック" w:hint="eastAsia"/>
                <w:sz w:val="22"/>
              </w:rPr>
              <w:t>第</w:t>
            </w:r>
            <w:r>
              <w:rPr>
                <w:rFonts w:ascii="ＭＳ Ｐゴシック" w:eastAsia="ＭＳ Ｐゴシック" w:hAnsi="ＭＳ Ｐゴシック" w:hint="eastAsia"/>
                <w:sz w:val="22"/>
              </w:rPr>
              <w:t>一次計画の基本的な</w:t>
            </w:r>
            <w:r w:rsidRPr="00427F73">
              <w:rPr>
                <w:rFonts w:ascii="ＭＳ Ｐゴシック" w:eastAsia="ＭＳ Ｐゴシック" w:hAnsi="ＭＳ Ｐゴシック" w:hint="eastAsia"/>
                <w:sz w:val="22"/>
              </w:rPr>
              <w:t>考え方を継承</w:t>
            </w:r>
            <w:r>
              <w:rPr>
                <w:rFonts w:ascii="ＭＳ Ｐゴシック" w:eastAsia="ＭＳ Ｐゴシック" w:hAnsi="ＭＳ Ｐゴシック" w:hint="eastAsia"/>
                <w:sz w:val="22"/>
              </w:rPr>
              <w:t>のうえ、市町村との情報共有、推進体制の図を追記</w:t>
            </w:r>
          </w:p>
        </w:tc>
      </w:tr>
      <w:tr w:rsidR="00C97E2D" w:rsidTr="00C97E2D">
        <w:trPr>
          <w:trHeight w:val="1711"/>
        </w:trPr>
        <w:tc>
          <w:tcPr>
            <w:tcW w:w="1931" w:type="dxa"/>
            <w:vMerge/>
          </w:tcPr>
          <w:p w:rsidR="00C97E2D" w:rsidRPr="00427F73" w:rsidRDefault="00C97E2D" w:rsidP="009D08EE">
            <w:pPr>
              <w:rPr>
                <w:rFonts w:ascii="ＭＳ Ｐゴシック" w:eastAsia="ＭＳ Ｐゴシック" w:hAnsi="ＭＳ Ｐゴシック"/>
                <w:sz w:val="22"/>
              </w:rPr>
            </w:pPr>
          </w:p>
        </w:tc>
        <w:tc>
          <w:tcPr>
            <w:tcW w:w="9539" w:type="dxa"/>
            <w:tcBorders>
              <w:top w:val="dashSmallGap" w:sz="4" w:space="0" w:color="auto"/>
            </w:tcBorders>
          </w:tcPr>
          <w:p w:rsidR="00C97E2D" w:rsidRDefault="00C97E2D" w:rsidP="00EB46E5">
            <w:pPr>
              <w:rPr>
                <w:rFonts w:ascii="ＭＳ Ｐゴシック" w:eastAsia="ＭＳ Ｐゴシック" w:hAnsi="ＭＳ Ｐゴシック"/>
                <w:sz w:val="22"/>
              </w:rPr>
            </w:pPr>
            <w:r w:rsidRPr="005D29C6">
              <w:rPr>
                <w:rFonts w:ascii="ＭＳ Ｐゴシック" w:eastAsia="ＭＳ Ｐゴシック" w:hAnsi="ＭＳ Ｐゴシック" w:hint="eastAsia"/>
                <w:sz w:val="22"/>
              </w:rPr>
              <w:t>６．子どもの貧困に関する指標</w:t>
            </w:r>
          </w:p>
          <w:p w:rsidR="00C97E2D" w:rsidRDefault="00C97E2D" w:rsidP="00EB46E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・国の大綱に示された</w:t>
            </w:r>
            <w:r w:rsidRPr="00D74BC2">
              <w:rPr>
                <w:rFonts w:ascii="ＭＳ Ｐゴシック" w:eastAsia="ＭＳ Ｐゴシック" w:hAnsi="ＭＳ Ｐゴシック" w:hint="eastAsia"/>
                <w:sz w:val="22"/>
              </w:rPr>
              <w:t>指標のうち、子どもの状況を示すものでかつ大阪府の数値が示せるものに</w:t>
            </w:r>
          </w:p>
          <w:p w:rsidR="00C97E2D" w:rsidRDefault="00C97E2D" w:rsidP="00D74BC2">
            <w:pPr>
              <w:ind w:firstLineChars="100" w:firstLine="220"/>
              <w:rPr>
                <w:rFonts w:ascii="ＭＳ Ｐゴシック" w:eastAsia="ＭＳ Ｐゴシック" w:hAnsi="ＭＳ Ｐゴシック"/>
                <w:sz w:val="22"/>
              </w:rPr>
            </w:pPr>
            <w:r w:rsidRPr="00D74BC2">
              <w:rPr>
                <w:rFonts w:ascii="ＭＳ Ｐゴシック" w:eastAsia="ＭＳ Ｐゴシック" w:hAnsi="ＭＳ Ｐゴシック" w:hint="eastAsia"/>
                <w:sz w:val="22"/>
              </w:rPr>
              <w:t>ついては、子どもの貧困対策に関する指標として設定</w:t>
            </w:r>
          </w:p>
          <w:p w:rsidR="00C97E2D" w:rsidRDefault="00C97E2D" w:rsidP="008A0D8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A0D83">
              <w:rPr>
                <w:rFonts w:ascii="ＭＳ Ｐゴシック" w:eastAsia="ＭＳ Ｐゴシック" w:hAnsi="ＭＳ Ｐゴシック" w:hint="eastAsia"/>
                <w:sz w:val="22"/>
              </w:rPr>
              <w:t>施策に関する指標及</w:t>
            </w:r>
            <w:r>
              <w:rPr>
                <w:rFonts w:ascii="ＭＳ Ｐゴシック" w:eastAsia="ＭＳ Ｐゴシック" w:hAnsi="ＭＳ Ｐゴシック" w:hint="eastAsia"/>
                <w:sz w:val="22"/>
              </w:rPr>
              <w:t>びサンプリング調査等により都道府県のデータが示せないもの</w:t>
            </w:r>
            <w:r w:rsidRPr="008A0D83">
              <w:rPr>
                <w:rFonts w:ascii="ＭＳ Ｐゴシック" w:eastAsia="ＭＳ Ｐゴシック" w:hAnsi="ＭＳ Ｐゴシック" w:hint="eastAsia"/>
                <w:sz w:val="22"/>
              </w:rPr>
              <w:t>は、参考指標</w:t>
            </w:r>
          </w:p>
          <w:p w:rsidR="00C97E2D" w:rsidRDefault="00C97E2D" w:rsidP="008A0D8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A0D83">
              <w:rPr>
                <w:rFonts w:ascii="ＭＳ Ｐゴシック" w:eastAsia="ＭＳ Ｐゴシック" w:hAnsi="ＭＳ Ｐゴシック" w:hint="eastAsia"/>
                <w:sz w:val="22"/>
              </w:rPr>
              <w:t>大阪府の施策に関する指標を３指標追加</w:t>
            </w:r>
          </w:p>
        </w:tc>
        <w:tc>
          <w:tcPr>
            <w:tcW w:w="10066" w:type="dxa"/>
            <w:tcBorders>
              <w:top w:val="dashSmallGap" w:sz="4" w:space="0" w:color="auto"/>
            </w:tcBorders>
          </w:tcPr>
          <w:p w:rsidR="00C97E2D" w:rsidRDefault="00C97E2D" w:rsidP="00C97E2D">
            <w:pPr>
              <w:rPr>
                <w:rFonts w:ascii="ＭＳ Ｐゴシック" w:eastAsia="ＭＳ Ｐゴシック" w:hAnsi="ＭＳ Ｐゴシック"/>
                <w:sz w:val="22"/>
              </w:rPr>
            </w:pPr>
            <w:r w:rsidRPr="005D29C6">
              <w:rPr>
                <w:rFonts w:ascii="ＭＳ Ｐゴシック" w:eastAsia="ＭＳ Ｐゴシック" w:hAnsi="ＭＳ Ｐゴシック" w:hint="eastAsia"/>
                <w:sz w:val="22"/>
              </w:rPr>
              <w:t>６．子どもの貧困に関する指標</w:t>
            </w:r>
          </w:p>
          <w:p w:rsidR="00C97E2D" w:rsidRDefault="00C97E2D" w:rsidP="00C97E2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7E2D">
              <w:rPr>
                <w:rFonts w:ascii="ＭＳ Ｐゴシック" w:eastAsia="ＭＳ Ｐゴシック" w:hAnsi="ＭＳ Ｐゴシック" w:hint="eastAsia"/>
                <w:sz w:val="22"/>
              </w:rPr>
              <w:t>第一次計画の基本的な考え方を継承</w:t>
            </w:r>
          </w:p>
          <w:p w:rsidR="00C97E2D" w:rsidRDefault="00C97E2D" w:rsidP="00C97E2D">
            <w:pPr>
              <w:rPr>
                <w:rFonts w:ascii="ＭＳ Ｐゴシック" w:eastAsia="ＭＳ Ｐゴシック" w:hAnsi="ＭＳ Ｐゴシック"/>
                <w:sz w:val="22"/>
              </w:rPr>
            </w:pP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・国の新たな大綱（案）をもとに、</w:t>
            </w:r>
            <w:r w:rsidRPr="00D74BC2">
              <w:rPr>
                <w:rFonts w:ascii="ＭＳ Ｐゴシック" w:eastAsia="ＭＳ Ｐゴシック" w:hAnsi="ＭＳ Ｐゴシック" w:hint="eastAsia"/>
                <w:sz w:val="22"/>
              </w:rPr>
              <w:t>子どもの状況を示すものでかつ大阪府の数値が示せるものについては、</w:t>
            </w:r>
          </w:p>
          <w:p w:rsidR="00C97E2D" w:rsidRDefault="00C97E2D" w:rsidP="00C97E2D">
            <w:pPr>
              <w:ind w:firstLineChars="100" w:firstLine="220"/>
              <w:rPr>
                <w:rFonts w:ascii="ＭＳ Ｐゴシック" w:eastAsia="ＭＳ Ｐゴシック" w:hAnsi="ＭＳ Ｐゴシック"/>
                <w:sz w:val="22"/>
              </w:rPr>
            </w:pPr>
            <w:r w:rsidRPr="00D74BC2">
              <w:rPr>
                <w:rFonts w:ascii="ＭＳ Ｐゴシック" w:eastAsia="ＭＳ Ｐゴシック" w:hAnsi="ＭＳ Ｐゴシック" w:hint="eastAsia"/>
                <w:sz w:val="22"/>
              </w:rPr>
              <w:t>子どもの貧困対策に関する指標として設定</w:t>
            </w:r>
            <w:r>
              <w:rPr>
                <w:rFonts w:ascii="ＭＳ Ｐゴシック" w:eastAsia="ＭＳ Ｐゴシック" w:hAnsi="ＭＳ Ｐゴシック" w:hint="eastAsia"/>
                <w:sz w:val="22"/>
              </w:rPr>
              <w:t>、その他は参考指標とする</w:t>
            </w:r>
          </w:p>
          <w:p w:rsidR="00C97E2D" w:rsidRDefault="00C97E2D" w:rsidP="00C97E2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97E2D">
              <w:rPr>
                <w:rFonts w:ascii="ＭＳ Ｐゴシック" w:eastAsia="ＭＳ Ｐゴシック" w:hAnsi="ＭＳ Ｐゴシック" w:hint="eastAsia"/>
                <w:sz w:val="22"/>
              </w:rPr>
              <w:t>市町村の取組の推進に関する指標</w:t>
            </w:r>
            <w:r>
              <w:rPr>
                <w:rFonts w:ascii="ＭＳ Ｐゴシック" w:eastAsia="ＭＳ Ｐゴシック" w:hAnsi="ＭＳ Ｐゴシック" w:hint="eastAsia"/>
                <w:sz w:val="22"/>
              </w:rPr>
              <w:t>として、「子どもの貧困対策計画を策定している市町村数」を追加</w:t>
            </w:r>
          </w:p>
        </w:tc>
      </w:tr>
    </w:tbl>
    <w:p w:rsidR="00FA3FDD" w:rsidRPr="00FB1268" w:rsidRDefault="00FA3FDD"/>
    <w:sectPr w:rsidR="00FA3FDD" w:rsidRPr="00FB1268" w:rsidSect="00126105">
      <w:pgSz w:w="23814" w:h="16840" w:orient="landscape" w:code="8"/>
      <w:pgMar w:top="1418" w:right="1134" w:bottom="85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268" w:rsidRDefault="00FB1268" w:rsidP="00FB1268">
      <w:r>
        <w:separator/>
      </w:r>
    </w:p>
  </w:endnote>
  <w:endnote w:type="continuationSeparator" w:id="0">
    <w:p w:rsidR="00FB1268" w:rsidRDefault="00FB1268" w:rsidP="00FB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268" w:rsidRDefault="00FB1268" w:rsidP="00FB1268">
      <w:r>
        <w:separator/>
      </w:r>
    </w:p>
  </w:footnote>
  <w:footnote w:type="continuationSeparator" w:id="0">
    <w:p w:rsidR="00FB1268" w:rsidRDefault="00FB1268" w:rsidP="00FB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8"/>
    <w:rsid w:val="000226E3"/>
    <w:rsid w:val="000E41A7"/>
    <w:rsid w:val="00126105"/>
    <w:rsid w:val="00175574"/>
    <w:rsid w:val="00317381"/>
    <w:rsid w:val="004E0746"/>
    <w:rsid w:val="005D29C6"/>
    <w:rsid w:val="007E61E5"/>
    <w:rsid w:val="008A0D83"/>
    <w:rsid w:val="00C67E60"/>
    <w:rsid w:val="00C97E2D"/>
    <w:rsid w:val="00D74BC2"/>
    <w:rsid w:val="00DA574E"/>
    <w:rsid w:val="00DF2AAA"/>
    <w:rsid w:val="00EB46E5"/>
    <w:rsid w:val="00F75100"/>
    <w:rsid w:val="00FA3FDD"/>
    <w:rsid w:val="00FB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900753-A9CC-47C4-9E0A-FDD2238B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268"/>
    <w:pPr>
      <w:tabs>
        <w:tab w:val="center" w:pos="4252"/>
        <w:tab w:val="right" w:pos="8504"/>
      </w:tabs>
      <w:snapToGrid w:val="0"/>
    </w:pPr>
  </w:style>
  <w:style w:type="character" w:customStyle="1" w:styleId="a4">
    <w:name w:val="ヘッダー (文字)"/>
    <w:basedOn w:val="a0"/>
    <w:link w:val="a3"/>
    <w:uiPriority w:val="99"/>
    <w:rsid w:val="00FB1268"/>
  </w:style>
  <w:style w:type="paragraph" w:styleId="a5">
    <w:name w:val="footer"/>
    <w:basedOn w:val="a"/>
    <w:link w:val="a6"/>
    <w:uiPriority w:val="99"/>
    <w:unhideWhenUsed/>
    <w:rsid w:val="00FB1268"/>
    <w:pPr>
      <w:tabs>
        <w:tab w:val="center" w:pos="4252"/>
        <w:tab w:val="right" w:pos="8504"/>
      </w:tabs>
      <w:snapToGrid w:val="0"/>
    </w:pPr>
  </w:style>
  <w:style w:type="character" w:customStyle="1" w:styleId="a6">
    <w:name w:val="フッター (文字)"/>
    <w:basedOn w:val="a0"/>
    <w:link w:val="a5"/>
    <w:uiPriority w:val="99"/>
    <w:rsid w:val="00FB1268"/>
  </w:style>
  <w:style w:type="table" w:styleId="a7">
    <w:name w:val="Table Grid"/>
    <w:basedOn w:val="a1"/>
    <w:uiPriority w:val="59"/>
    <w:rsid w:val="00FB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2A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2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美恵</dc:creator>
  <cp:keywords/>
  <dc:description/>
  <cp:lastModifiedBy>加藤　美恵</cp:lastModifiedBy>
  <cp:revision>16</cp:revision>
  <cp:lastPrinted>2019-11-14T23:19:00Z</cp:lastPrinted>
  <dcterms:created xsi:type="dcterms:W3CDTF">2019-11-12T01:08:00Z</dcterms:created>
  <dcterms:modified xsi:type="dcterms:W3CDTF">2019-11-19T04:08:00Z</dcterms:modified>
</cp:coreProperties>
</file>