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248" w:rsidRDefault="00051555" w:rsidP="00C40472">
      <w:pPr>
        <w:spacing w:line="340" w:lineRule="exact"/>
        <w:jc w:val="center"/>
        <w:rPr>
          <w:rFonts w:ascii="メイリオ" w:eastAsia="メイリオ" w:hAnsi="メイリオ" w:cs="メイリオ"/>
          <w:b/>
          <w:sz w:val="24"/>
          <w:szCs w:val="24"/>
        </w:rPr>
      </w:pPr>
      <w:r>
        <w:rPr>
          <w:rFonts w:ascii="メイリオ" w:eastAsia="メイリオ" w:hAnsi="メイリオ" w:cs="メイリオ"/>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8383270</wp:posOffset>
                </wp:positionH>
                <wp:positionV relativeFrom="paragraph">
                  <wp:posOffset>29845</wp:posOffset>
                </wp:positionV>
                <wp:extent cx="1211580" cy="244475"/>
                <wp:effectExtent l="22860" t="22860" r="2286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444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1248" w:rsidRPr="00115F27" w:rsidRDefault="00EA1248" w:rsidP="00115F27">
                            <w:pPr>
                              <w:spacing w:line="340" w:lineRule="exact"/>
                              <w:jc w:val="center"/>
                              <w:rPr>
                                <w:rFonts w:ascii="メイリオ" w:eastAsia="メイリオ" w:hAnsi="メイリオ"/>
                                <w:b/>
                                <w:sz w:val="28"/>
                                <w:szCs w:val="28"/>
                              </w:rPr>
                            </w:pPr>
                            <w:r w:rsidRPr="00115F27">
                              <w:rPr>
                                <w:rFonts w:ascii="メイリオ" w:eastAsia="メイリオ" w:hAnsi="メイリオ" w:hint="eastAsia"/>
                                <w:b/>
                                <w:sz w:val="28"/>
                                <w:szCs w:val="28"/>
                              </w:rPr>
                              <w:t>参考資料</w:t>
                            </w:r>
                            <w:r w:rsidR="00115F27">
                              <w:rPr>
                                <w:rFonts w:ascii="メイリオ" w:eastAsia="メイリオ" w:hAnsi="メイリオ" w:hint="eastAsia"/>
                                <w:b/>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0.1pt;margin-top:2.35pt;width:95.4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zu3QIAAAsGAAAOAAAAZHJzL2Uyb0RvYy54bWysVFtv2yAUfp+0/4B4T32JE7tWnSpJk2nS&#10;blI77ZkYHKNi8IDU7qb99x0gyaL1ZZqaSBYc4Du37zs3t2Mn0BPThitZ4eQqxojJWlEu9xX++rCd&#10;FBgZSyQlQklW4Wdm8O3i7ZuboS9ZqlolKNMIQKQph77CrbV9GUWmbllHzJXqmYTDRumOWNjqfUQ1&#10;GQC9E1Eax/NoUJr2WtXMGLDehUO88PhNw2r7uWkMs0hUGGKz/qv9d+e+0eKGlHtN+pbXxzDIf0TR&#10;ES7B6RnqjliCDpq/gOp4rZVRjb2qVReppuE18zlANkn8Vzb3LemZzwWKY/pzmczrwdafnr5oxCn0&#10;DiNJOmjRAxstWqkRpa46Q29KuHTfwzU7gtnddJma/oOqHw2Sat0SuWdLrdXQMkIhusS9jC6eBhzj&#10;QHbDR0XBDTlY5YHGRncOEIqBAB269HzujAuldi7TJJkVcFTDWZplWT7zLkh5et1rY98x1SG3qLCG&#10;znt08vTBWBcNKU9XfPRKcLrlQviNYxtbC42eCPBE2JChOHQQarAlsfsFuoAdSBXs3gTYnrAOwnsy&#10;l+hCoqHC0ySfxaFwl4fndwGOPr6q645bUJfgXYWLiwRclzaSeu5bwkVYQxZCunIwr5tQNtiNFpbe&#10;Ds3wnP653M7iPJsWkzyfTSfZdBNPVsV2PVmuk/k836zWq03yyyWbZGXLKWVy4zHNSWJJ9m8UPoo9&#10;iOMssnOALip1gBzvWzogyl3np7PrFLhMOag8zUPWiIg9jKfaaoy0st+4bb22HM8chtH73bn9xdz9&#10;j/Q6o/u+XjiOXuQWboxQKqjkqWpeBI73QQF23I1HUe0UfQY5QDie8zBDYdEq/QOjAeZRhc33A9EM&#10;I/FegqTyLL2ewQDzm6K4Bi3oy4PdxQGRNQBV2GIUlmsbRt6h13zfgp/AMqmWIMKGe304tYaYIAG3&#10;gYnjUzlORzfSLvf+1p8ZvvgNAAD//wMAUEsDBBQABgAIAAAAIQDvdZ5O3AAAAAoBAAAPAAAAZHJz&#10;L2Rvd25yZXYueG1sTI/NTsMwEITvSLyDtUjcqJOUAgpxqpQ/cSXA3YmXJCJeh9hNDU/P9gTHmf00&#10;O1Nsox3FgrMfHClIVwkIpNaZgToFb6+PFzcgfNBk9OgIFXyjh215elLo3LgDveBSh05wCPlcK+hD&#10;mHIpfduj1X7lJiS+fbjZ6sBy7qSZ9YHD7SizJLmSVg/EH3o94V2P7We9twqq56/75ak2mzG+Wzc9&#10;/MSm2u2UOj+L1S2IgDH8wXCsz9Wh5E6N25PxYmS9zpKMWQWX1yCOwCZNeV3DxjoDWRby/4TyFwAA&#10;//8DAFBLAQItABQABgAIAAAAIQC2gziS/gAAAOEBAAATAAAAAAAAAAAAAAAAAAAAAABbQ29udGVu&#10;dF9UeXBlc10ueG1sUEsBAi0AFAAGAAgAAAAhADj9If/WAAAAlAEAAAsAAAAAAAAAAAAAAAAALwEA&#10;AF9yZWxzLy5yZWxzUEsBAi0AFAAGAAgAAAAhAMb3PO7dAgAACwYAAA4AAAAAAAAAAAAAAAAALgIA&#10;AGRycy9lMm9Eb2MueG1sUEsBAi0AFAAGAAgAAAAhAO91nk7cAAAACgEAAA8AAAAAAAAAAAAAAAAA&#10;NwUAAGRycy9kb3ducmV2LnhtbFBLBQYAAAAABAAEAPMAAABABgAAAAA=&#10;" fillcolor="white [3201]" strokecolor="black [3200]" strokeweight="2.5pt">
                <v:shadow color="#868686"/>
                <v:textbox inset="5.85pt,.7pt,5.85pt,.7pt">
                  <w:txbxContent>
                    <w:p w:rsidR="00EA1248" w:rsidRPr="00115F27" w:rsidRDefault="00EA1248" w:rsidP="00115F27">
                      <w:pPr>
                        <w:spacing w:line="340" w:lineRule="exact"/>
                        <w:jc w:val="center"/>
                        <w:rPr>
                          <w:rFonts w:ascii="メイリオ" w:eastAsia="メイリオ" w:hAnsi="メイリオ"/>
                          <w:b/>
                          <w:sz w:val="28"/>
                          <w:szCs w:val="28"/>
                        </w:rPr>
                      </w:pPr>
                      <w:r w:rsidRPr="00115F27">
                        <w:rPr>
                          <w:rFonts w:ascii="メイリオ" w:eastAsia="メイリオ" w:hAnsi="メイリオ" w:hint="eastAsia"/>
                          <w:b/>
                          <w:sz w:val="28"/>
                          <w:szCs w:val="28"/>
                        </w:rPr>
                        <w:t>参考資料</w:t>
                      </w:r>
                      <w:r w:rsidR="00115F27">
                        <w:rPr>
                          <w:rFonts w:ascii="メイリオ" w:eastAsia="メイリオ" w:hAnsi="メイリオ" w:hint="eastAsia"/>
                          <w:b/>
                          <w:sz w:val="28"/>
                          <w:szCs w:val="28"/>
                        </w:rPr>
                        <w:t>２</w:t>
                      </w:r>
                    </w:p>
                  </w:txbxContent>
                </v:textbox>
              </v:shape>
            </w:pict>
          </mc:Fallback>
        </mc:AlternateContent>
      </w:r>
    </w:p>
    <w:p w:rsidR="00453524" w:rsidRPr="00A50150" w:rsidRDefault="00BD5182" w:rsidP="00EA1248">
      <w:pPr>
        <w:spacing w:line="420" w:lineRule="exact"/>
        <w:jc w:val="center"/>
        <w:rPr>
          <w:rFonts w:ascii="メイリオ" w:eastAsia="メイリオ" w:hAnsi="メイリオ" w:cs="メイリオ"/>
          <w:b/>
          <w:sz w:val="24"/>
          <w:szCs w:val="24"/>
        </w:rPr>
      </w:pPr>
      <w:r w:rsidRPr="00A50150">
        <w:rPr>
          <w:rFonts w:ascii="メイリオ" w:eastAsia="メイリオ" w:hAnsi="メイリオ" w:cs="メイリオ" w:hint="eastAsia"/>
          <w:b/>
          <w:sz w:val="24"/>
          <w:szCs w:val="24"/>
        </w:rPr>
        <w:t>平成29年度</w:t>
      </w:r>
      <w:r w:rsidR="007F7C42" w:rsidRPr="00A50150">
        <w:rPr>
          <w:rFonts w:ascii="メイリオ" w:eastAsia="メイリオ" w:hAnsi="メイリオ" w:cs="メイリオ" w:hint="eastAsia"/>
          <w:b/>
          <w:sz w:val="24"/>
          <w:szCs w:val="24"/>
        </w:rPr>
        <w:t>第１回</w:t>
      </w:r>
      <w:r w:rsidRPr="00A50150">
        <w:rPr>
          <w:rFonts w:ascii="メイリオ" w:eastAsia="メイリオ" w:hAnsi="メイリオ" w:cs="メイリオ" w:hint="eastAsia"/>
          <w:b/>
          <w:sz w:val="24"/>
          <w:szCs w:val="24"/>
        </w:rPr>
        <w:t>大阪府地域職域連携推進協議会 NCD対策検討部会</w:t>
      </w:r>
      <w:r w:rsidR="00B9259D" w:rsidRPr="00A50150">
        <w:rPr>
          <w:rFonts w:ascii="メイリオ" w:eastAsia="メイリオ" w:hAnsi="メイリオ" w:cs="メイリオ" w:hint="eastAsia"/>
          <w:b/>
          <w:sz w:val="24"/>
          <w:szCs w:val="24"/>
        </w:rPr>
        <w:t>における委員意見について</w:t>
      </w:r>
    </w:p>
    <w:p w:rsidR="007C4B47" w:rsidRPr="00A50150" w:rsidRDefault="007C4B47" w:rsidP="00EA1248">
      <w:pPr>
        <w:spacing w:line="420" w:lineRule="exact"/>
        <w:rPr>
          <w:rFonts w:ascii="メイリオ" w:eastAsia="メイリオ" w:hAnsi="メイリオ" w:cs="メイリオ"/>
          <w:szCs w:val="21"/>
        </w:rPr>
      </w:pPr>
      <w:r w:rsidRPr="00A50150">
        <w:rPr>
          <w:rFonts w:ascii="メイリオ" w:eastAsia="メイリオ" w:hAnsi="メイリオ" w:cs="メイリオ" w:hint="eastAsia"/>
          <w:b/>
          <w:szCs w:val="21"/>
        </w:rPr>
        <w:t>《❶府民の健康をめぐる状況について（第3章関連）》</w:t>
      </w:r>
    </w:p>
    <w:tbl>
      <w:tblPr>
        <w:tblpPr w:leftFromText="142" w:rightFromText="142" w:vertAnchor="text" w:horzAnchor="margin" w:tblpY="183"/>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269"/>
        <w:gridCol w:w="5459"/>
      </w:tblGrid>
      <w:tr w:rsidR="00422769" w:rsidRPr="00A50150" w:rsidTr="00022B29">
        <w:trPr>
          <w:trHeight w:val="434"/>
        </w:trPr>
        <w:tc>
          <w:tcPr>
            <w:tcW w:w="1559" w:type="dxa"/>
            <w:shd w:val="pct20" w:color="auto" w:fill="auto"/>
            <w:vAlign w:val="center"/>
          </w:tcPr>
          <w:p w:rsidR="00422769" w:rsidRPr="00A50150" w:rsidRDefault="00422769" w:rsidP="007C4B47">
            <w:pPr>
              <w:snapToGrid w:val="0"/>
              <w:spacing w:line="260" w:lineRule="exact"/>
              <w:jc w:val="center"/>
              <w:rPr>
                <w:rFonts w:ascii="メイリオ" w:eastAsia="メイリオ" w:hAnsi="メイリオ" w:cs="メイリオ"/>
                <w:b/>
                <w:sz w:val="20"/>
                <w:szCs w:val="20"/>
              </w:rPr>
            </w:pPr>
          </w:p>
        </w:tc>
        <w:tc>
          <w:tcPr>
            <w:tcW w:w="8269" w:type="dxa"/>
            <w:shd w:val="pct20" w:color="auto" w:fill="auto"/>
            <w:vAlign w:val="center"/>
          </w:tcPr>
          <w:p w:rsidR="00422769" w:rsidRPr="00A50150" w:rsidRDefault="00422769" w:rsidP="00B9259D">
            <w:pPr>
              <w:snapToGrid w:val="0"/>
              <w:spacing w:line="260" w:lineRule="exact"/>
              <w:jc w:val="center"/>
              <w:rPr>
                <w:rFonts w:ascii="メイリオ" w:eastAsia="メイリオ" w:hAnsi="メイリオ" w:cs="メイリオ"/>
                <w:sz w:val="20"/>
                <w:szCs w:val="20"/>
              </w:rPr>
            </w:pPr>
            <w:r w:rsidRPr="00A50150">
              <w:rPr>
                <w:rFonts w:ascii="メイリオ" w:eastAsia="メイリオ" w:hAnsi="メイリオ" w:cs="メイリオ" w:hint="eastAsia"/>
                <w:sz w:val="20"/>
                <w:szCs w:val="20"/>
              </w:rPr>
              <w:t>主な意見</w:t>
            </w:r>
          </w:p>
        </w:tc>
        <w:tc>
          <w:tcPr>
            <w:tcW w:w="5459" w:type="dxa"/>
            <w:shd w:val="pct20" w:color="auto" w:fill="auto"/>
            <w:vAlign w:val="center"/>
          </w:tcPr>
          <w:p w:rsidR="00422769" w:rsidRPr="00A50150" w:rsidRDefault="00422769" w:rsidP="007C4B47">
            <w:pPr>
              <w:spacing w:line="340" w:lineRule="exact"/>
              <w:jc w:val="center"/>
              <w:rPr>
                <w:rFonts w:ascii="メイリオ" w:eastAsia="メイリオ" w:hAnsi="メイリオ" w:cs="メイリオ"/>
                <w:sz w:val="20"/>
                <w:szCs w:val="20"/>
              </w:rPr>
            </w:pPr>
            <w:r w:rsidRPr="00A50150">
              <w:rPr>
                <w:rFonts w:ascii="メイリオ" w:eastAsia="メイリオ" w:hAnsi="メイリオ" w:cs="メイリオ" w:hint="eastAsia"/>
                <w:sz w:val="20"/>
                <w:szCs w:val="20"/>
              </w:rPr>
              <w:t>対応</w:t>
            </w:r>
          </w:p>
        </w:tc>
      </w:tr>
      <w:tr w:rsidR="00EA1248" w:rsidRPr="00A50150" w:rsidTr="007E3E25">
        <w:trPr>
          <w:trHeight w:val="810"/>
        </w:trPr>
        <w:tc>
          <w:tcPr>
            <w:tcW w:w="1559" w:type="dxa"/>
            <w:vMerge w:val="restart"/>
          </w:tcPr>
          <w:p w:rsidR="00EA1248" w:rsidRPr="00A50150" w:rsidRDefault="00EA1248" w:rsidP="007C4B47">
            <w:pPr>
              <w:snapToGrid w:val="0"/>
              <w:spacing w:line="260" w:lineRule="exact"/>
              <w:jc w:val="left"/>
              <w:rPr>
                <w:rFonts w:ascii="メイリオ" w:eastAsia="メイリオ" w:hAnsi="メイリオ" w:cs="メイリオ"/>
                <w:b/>
                <w:sz w:val="20"/>
                <w:szCs w:val="20"/>
              </w:rPr>
            </w:pPr>
            <w:r w:rsidRPr="00A50150">
              <w:rPr>
                <w:rFonts w:ascii="メイリオ" w:eastAsia="メイリオ" w:hAnsi="メイリオ" w:cs="メイリオ" w:hint="eastAsia"/>
                <w:b/>
                <w:sz w:val="20"/>
                <w:szCs w:val="20"/>
              </w:rPr>
              <w:t>介護の要因</w:t>
            </w:r>
          </w:p>
          <w:p w:rsidR="00EA1248" w:rsidRPr="00A50150" w:rsidRDefault="00EA1248" w:rsidP="007C4B47">
            <w:pPr>
              <w:snapToGrid w:val="0"/>
              <w:spacing w:line="260" w:lineRule="exact"/>
              <w:jc w:val="left"/>
              <w:rPr>
                <w:rFonts w:ascii="メイリオ" w:eastAsia="メイリオ" w:hAnsi="メイリオ" w:cs="メイリオ"/>
                <w:sz w:val="20"/>
                <w:szCs w:val="20"/>
              </w:rPr>
            </w:pPr>
          </w:p>
        </w:tc>
        <w:tc>
          <w:tcPr>
            <w:tcW w:w="8269" w:type="dxa"/>
          </w:tcPr>
          <w:p w:rsidR="00EA1248" w:rsidRPr="00A50150" w:rsidRDefault="00EA1248" w:rsidP="00532423">
            <w:pPr>
              <w:snapToGrid w:val="0"/>
              <w:spacing w:line="260" w:lineRule="exact"/>
              <w:ind w:left="200" w:hangingChars="100" w:hanging="200"/>
              <w:rPr>
                <w:rFonts w:ascii="メイリオ" w:eastAsia="メイリオ" w:hAnsi="メイリオ" w:cs="メイリオ"/>
                <w:b/>
                <w:sz w:val="20"/>
                <w:szCs w:val="20"/>
              </w:rPr>
            </w:pPr>
            <w:r w:rsidRPr="00A50150">
              <w:rPr>
                <w:rFonts w:ascii="メイリオ" w:eastAsia="メイリオ" w:hAnsi="メイリオ" w:cs="メイリオ" w:hint="eastAsia"/>
                <w:sz w:val="20"/>
                <w:szCs w:val="20"/>
              </w:rPr>
              <w:t>●「介護が必要となった主な原因（8頁-9頁）」について。「骨折の受療率」が特に75歳以上の女性で高まっていることと大阪府の介護認定率の高さを関連づけるためには、もう少し精査が必要ではないか。</w:t>
            </w:r>
          </w:p>
        </w:tc>
        <w:tc>
          <w:tcPr>
            <w:tcW w:w="5459" w:type="dxa"/>
            <w:vMerge w:val="restart"/>
          </w:tcPr>
          <w:p w:rsidR="00EA1248" w:rsidRPr="00115F27" w:rsidRDefault="00EA1248" w:rsidP="00115F27">
            <w:pPr>
              <w:snapToGrid w:val="0"/>
              <w:spacing w:line="260" w:lineRule="exact"/>
              <w:ind w:left="192" w:hangingChars="100" w:hanging="192"/>
              <w:rPr>
                <w:rFonts w:ascii="メイリオ" w:eastAsia="メイリオ" w:hAnsi="メイリオ" w:cs="メイリオ"/>
                <w:spacing w:val="-4"/>
                <w:sz w:val="20"/>
                <w:szCs w:val="20"/>
              </w:rPr>
            </w:pPr>
            <w:r w:rsidRPr="00115F27">
              <w:rPr>
                <w:rFonts w:ascii="メイリオ" w:eastAsia="メイリオ" w:hAnsi="メイリオ" w:cs="メイリオ" w:hint="eastAsia"/>
                <w:spacing w:val="-4"/>
                <w:sz w:val="20"/>
                <w:szCs w:val="20"/>
              </w:rPr>
              <w:t>●</w:t>
            </w:r>
            <w:r w:rsidR="00115F27" w:rsidRPr="00115F27">
              <w:rPr>
                <w:rFonts w:ascii="メイリオ" w:eastAsia="メイリオ" w:hAnsi="メイリオ" w:cs="メイリオ" w:hint="eastAsia"/>
                <w:spacing w:val="-4"/>
                <w:sz w:val="20"/>
                <w:szCs w:val="20"/>
              </w:rPr>
              <w:t>本計画では、「介護が必要となった主な原因」の中で</w:t>
            </w:r>
            <w:r w:rsidRPr="00115F27">
              <w:rPr>
                <w:rFonts w:ascii="メイリオ" w:eastAsia="メイリオ" w:hAnsi="メイリオ" w:cs="メイリオ" w:hint="eastAsia"/>
                <w:spacing w:val="-4"/>
                <w:sz w:val="20"/>
                <w:szCs w:val="20"/>
              </w:rPr>
              <w:t>最も多い骨折</w:t>
            </w:r>
            <w:r w:rsidR="00115F27" w:rsidRPr="00115F27">
              <w:rPr>
                <w:rFonts w:ascii="メイリオ" w:eastAsia="メイリオ" w:hAnsi="メイリオ" w:cs="メイリオ" w:hint="eastAsia"/>
                <w:spacing w:val="-4"/>
                <w:sz w:val="20"/>
                <w:szCs w:val="20"/>
              </w:rPr>
              <w:t>とその受療率について、データ等</w:t>
            </w:r>
            <w:r w:rsidRPr="00115F27">
              <w:rPr>
                <w:rFonts w:ascii="メイリオ" w:eastAsia="メイリオ" w:hAnsi="メイリオ" w:cs="メイリオ" w:hint="eastAsia"/>
                <w:spacing w:val="-4"/>
                <w:sz w:val="20"/>
                <w:szCs w:val="20"/>
              </w:rPr>
              <w:t>を記述しています。</w:t>
            </w:r>
          </w:p>
          <w:p w:rsidR="00EA1248" w:rsidRDefault="00EA1248" w:rsidP="00532423">
            <w:pPr>
              <w:snapToGrid w:val="0"/>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●「介護が必要となった主な原因」のデータをみると、高</w:t>
            </w:r>
          </w:p>
          <w:p w:rsidR="00EA1248" w:rsidRPr="00A50150" w:rsidRDefault="00EA1248" w:rsidP="00B02EDF">
            <w:pPr>
              <w:snapToGrid w:val="0"/>
              <w:spacing w:line="260" w:lineRule="exact"/>
              <w:ind w:leftChars="100" w:left="210"/>
              <w:rPr>
                <w:rFonts w:ascii="メイリオ" w:eastAsia="メイリオ" w:hAnsi="メイリオ" w:cs="メイリオ"/>
                <w:sz w:val="20"/>
                <w:szCs w:val="20"/>
              </w:rPr>
            </w:pPr>
            <w:r w:rsidRPr="00A50150">
              <w:rPr>
                <w:rFonts w:ascii="メイリオ" w:eastAsia="メイリオ" w:hAnsi="メイリオ" w:cs="メイリオ" w:hint="eastAsia"/>
                <w:sz w:val="20"/>
                <w:szCs w:val="20"/>
              </w:rPr>
              <w:t>年齢になるほど「骨折等」や「認知症」の割合が高い状況にあります。</w:t>
            </w:r>
          </w:p>
          <w:p w:rsidR="00EA1248" w:rsidRDefault="00EA1248" w:rsidP="00532423">
            <w:pPr>
              <w:snapToGrid w:val="0"/>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●性別でみると、男性は「脳血管疾患等の生活習慣病」、女</w:t>
            </w:r>
          </w:p>
          <w:p w:rsidR="00EA1248" w:rsidRPr="00A50150" w:rsidRDefault="00EA1248" w:rsidP="00B02EDF">
            <w:pPr>
              <w:snapToGrid w:val="0"/>
              <w:spacing w:line="260" w:lineRule="exact"/>
              <w:ind w:leftChars="100" w:left="210"/>
              <w:rPr>
                <w:rFonts w:ascii="メイリオ" w:eastAsia="メイリオ" w:hAnsi="メイリオ" w:cs="メイリオ"/>
                <w:sz w:val="20"/>
                <w:szCs w:val="20"/>
              </w:rPr>
            </w:pPr>
            <w:r w:rsidRPr="00A50150">
              <w:rPr>
                <w:rFonts w:ascii="メイリオ" w:eastAsia="メイリオ" w:hAnsi="メイリオ" w:cs="メイリオ" w:hint="eastAsia"/>
                <w:sz w:val="20"/>
                <w:szCs w:val="20"/>
              </w:rPr>
              <w:t>性は「衰弱・関節疾患・骨折」の割合が高くなって</w:t>
            </w:r>
            <w:r w:rsidR="00115F27">
              <w:rPr>
                <w:rFonts w:ascii="メイリオ" w:eastAsia="メイリオ" w:hAnsi="メイリオ" w:cs="メイリオ" w:hint="eastAsia"/>
                <w:sz w:val="20"/>
                <w:szCs w:val="20"/>
              </w:rPr>
              <w:t>おり、本計画に加筆しています（10</w:t>
            </w:r>
            <w:r>
              <w:rPr>
                <w:rFonts w:ascii="メイリオ" w:eastAsia="メイリオ" w:hAnsi="メイリオ" w:cs="メイリオ" w:hint="eastAsia"/>
                <w:sz w:val="20"/>
                <w:szCs w:val="20"/>
              </w:rPr>
              <w:t>頁）。</w:t>
            </w:r>
          </w:p>
        </w:tc>
      </w:tr>
      <w:tr w:rsidR="00EA1248" w:rsidRPr="00A50150" w:rsidTr="007E3E25">
        <w:trPr>
          <w:trHeight w:val="284"/>
        </w:trPr>
        <w:tc>
          <w:tcPr>
            <w:tcW w:w="1559" w:type="dxa"/>
            <w:vMerge/>
          </w:tcPr>
          <w:p w:rsidR="00EA1248" w:rsidRPr="00A50150" w:rsidRDefault="00EA1248" w:rsidP="007C4B47">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●「骨折」のみならず、認知症や他の疾患等との関連も比較してみてはどうか。</w:t>
            </w:r>
          </w:p>
        </w:tc>
        <w:tc>
          <w:tcPr>
            <w:tcW w:w="5459" w:type="dxa"/>
            <w:vMerge/>
          </w:tcPr>
          <w:p w:rsidR="00EA1248" w:rsidRPr="00A50150" w:rsidRDefault="00EA1248" w:rsidP="008F7BD5">
            <w:pPr>
              <w:snapToGrid w:val="0"/>
              <w:spacing w:line="260" w:lineRule="exact"/>
              <w:ind w:left="200" w:hangingChars="100" w:hanging="200"/>
              <w:rPr>
                <w:rFonts w:ascii="メイリオ" w:eastAsia="メイリオ" w:hAnsi="メイリオ" w:cs="メイリオ"/>
                <w:sz w:val="20"/>
                <w:szCs w:val="20"/>
              </w:rPr>
            </w:pPr>
          </w:p>
        </w:tc>
      </w:tr>
      <w:tr w:rsidR="00EA1248" w:rsidRPr="00A50150" w:rsidTr="007E3E25">
        <w:trPr>
          <w:trHeight w:val="260"/>
        </w:trPr>
        <w:tc>
          <w:tcPr>
            <w:tcW w:w="1559" w:type="dxa"/>
            <w:vMerge/>
          </w:tcPr>
          <w:p w:rsidR="00EA1248" w:rsidRPr="00A50150" w:rsidRDefault="00EA1248" w:rsidP="007C4B47">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●「介護が必要となった主な原因の割合（図表６）」を、性別で分け、性差をみてほしい。</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703"/>
        </w:trPr>
        <w:tc>
          <w:tcPr>
            <w:tcW w:w="1559" w:type="dxa"/>
            <w:vMerge w:val="restart"/>
          </w:tcPr>
          <w:p w:rsidR="00085371" w:rsidRDefault="00085371" w:rsidP="007C4B47">
            <w:pPr>
              <w:snapToGrid w:val="0"/>
              <w:spacing w:line="260" w:lineRule="exact"/>
              <w:ind w:left="200" w:hangingChars="100" w:hanging="200"/>
              <w:jc w:val="left"/>
              <w:rPr>
                <w:rFonts w:ascii="メイリオ" w:eastAsia="メイリオ" w:hAnsi="メイリオ" w:cs="メイリオ"/>
                <w:b/>
                <w:sz w:val="20"/>
                <w:szCs w:val="20"/>
              </w:rPr>
            </w:pPr>
            <w:r>
              <w:rPr>
                <w:rFonts w:ascii="メイリオ" w:eastAsia="メイリオ" w:hAnsi="メイリオ" w:cs="メイリオ" w:hint="eastAsia"/>
                <w:b/>
                <w:sz w:val="20"/>
                <w:szCs w:val="20"/>
              </w:rPr>
              <w:t>健康の関心</w:t>
            </w:r>
          </w:p>
          <w:p w:rsidR="00EA1248" w:rsidRPr="00A50150" w:rsidRDefault="00085371" w:rsidP="00085371">
            <w:pPr>
              <w:snapToGrid w:val="0"/>
              <w:spacing w:line="260" w:lineRule="exact"/>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b/>
                <w:sz w:val="20"/>
                <w:szCs w:val="20"/>
              </w:rPr>
              <w:t>（</w:t>
            </w:r>
            <w:r w:rsidR="00EA1248" w:rsidRPr="00A50150">
              <w:rPr>
                <w:rFonts w:ascii="メイリオ" w:eastAsia="メイリオ" w:hAnsi="メイリオ" w:cs="メイリオ" w:hint="eastAsia"/>
                <w:b/>
                <w:sz w:val="20"/>
                <w:szCs w:val="20"/>
              </w:rPr>
              <w:t>ヘルスリテラシー</w:t>
            </w:r>
            <w:r>
              <w:rPr>
                <w:rFonts w:ascii="メイリオ" w:eastAsia="メイリオ" w:hAnsi="メイリオ" w:cs="メイリオ" w:hint="eastAsia"/>
                <w:b/>
                <w:sz w:val="20"/>
                <w:szCs w:val="20"/>
              </w:rPr>
              <w:t>）</w:t>
            </w:r>
          </w:p>
        </w:tc>
        <w:tc>
          <w:tcPr>
            <w:tcW w:w="8269" w:type="dxa"/>
          </w:tcPr>
          <w:p w:rsidR="00EA1248" w:rsidRPr="00A50150" w:rsidRDefault="00EA1248" w:rsidP="00532423">
            <w:pPr>
              <w:snapToGrid w:val="0"/>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健康への関心度（11頁）」について。健康に関心がある層が9割もいるのは決して低い数値ではない。むしろ高い数値。ヘルスリテラシーでは、信用度の高い情報を入手・選択する能力を身につけることが重要。</w:t>
            </w:r>
          </w:p>
        </w:tc>
        <w:tc>
          <w:tcPr>
            <w:tcW w:w="5459" w:type="dxa"/>
            <w:vMerge w:val="restart"/>
          </w:tcPr>
          <w:p w:rsidR="00EA1248" w:rsidRPr="00A50150" w:rsidRDefault="00EA1248" w:rsidP="00B02EDF">
            <w:pPr>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●ヘルスリテラシーの向上を図るため、正しいニュースソースから情報収集することが重要である等のご意見を踏まえ、信頼性の高い</w:t>
            </w:r>
            <w:r w:rsidR="00B54ADB">
              <w:rPr>
                <w:rFonts w:ascii="メイリオ" w:eastAsia="メイリオ" w:hAnsi="メイリオ" w:cs="メイリオ" w:hint="eastAsia"/>
                <w:sz w:val="20"/>
                <w:szCs w:val="20"/>
              </w:rPr>
              <w:t>、適切な</w:t>
            </w:r>
            <w:r w:rsidRPr="00A50150">
              <w:rPr>
                <w:rFonts w:ascii="メイリオ" w:eastAsia="メイリオ" w:hAnsi="メイリオ" w:cs="メイリオ" w:hint="eastAsia"/>
                <w:sz w:val="20"/>
                <w:szCs w:val="20"/>
              </w:rPr>
              <w:t>情報の入手方法や行政による情報提供等について、加筆しています（</w:t>
            </w:r>
            <w:r w:rsidR="00E17B48">
              <w:rPr>
                <w:rFonts w:ascii="メイリオ" w:eastAsia="メイリオ" w:hAnsi="メイリオ" w:cs="メイリオ" w:hint="eastAsia"/>
                <w:sz w:val="20"/>
                <w:szCs w:val="20"/>
              </w:rPr>
              <w:t>13</w:t>
            </w:r>
            <w:r w:rsidRPr="00A50150">
              <w:rPr>
                <w:rFonts w:ascii="メイリオ" w:eastAsia="メイリオ" w:hAnsi="メイリオ" w:cs="メイリオ" w:hint="eastAsia"/>
                <w:sz w:val="20"/>
                <w:szCs w:val="20"/>
              </w:rPr>
              <w:t>頁）。</w:t>
            </w:r>
          </w:p>
          <w:p w:rsidR="00EA1248" w:rsidRPr="00A50150" w:rsidRDefault="00EA1248" w:rsidP="007C4B47">
            <w:pPr>
              <w:spacing w:line="260" w:lineRule="exact"/>
              <w:ind w:left="200" w:hangingChars="100" w:hanging="200"/>
              <w:rPr>
                <w:rFonts w:ascii="メイリオ" w:eastAsia="メイリオ" w:hAnsi="メイリオ" w:cs="メイリオ"/>
                <w:sz w:val="20"/>
                <w:szCs w:val="20"/>
              </w:rPr>
            </w:pPr>
          </w:p>
          <w:p w:rsidR="00EA1248" w:rsidRPr="00A50150" w:rsidRDefault="00EA1248" w:rsidP="007C4B47">
            <w:pPr>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487"/>
        </w:trPr>
        <w:tc>
          <w:tcPr>
            <w:tcW w:w="1559" w:type="dxa"/>
            <w:vMerge/>
          </w:tcPr>
          <w:p w:rsidR="00EA1248" w:rsidRPr="00A50150" w:rsidRDefault="00EA1248" w:rsidP="003A0D62">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●「入手した情報を上手に利用しているかどうか」を府民に質問してみてはどうか。海外では同様の項目を問う調査がある。</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1162"/>
        </w:trPr>
        <w:tc>
          <w:tcPr>
            <w:tcW w:w="1559" w:type="dxa"/>
            <w:vMerge/>
          </w:tcPr>
          <w:p w:rsidR="00EA1248" w:rsidRPr="00A50150" w:rsidRDefault="00EA1248" w:rsidP="003A0D62">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7C4B47">
            <w:pPr>
              <w:spacing w:line="260" w:lineRule="exact"/>
              <w:ind w:left="200" w:hangingChars="100" w:hanging="200"/>
              <w:rPr>
                <w:rFonts w:ascii="メイリオ" w:eastAsia="メイリオ" w:hAnsi="メイリオ" w:cs="メイリオ"/>
                <w:color w:val="FF0000"/>
                <w:sz w:val="20"/>
                <w:szCs w:val="20"/>
              </w:rPr>
            </w:pPr>
            <w:r w:rsidRPr="00A50150">
              <w:rPr>
                <w:rFonts w:ascii="メイリオ" w:eastAsia="メイリオ" w:hAnsi="メイリオ" w:cs="メイリオ" w:hint="eastAsia"/>
                <w:sz w:val="20"/>
                <w:szCs w:val="20"/>
              </w:rPr>
              <w:t>●ヘルスリテラシーでは、氾濫する情報の中で、一般的ではない情報を鵜吞みにせず、正しいニュースソースから情報を入手する能力を習得することが大事。この視点を本計画に盛り込んでほしい。ＴＶラジオから情報を得ている人が多いグラフがあるが、ＴＶラジオからの情報</w:t>
            </w:r>
            <w:r w:rsidRPr="00A50150">
              <w:rPr>
                <w:rFonts w:ascii="メイリオ" w:eastAsia="メイリオ" w:hAnsi="メイリオ" w:cs="メイリオ" w:hint="eastAsia"/>
                <w:color w:val="000000" w:themeColor="text1"/>
                <w:sz w:val="20"/>
                <w:szCs w:val="20"/>
              </w:rPr>
              <w:t>がすべて正しいと思われな</w:t>
            </w:r>
            <w:r w:rsidRPr="00A50150">
              <w:rPr>
                <w:rFonts w:ascii="メイリオ" w:eastAsia="メイリオ" w:hAnsi="メイリオ" w:cs="メイリオ" w:hint="eastAsia"/>
                <w:sz w:val="20"/>
                <w:szCs w:val="20"/>
              </w:rPr>
              <w:t>いようにしないといけない。</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620"/>
        </w:trPr>
        <w:tc>
          <w:tcPr>
            <w:tcW w:w="1559" w:type="dxa"/>
            <w:vMerge/>
          </w:tcPr>
          <w:p w:rsidR="00EA1248" w:rsidRPr="00A50150" w:rsidRDefault="00EA1248" w:rsidP="003A0D62">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7C4B47">
            <w:pPr>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●関心がある層へのヘルスリテラシーの向上も重要であるため、対象者を関心の有無に限定せず幅広く捉えるとともに、ニュースソースの重要性を明記するべき。</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904"/>
        </w:trPr>
        <w:tc>
          <w:tcPr>
            <w:tcW w:w="1559" w:type="dxa"/>
            <w:vMerge/>
          </w:tcPr>
          <w:p w:rsidR="00EA1248" w:rsidRPr="00A50150" w:rsidRDefault="00EA1248" w:rsidP="003A0D62">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7C4B47">
            <w:pPr>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第3次計画の具体的取組み（43頁～44頁）」に、健康情報を収集する際、信頼度の高い情報として、公的機関が出している情報（国立がんセンター等）の活用を促す記述を加筆するなど、少し掘り下げて明記してもいいと思う。</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694"/>
        </w:trPr>
        <w:tc>
          <w:tcPr>
            <w:tcW w:w="1559" w:type="dxa"/>
            <w:vMerge/>
          </w:tcPr>
          <w:p w:rsidR="00EA1248" w:rsidRPr="00A50150" w:rsidRDefault="00EA1248" w:rsidP="003A0D62">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022B29">
            <w:pPr>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●一方で、府民の情報発信源であるマスメディアを行政等が健康づくりの情報発信を行う上で、うまく活用してほしい。マスメディアを上手に活用し、発信することは行政の役割であると考える。</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904"/>
        </w:trPr>
        <w:tc>
          <w:tcPr>
            <w:tcW w:w="1559" w:type="dxa"/>
            <w:vMerge/>
          </w:tcPr>
          <w:p w:rsidR="00EA1248" w:rsidRPr="00A50150" w:rsidRDefault="00EA1248" w:rsidP="003A0D62">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7C4B47">
            <w:pPr>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マスメディアや民間企業等と協働して正しい情報を発信することが大事。先ほどの「正しいニュースソースから情報収集すること」と併せて、行政等が積極的に発信していく旨を「健康への関心度（11頁）」に加筆してほしい。</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r w:rsidR="00EA1248" w:rsidRPr="00A50150" w:rsidTr="003F1402">
        <w:trPr>
          <w:trHeight w:val="904"/>
        </w:trPr>
        <w:tc>
          <w:tcPr>
            <w:tcW w:w="1559" w:type="dxa"/>
            <w:vMerge/>
          </w:tcPr>
          <w:p w:rsidR="00EA1248" w:rsidRPr="00A50150" w:rsidRDefault="00EA1248" w:rsidP="00A50150">
            <w:pPr>
              <w:snapToGrid w:val="0"/>
              <w:spacing w:line="260" w:lineRule="exact"/>
              <w:ind w:left="200" w:hangingChars="100" w:hanging="200"/>
              <w:jc w:val="left"/>
              <w:rPr>
                <w:rFonts w:ascii="メイリオ" w:eastAsia="メイリオ" w:hAnsi="メイリオ" w:cs="メイリオ"/>
                <w:sz w:val="20"/>
                <w:szCs w:val="20"/>
              </w:rPr>
            </w:pPr>
          </w:p>
        </w:tc>
        <w:tc>
          <w:tcPr>
            <w:tcW w:w="8269" w:type="dxa"/>
          </w:tcPr>
          <w:p w:rsidR="00EA1248" w:rsidRPr="00A50150" w:rsidRDefault="00EA1248" w:rsidP="00EA1248">
            <w:pPr>
              <w:spacing w:line="260" w:lineRule="exact"/>
              <w:ind w:left="200" w:hangingChars="100" w:hanging="200"/>
              <w:rPr>
                <w:rFonts w:ascii="メイリオ" w:eastAsia="メイリオ" w:hAnsi="メイリオ" w:cs="メイリオ"/>
                <w:sz w:val="20"/>
                <w:szCs w:val="20"/>
              </w:rPr>
            </w:pPr>
            <w:r w:rsidRPr="00A50150">
              <w:rPr>
                <w:rFonts w:ascii="メイリオ" w:eastAsia="メイリオ" w:hAnsi="メイリオ" w:cs="メイリオ" w:hint="eastAsia"/>
                <w:sz w:val="20"/>
                <w:szCs w:val="20"/>
              </w:rPr>
              <w:t>●今年から「栄養の日」を設定。8月1日から7日まで「栄養週間」と位置づけ。これに伴い全国500か所でイベント等を開催している。こうした取組みを多様な主体の連携のもと、効果的に発信していくことが重要であると考えている。</w:t>
            </w:r>
          </w:p>
        </w:tc>
        <w:tc>
          <w:tcPr>
            <w:tcW w:w="5459" w:type="dxa"/>
            <w:vMerge/>
          </w:tcPr>
          <w:p w:rsidR="00EA1248" w:rsidRPr="00A50150" w:rsidRDefault="00EA1248" w:rsidP="007C4B47">
            <w:pPr>
              <w:snapToGrid w:val="0"/>
              <w:spacing w:line="260" w:lineRule="exact"/>
              <w:ind w:left="200" w:hangingChars="100" w:hanging="200"/>
              <w:rPr>
                <w:rFonts w:ascii="メイリオ" w:eastAsia="メイリオ" w:hAnsi="メイリオ" w:cs="メイリオ"/>
                <w:sz w:val="20"/>
                <w:szCs w:val="20"/>
              </w:rPr>
            </w:pPr>
          </w:p>
        </w:tc>
      </w:tr>
    </w:tbl>
    <w:p w:rsidR="00A50150" w:rsidRDefault="00A50150" w:rsidP="00D33581">
      <w:pPr>
        <w:spacing w:line="340" w:lineRule="exact"/>
        <w:rPr>
          <w:rFonts w:ascii="メイリオ" w:eastAsia="メイリオ" w:hAnsi="メイリオ" w:cs="メイリオ"/>
        </w:rPr>
      </w:pPr>
    </w:p>
    <w:tbl>
      <w:tblPr>
        <w:tblpPr w:leftFromText="142" w:rightFromText="142" w:vertAnchor="text" w:horzAnchor="margin" w:tblpY="73"/>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269"/>
        <w:gridCol w:w="5319"/>
      </w:tblGrid>
      <w:tr w:rsidR="00422769" w:rsidRPr="00C40472" w:rsidTr="00022B29">
        <w:trPr>
          <w:trHeight w:val="414"/>
        </w:trPr>
        <w:tc>
          <w:tcPr>
            <w:tcW w:w="1559" w:type="dxa"/>
            <w:shd w:val="pct12" w:color="auto" w:fill="auto"/>
          </w:tcPr>
          <w:p w:rsidR="00422769" w:rsidRPr="00C40472" w:rsidRDefault="00422769" w:rsidP="00677EAF">
            <w:pPr>
              <w:spacing w:line="260" w:lineRule="exact"/>
              <w:ind w:left="200" w:hangingChars="100" w:hanging="200"/>
              <w:rPr>
                <w:rFonts w:ascii="メイリオ" w:eastAsia="メイリオ" w:hAnsi="メイリオ" w:cs="メイリオ"/>
                <w:sz w:val="20"/>
                <w:szCs w:val="20"/>
              </w:rPr>
            </w:pPr>
          </w:p>
        </w:tc>
        <w:tc>
          <w:tcPr>
            <w:tcW w:w="8269" w:type="dxa"/>
            <w:shd w:val="pct12" w:color="auto" w:fill="auto"/>
            <w:vAlign w:val="center"/>
          </w:tcPr>
          <w:p w:rsidR="00422769" w:rsidRPr="00C40472" w:rsidRDefault="00022B29" w:rsidP="00677EAF">
            <w:pPr>
              <w:spacing w:line="260" w:lineRule="exact"/>
              <w:ind w:left="210" w:hangingChars="100" w:hanging="210"/>
              <w:jc w:val="center"/>
              <w:rPr>
                <w:rFonts w:ascii="メイリオ" w:eastAsia="メイリオ" w:hAnsi="メイリオ" w:cs="メイリオ"/>
                <w:sz w:val="20"/>
                <w:szCs w:val="20"/>
              </w:rPr>
            </w:pPr>
            <w:r>
              <w:rPr>
                <w:rFonts w:ascii="メイリオ" w:eastAsia="メイリオ" w:hAnsi="メイリオ" w:cs="メイリオ" w:hint="eastAsia"/>
              </w:rPr>
              <w:t>主な</w:t>
            </w:r>
            <w:r w:rsidR="00422769">
              <w:rPr>
                <w:rFonts w:ascii="メイリオ" w:eastAsia="メイリオ" w:hAnsi="メイリオ" w:cs="メイリオ" w:hint="eastAsia"/>
              </w:rPr>
              <w:t>意見</w:t>
            </w:r>
          </w:p>
        </w:tc>
        <w:tc>
          <w:tcPr>
            <w:tcW w:w="5319" w:type="dxa"/>
            <w:shd w:val="pct12" w:color="auto" w:fill="auto"/>
            <w:vAlign w:val="center"/>
          </w:tcPr>
          <w:p w:rsidR="00422769" w:rsidRPr="00C40472" w:rsidRDefault="00422769" w:rsidP="00677EAF">
            <w:pPr>
              <w:widowControl/>
              <w:spacing w:line="260" w:lineRule="exact"/>
              <w:jc w:val="center"/>
              <w:rPr>
                <w:rFonts w:ascii="メイリオ" w:eastAsia="メイリオ" w:hAnsi="メイリオ" w:cs="メイリオ"/>
                <w:sz w:val="20"/>
                <w:szCs w:val="20"/>
              </w:rPr>
            </w:pPr>
            <w:r>
              <w:rPr>
                <w:rFonts w:ascii="メイリオ" w:eastAsia="メイリオ" w:hAnsi="メイリオ" w:cs="メイリオ" w:hint="eastAsia"/>
              </w:rPr>
              <w:t>対応</w:t>
            </w:r>
          </w:p>
        </w:tc>
      </w:tr>
      <w:tr w:rsidR="00EA1248" w:rsidRPr="00C40472" w:rsidTr="00242D36">
        <w:trPr>
          <w:trHeight w:val="364"/>
        </w:trPr>
        <w:tc>
          <w:tcPr>
            <w:tcW w:w="1559" w:type="dxa"/>
            <w:vMerge w:val="restart"/>
          </w:tcPr>
          <w:p w:rsidR="00EA1248" w:rsidRPr="00C40472" w:rsidRDefault="00EA1248" w:rsidP="00677EAF">
            <w:pPr>
              <w:spacing w:line="260" w:lineRule="exact"/>
              <w:ind w:left="200" w:hangingChars="100" w:hanging="200"/>
              <w:jc w:val="left"/>
              <w:rPr>
                <w:rFonts w:ascii="メイリオ" w:eastAsia="メイリオ" w:hAnsi="メイリオ" w:cs="メイリオ"/>
                <w:sz w:val="20"/>
                <w:szCs w:val="20"/>
              </w:rPr>
            </w:pPr>
            <w:r w:rsidRPr="00677EAF">
              <w:rPr>
                <w:rFonts w:ascii="メイリオ" w:eastAsia="メイリオ" w:hAnsi="メイリオ" w:cs="メイリオ" w:hint="eastAsia"/>
                <w:b/>
                <w:sz w:val="20"/>
                <w:szCs w:val="20"/>
              </w:rPr>
              <w:t>健康行動</w:t>
            </w:r>
          </w:p>
          <w:p w:rsidR="00EA1248" w:rsidRPr="00C40472" w:rsidRDefault="00EA1248" w:rsidP="001634CD">
            <w:pPr>
              <w:spacing w:line="260" w:lineRule="exact"/>
              <w:ind w:left="200" w:hangingChars="100" w:hanging="200"/>
              <w:rPr>
                <w:rFonts w:ascii="メイリオ" w:eastAsia="メイリオ" w:hAnsi="メイリオ" w:cs="メイリオ"/>
                <w:sz w:val="20"/>
                <w:szCs w:val="20"/>
              </w:rPr>
            </w:pPr>
          </w:p>
        </w:tc>
        <w:tc>
          <w:tcPr>
            <w:tcW w:w="8269" w:type="dxa"/>
          </w:tcPr>
          <w:p w:rsidR="00EA1248" w:rsidRPr="00C40472" w:rsidRDefault="00EA1248" w:rsidP="00004C56">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●「朝食欠食率と肥満」について、関連性を調べてほしい。</w:t>
            </w:r>
          </w:p>
        </w:tc>
        <w:tc>
          <w:tcPr>
            <w:tcW w:w="5319" w:type="dxa"/>
            <w:vMerge w:val="restart"/>
          </w:tcPr>
          <w:p w:rsidR="00EA1248" w:rsidRDefault="00EA1248" w:rsidP="00022B29">
            <w:pPr>
              <w:spacing w:line="260" w:lineRule="exact"/>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●朝食欠食状況とBMIの関係をみると、若い世代 (18～</w:t>
            </w:r>
          </w:p>
          <w:p w:rsidR="00EA1248" w:rsidRDefault="00EA1248" w:rsidP="00B02EDF">
            <w:pPr>
              <w:spacing w:line="260" w:lineRule="exact"/>
              <w:ind w:leftChars="100" w:left="210"/>
              <w:jc w:val="left"/>
              <w:rPr>
                <w:rFonts w:ascii="メイリオ" w:eastAsia="メイリオ" w:hAnsi="メイリオ" w:cs="メイリオ"/>
                <w:sz w:val="20"/>
                <w:szCs w:val="20"/>
              </w:rPr>
            </w:pPr>
            <w:r>
              <w:rPr>
                <w:rFonts w:ascii="メイリオ" w:eastAsia="メイリオ" w:hAnsi="メイリオ" w:cs="メイリオ" w:hint="eastAsia"/>
                <w:sz w:val="20"/>
                <w:szCs w:val="20"/>
              </w:rPr>
              <w:t>39歳)では、BMIの高い人ほど朝食欠食している人が多い傾向がみられましたが、40歳以上では、その傾向はみられませんでした。</w:t>
            </w:r>
          </w:p>
          <w:p w:rsidR="00EA1248" w:rsidRDefault="00EA1248" w:rsidP="007C4B47">
            <w:pPr>
              <w:spacing w:line="260" w:lineRule="exact"/>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●睡眠時間と朝食欠食状況をみると、睡眠時間が長い人ほ</w:t>
            </w:r>
          </w:p>
          <w:p w:rsidR="00EA1248" w:rsidRDefault="00EA1248" w:rsidP="00B02EDF">
            <w:pPr>
              <w:spacing w:line="260" w:lineRule="exact"/>
              <w:ind w:leftChars="100" w:left="210"/>
              <w:jc w:val="left"/>
              <w:rPr>
                <w:rFonts w:ascii="メイリオ" w:eastAsia="メイリオ" w:hAnsi="メイリオ" w:cs="メイリオ"/>
                <w:sz w:val="20"/>
                <w:szCs w:val="20"/>
              </w:rPr>
            </w:pPr>
            <w:r>
              <w:rPr>
                <w:rFonts w:ascii="メイリオ" w:eastAsia="メイリオ" w:hAnsi="メイリオ" w:cs="メイリオ" w:hint="eastAsia"/>
                <w:sz w:val="20"/>
                <w:szCs w:val="20"/>
              </w:rPr>
              <w:t>ど朝食欠食している人が多い傾向がみられました。</w:t>
            </w:r>
          </w:p>
          <w:p w:rsidR="00EA1248" w:rsidRPr="00C378CF" w:rsidRDefault="00EA1248" w:rsidP="00C378CF">
            <w:pPr>
              <w:spacing w:line="260" w:lineRule="exact"/>
              <w:ind w:left="200" w:hangingChars="100" w:hanging="200"/>
              <w:jc w:val="left"/>
              <w:rPr>
                <w:rFonts w:ascii="メイリオ" w:eastAsia="メイリオ" w:hAnsi="メイリオ" w:cs="メイリオ"/>
                <w:sz w:val="20"/>
                <w:szCs w:val="20"/>
              </w:rPr>
            </w:pPr>
          </w:p>
        </w:tc>
      </w:tr>
      <w:tr w:rsidR="00EA1248" w:rsidRPr="00C40472" w:rsidTr="00242D36">
        <w:trPr>
          <w:trHeight w:val="542"/>
        </w:trPr>
        <w:tc>
          <w:tcPr>
            <w:tcW w:w="1559" w:type="dxa"/>
            <w:vMerge/>
          </w:tcPr>
          <w:p w:rsidR="00EA1248" w:rsidRPr="00C40472" w:rsidRDefault="00EA1248" w:rsidP="00677EAF">
            <w:pPr>
              <w:spacing w:line="260" w:lineRule="exact"/>
              <w:ind w:left="200" w:hangingChars="100" w:hanging="200"/>
              <w:rPr>
                <w:rFonts w:ascii="メイリオ" w:eastAsia="メイリオ" w:hAnsi="メイリオ" w:cs="メイリオ"/>
                <w:sz w:val="20"/>
                <w:szCs w:val="20"/>
              </w:rPr>
            </w:pPr>
          </w:p>
        </w:tc>
        <w:tc>
          <w:tcPr>
            <w:tcW w:w="8269" w:type="dxa"/>
          </w:tcPr>
          <w:p w:rsidR="00EA1248" w:rsidRPr="00C40472" w:rsidRDefault="00EA1248" w:rsidP="00677EAF">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●「睡眠時間と朝食欠食率」の関連も調べてほしい。夜更かしと朝食欠食の関係性がわかるかもしれない。</w:t>
            </w:r>
          </w:p>
        </w:tc>
        <w:tc>
          <w:tcPr>
            <w:tcW w:w="5319" w:type="dxa"/>
            <w:vMerge/>
          </w:tcPr>
          <w:p w:rsidR="00EA1248" w:rsidRPr="00C40472" w:rsidRDefault="00EA1248" w:rsidP="00677EAF">
            <w:pPr>
              <w:spacing w:line="260" w:lineRule="exact"/>
              <w:ind w:left="200" w:hangingChars="100" w:hanging="200"/>
              <w:rPr>
                <w:rFonts w:ascii="メイリオ" w:eastAsia="メイリオ" w:hAnsi="メイリオ" w:cs="メイリオ"/>
                <w:sz w:val="20"/>
                <w:szCs w:val="20"/>
              </w:rPr>
            </w:pPr>
          </w:p>
        </w:tc>
      </w:tr>
    </w:tbl>
    <w:p w:rsidR="003003DF" w:rsidRDefault="003003DF" w:rsidP="002E4200">
      <w:pPr>
        <w:spacing w:line="260" w:lineRule="exact"/>
        <w:rPr>
          <w:rFonts w:ascii="メイリオ" w:eastAsia="メイリオ" w:hAnsi="メイリオ" w:cs="メイリオ"/>
          <w:b/>
          <w:sz w:val="20"/>
          <w:szCs w:val="20"/>
        </w:rPr>
      </w:pPr>
    </w:p>
    <w:p w:rsidR="009520B9" w:rsidRPr="0080289B" w:rsidRDefault="002E4200" w:rsidP="002E4200">
      <w:pPr>
        <w:spacing w:line="260" w:lineRule="exact"/>
        <w:rPr>
          <w:rFonts w:ascii="メイリオ" w:eastAsia="メイリオ" w:hAnsi="メイリオ" w:cs="メイリオ"/>
          <w:szCs w:val="21"/>
        </w:rPr>
      </w:pPr>
      <w:r w:rsidRPr="0080289B">
        <w:rPr>
          <w:rFonts w:ascii="メイリオ" w:eastAsia="メイリオ" w:hAnsi="メイリオ" w:cs="メイリオ" w:hint="eastAsia"/>
          <w:b/>
          <w:szCs w:val="21"/>
        </w:rPr>
        <w:t>《❷3次計画における具体的取組みについて（第5章関連）》</w:t>
      </w:r>
    </w:p>
    <w:tbl>
      <w:tblPr>
        <w:tblpPr w:leftFromText="142" w:rightFromText="142" w:vertAnchor="text" w:horzAnchor="margin" w:tblpY="116"/>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283"/>
        <w:gridCol w:w="5319"/>
      </w:tblGrid>
      <w:tr w:rsidR="00422769" w:rsidRPr="00C40472" w:rsidTr="003967C1">
        <w:trPr>
          <w:trHeight w:val="446"/>
        </w:trPr>
        <w:tc>
          <w:tcPr>
            <w:tcW w:w="1559" w:type="dxa"/>
            <w:shd w:val="pct12" w:color="auto" w:fill="auto"/>
          </w:tcPr>
          <w:p w:rsidR="00422769" w:rsidRPr="00C40472" w:rsidRDefault="00422769" w:rsidP="003967C1">
            <w:pPr>
              <w:spacing w:line="260" w:lineRule="exact"/>
              <w:ind w:left="200" w:hangingChars="100" w:hanging="200"/>
              <w:rPr>
                <w:rFonts w:ascii="メイリオ" w:eastAsia="メイリオ" w:hAnsi="メイリオ" w:cs="メイリオ"/>
                <w:b/>
                <w:sz w:val="20"/>
                <w:szCs w:val="20"/>
              </w:rPr>
            </w:pPr>
          </w:p>
        </w:tc>
        <w:tc>
          <w:tcPr>
            <w:tcW w:w="8283" w:type="dxa"/>
            <w:shd w:val="pct12" w:color="auto" w:fill="auto"/>
            <w:vAlign w:val="center"/>
          </w:tcPr>
          <w:p w:rsidR="00422769" w:rsidRPr="00C40472" w:rsidRDefault="00022B29" w:rsidP="003967C1">
            <w:pPr>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主な</w:t>
            </w:r>
            <w:r w:rsidR="00422769" w:rsidRPr="00F9440D">
              <w:rPr>
                <w:rFonts w:ascii="メイリオ" w:eastAsia="メイリオ" w:hAnsi="メイリオ" w:cs="メイリオ" w:hint="eastAsia"/>
                <w:sz w:val="20"/>
                <w:szCs w:val="20"/>
              </w:rPr>
              <w:t>意見</w:t>
            </w:r>
          </w:p>
        </w:tc>
        <w:tc>
          <w:tcPr>
            <w:tcW w:w="5319" w:type="dxa"/>
            <w:shd w:val="pct12" w:color="auto" w:fill="auto"/>
            <w:vAlign w:val="center"/>
          </w:tcPr>
          <w:p w:rsidR="00422769" w:rsidRPr="00C40472" w:rsidRDefault="00422769" w:rsidP="003967C1">
            <w:pPr>
              <w:widowControl/>
              <w:spacing w:line="260" w:lineRule="exact"/>
              <w:jc w:val="center"/>
              <w:rPr>
                <w:rFonts w:ascii="メイリオ" w:eastAsia="メイリオ" w:hAnsi="メイリオ" w:cs="メイリオ"/>
                <w:sz w:val="20"/>
                <w:szCs w:val="20"/>
              </w:rPr>
            </w:pPr>
            <w:r w:rsidRPr="00F9440D">
              <w:rPr>
                <w:rFonts w:ascii="メイリオ" w:eastAsia="メイリオ" w:hAnsi="メイリオ" w:cs="メイリオ" w:hint="eastAsia"/>
                <w:sz w:val="20"/>
                <w:szCs w:val="20"/>
              </w:rPr>
              <w:t>対応</w:t>
            </w:r>
          </w:p>
        </w:tc>
      </w:tr>
      <w:tr w:rsidR="003967C1" w:rsidRPr="00C40472" w:rsidTr="003967C1">
        <w:trPr>
          <w:trHeight w:val="751"/>
        </w:trPr>
        <w:tc>
          <w:tcPr>
            <w:tcW w:w="1559" w:type="dxa"/>
          </w:tcPr>
          <w:p w:rsidR="003967C1" w:rsidRDefault="003967C1" w:rsidP="003967C1">
            <w:pPr>
              <w:spacing w:line="260" w:lineRule="exact"/>
              <w:ind w:left="200" w:hangingChars="100" w:hanging="200"/>
              <w:rPr>
                <w:rFonts w:ascii="メイリオ" w:eastAsia="メイリオ" w:hAnsi="メイリオ" w:cs="メイリオ"/>
                <w:b/>
                <w:sz w:val="20"/>
                <w:szCs w:val="20"/>
              </w:rPr>
            </w:pPr>
            <w:r>
              <w:rPr>
                <w:rFonts w:ascii="メイリオ" w:eastAsia="メイリオ" w:hAnsi="メイリオ" w:cs="メイリオ" w:hint="eastAsia"/>
                <w:b/>
                <w:sz w:val="20"/>
                <w:szCs w:val="20"/>
              </w:rPr>
              <w:t>ヘルスリテラ</w:t>
            </w:r>
          </w:p>
          <w:p w:rsidR="003967C1" w:rsidRDefault="003967C1" w:rsidP="003967C1">
            <w:pPr>
              <w:spacing w:line="260" w:lineRule="exact"/>
              <w:ind w:left="200" w:hangingChars="100" w:hanging="200"/>
              <w:rPr>
                <w:rFonts w:ascii="メイリオ" w:eastAsia="メイリオ" w:hAnsi="メイリオ" w:cs="メイリオ"/>
                <w:b/>
                <w:sz w:val="20"/>
                <w:szCs w:val="20"/>
              </w:rPr>
            </w:pPr>
            <w:r>
              <w:rPr>
                <w:rFonts w:ascii="メイリオ" w:eastAsia="メイリオ" w:hAnsi="メイリオ" w:cs="メイリオ" w:hint="eastAsia"/>
                <w:b/>
                <w:sz w:val="20"/>
                <w:szCs w:val="20"/>
              </w:rPr>
              <w:t>シー</w:t>
            </w:r>
          </w:p>
        </w:tc>
        <w:tc>
          <w:tcPr>
            <w:tcW w:w="8283" w:type="dxa"/>
          </w:tcPr>
          <w:p w:rsidR="003967C1" w:rsidRPr="00C40472" w:rsidRDefault="003967C1"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今年度、府とともに、中小企業の健康を業種に応じてサポートする取組みを実施。中小企業は健康経営に関するノウハウを持っているところが少ない（38頁）ため、医師・歯科医師・保健師・栄養士等でチームを組み、助言・サポートを実施している。「(1)ヘルスリテラシー」に健康経営の視点が含まれている点は良い。</w:t>
            </w:r>
          </w:p>
        </w:tc>
        <w:tc>
          <w:tcPr>
            <w:tcW w:w="5319" w:type="dxa"/>
          </w:tcPr>
          <w:p w:rsidR="003967C1" w:rsidRDefault="003967C1" w:rsidP="003967C1">
            <w:pPr>
              <w:widowControl/>
              <w:spacing w:line="26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●具体的な取組みを推進するうえで参考とさせていただ</w:t>
            </w:r>
          </w:p>
          <w:p w:rsidR="003967C1" w:rsidRDefault="003967C1" w:rsidP="003967C1">
            <w:pPr>
              <w:widowControl/>
              <w:spacing w:line="260" w:lineRule="exact"/>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きます。</w:t>
            </w:r>
          </w:p>
        </w:tc>
      </w:tr>
      <w:tr w:rsidR="00EA1248" w:rsidRPr="00C40472" w:rsidTr="003967C1">
        <w:trPr>
          <w:trHeight w:val="751"/>
        </w:trPr>
        <w:tc>
          <w:tcPr>
            <w:tcW w:w="1559" w:type="dxa"/>
            <w:vMerge w:val="restart"/>
          </w:tcPr>
          <w:p w:rsidR="00EA1248" w:rsidRPr="003B692A" w:rsidRDefault="00EA1248" w:rsidP="003967C1">
            <w:pPr>
              <w:spacing w:line="260" w:lineRule="exact"/>
              <w:ind w:left="200" w:hangingChars="100" w:hanging="200"/>
              <w:rPr>
                <w:rFonts w:ascii="メイリオ" w:eastAsia="メイリオ" w:hAnsi="メイリオ" w:cs="メイリオ"/>
                <w:b/>
                <w:sz w:val="20"/>
                <w:szCs w:val="20"/>
              </w:rPr>
            </w:pPr>
            <w:r>
              <w:rPr>
                <w:rFonts w:ascii="メイリオ" w:eastAsia="メイリオ" w:hAnsi="メイリオ" w:cs="メイリオ" w:hint="eastAsia"/>
                <w:b/>
                <w:sz w:val="20"/>
                <w:szCs w:val="20"/>
              </w:rPr>
              <w:t>栄養</w:t>
            </w:r>
          </w:p>
          <w:p w:rsidR="00EA1248" w:rsidRDefault="00EA1248" w:rsidP="003967C1">
            <w:pPr>
              <w:spacing w:line="260" w:lineRule="exact"/>
              <w:ind w:left="200" w:hangingChars="100" w:hanging="200"/>
              <w:jc w:val="left"/>
              <w:rPr>
                <w:rFonts w:ascii="メイリオ" w:eastAsia="メイリオ" w:hAnsi="メイリオ" w:cs="メイリオ"/>
                <w:sz w:val="20"/>
                <w:szCs w:val="20"/>
              </w:rPr>
            </w:pPr>
          </w:p>
          <w:p w:rsidR="00EA1248" w:rsidRDefault="00EA1248" w:rsidP="003967C1">
            <w:pPr>
              <w:spacing w:line="260" w:lineRule="exact"/>
              <w:ind w:left="200" w:hangingChars="100" w:hanging="200"/>
              <w:jc w:val="left"/>
              <w:rPr>
                <w:rFonts w:ascii="メイリオ" w:eastAsia="メイリオ" w:hAnsi="メイリオ" w:cs="メイリオ"/>
                <w:sz w:val="20"/>
                <w:szCs w:val="20"/>
              </w:rPr>
            </w:pPr>
          </w:p>
          <w:p w:rsidR="00EA1248" w:rsidRPr="003B692A" w:rsidRDefault="00EA1248" w:rsidP="003967C1">
            <w:pPr>
              <w:spacing w:line="260" w:lineRule="exact"/>
              <w:jc w:val="left"/>
              <w:rPr>
                <w:rFonts w:ascii="メイリオ" w:eastAsia="メイリオ" w:hAnsi="メイリオ" w:cs="メイリオ"/>
                <w:sz w:val="20"/>
                <w:szCs w:val="20"/>
              </w:rPr>
            </w:pPr>
          </w:p>
        </w:tc>
        <w:tc>
          <w:tcPr>
            <w:tcW w:w="8283" w:type="dxa"/>
          </w:tcPr>
          <w:p w:rsidR="00EA1248"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●「(2)栄養・食生活（45頁～46頁）」について。朝食欠食に関して、ライフステージごと(若者や単身者)に違いがある。朝食欠食率の改善を図る「具体的取組み」を本計画に盛り込むべき。</w:t>
            </w:r>
          </w:p>
        </w:tc>
        <w:tc>
          <w:tcPr>
            <w:tcW w:w="5319" w:type="dxa"/>
          </w:tcPr>
          <w:p w:rsidR="00EA1248" w:rsidRPr="00C40472" w:rsidRDefault="00EA1248" w:rsidP="003967C1">
            <w:pPr>
              <w:widowControl/>
              <w:spacing w:line="26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●ご意見を踏まえ、加筆しています（49頁）。</w:t>
            </w:r>
          </w:p>
          <w:p w:rsidR="00EA1248" w:rsidRPr="003967C1" w:rsidRDefault="00EA1248" w:rsidP="003967C1">
            <w:pPr>
              <w:spacing w:line="260" w:lineRule="exact"/>
              <w:rPr>
                <w:rFonts w:ascii="メイリオ" w:eastAsia="メイリオ" w:hAnsi="メイリオ" w:cs="メイリオ"/>
                <w:sz w:val="20"/>
                <w:szCs w:val="20"/>
              </w:rPr>
            </w:pPr>
          </w:p>
        </w:tc>
      </w:tr>
      <w:tr w:rsidR="00EA1248" w:rsidRPr="00C40472" w:rsidTr="003967C1">
        <w:trPr>
          <w:trHeight w:val="452"/>
        </w:trPr>
        <w:tc>
          <w:tcPr>
            <w:tcW w:w="1559" w:type="dxa"/>
            <w:vMerge/>
            <w:tcBorders>
              <w:bottom w:val="single" w:sz="8" w:space="0" w:color="auto"/>
            </w:tcBorders>
          </w:tcPr>
          <w:p w:rsidR="00EA1248" w:rsidRPr="003B692A" w:rsidRDefault="00EA1248" w:rsidP="003967C1">
            <w:pPr>
              <w:spacing w:line="260" w:lineRule="exact"/>
              <w:ind w:left="200" w:hangingChars="100" w:hanging="200"/>
              <w:jc w:val="left"/>
              <w:rPr>
                <w:rFonts w:ascii="メイリオ" w:eastAsia="メイリオ" w:hAnsi="メイリオ" w:cs="メイリオ"/>
                <w:sz w:val="20"/>
                <w:szCs w:val="20"/>
              </w:rPr>
            </w:pPr>
          </w:p>
        </w:tc>
        <w:tc>
          <w:tcPr>
            <w:tcW w:w="8283" w:type="dxa"/>
          </w:tcPr>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●朝食欠食率に関しては、生活パターンの問題もある。夕食をとる時間も遅く夜更かしをする等、生活リズムが食生活等にも影響を与えていると思われ、その点の改善も重要。</w:t>
            </w:r>
          </w:p>
        </w:tc>
        <w:tc>
          <w:tcPr>
            <w:tcW w:w="5319" w:type="dxa"/>
          </w:tcPr>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●具体的な取組みを推進するうえで参考とさせていただきます。</w:t>
            </w:r>
          </w:p>
        </w:tc>
      </w:tr>
      <w:tr w:rsidR="003967C1" w:rsidRPr="00C40472" w:rsidTr="003967C1">
        <w:trPr>
          <w:trHeight w:val="561"/>
        </w:trPr>
        <w:tc>
          <w:tcPr>
            <w:tcW w:w="1559" w:type="dxa"/>
          </w:tcPr>
          <w:p w:rsidR="003967C1" w:rsidRPr="003967C1" w:rsidRDefault="003967C1" w:rsidP="003967C1">
            <w:pPr>
              <w:spacing w:line="260" w:lineRule="exact"/>
              <w:ind w:left="200" w:hangingChars="100" w:hanging="200"/>
              <w:jc w:val="left"/>
              <w:rPr>
                <w:rFonts w:ascii="メイリオ" w:eastAsia="メイリオ" w:hAnsi="メイリオ" w:cs="メイリオ"/>
                <w:b/>
                <w:sz w:val="20"/>
                <w:szCs w:val="20"/>
              </w:rPr>
            </w:pPr>
            <w:r w:rsidRPr="003967C1">
              <w:rPr>
                <w:rFonts w:ascii="メイリオ" w:eastAsia="メイリオ" w:hAnsi="メイリオ" w:cs="メイリオ" w:hint="eastAsia"/>
                <w:b/>
                <w:sz w:val="20"/>
                <w:szCs w:val="20"/>
              </w:rPr>
              <w:t>休養・睡眠</w:t>
            </w:r>
          </w:p>
        </w:tc>
        <w:tc>
          <w:tcPr>
            <w:tcW w:w="8283" w:type="dxa"/>
            <w:tcBorders>
              <w:bottom w:val="single" w:sz="8" w:space="0" w:color="auto"/>
            </w:tcBorders>
          </w:tcPr>
          <w:p w:rsidR="003967C1" w:rsidRPr="00C40472" w:rsidRDefault="003967C1"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●夜更かし等は生活リズムと直結することから、「(4)休養・睡眠（48頁）」の中で、職域パーツにおいても記載してはどうか。</w:t>
            </w:r>
          </w:p>
        </w:tc>
        <w:tc>
          <w:tcPr>
            <w:tcW w:w="5319" w:type="dxa"/>
          </w:tcPr>
          <w:p w:rsidR="003967C1" w:rsidRPr="00C40472" w:rsidRDefault="003967C1" w:rsidP="003967C1">
            <w:pPr>
              <w:spacing w:line="26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●ご意見を踏まえ、「休養・睡眠」の中で、「生活リズム」について加筆しています（52頁）。</w:t>
            </w:r>
          </w:p>
        </w:tc>
      </w:tr>
      <w:tr w:rsidR="00EA1248" w:rsidRPr="00C40472" w:rsidTr="003967C1">
        <w:trPr>
          <w:trHeight w:val="443"/>
        </w:trPr>
        <w:tc>
          <w:tcPr>
            <w:tcW w:w="1559" w:type="dxa"/>
            <w:tcBorders>
              <w:bottom w:val="single" w:sz="8" w:space="0" w:color="auto"/>
            </w:tcBorders>
          </w:tcPr>
          <w:p w:rsidR="00EA1248" w:rsidRPr="003B692A" w:rsidRDefault="003967C1" w:rsidP="003967C1">
            <w:pPr>
              <w:spacing w:line="260" w:lineRule="exact"/>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b/>
                <w:sz w:val="20"/>
                <w:szCs w:val="20"/>
              </w:rPr>
              <w:t>喫煙</w:t>
            </w:r>
          </w:p>
        </w:tc>
        <w:tc>
          <w:tcPr>
            <w:tcW w:w="8283" w:type="dxa"/>
            <w:tcBorders>
              <w:top w:val="single" w:sz="8" w:space="0" w:color="auto"/>
            </w:tcBorders>
          </w:tcPr>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●「(6)喫煙（50頁）」について。「受動喫煙のない環境整備」の中で、官公庁・公共施設の敷地内を「原則、禁煙とする」と明記しているが、「原則」を削除し、例外をなくし、全面禁煙とするべき。</w:t>
            </w:r>
          </w:p>
        </w:tc>
        <w:tc>
          <w:tcPr>
            <w:tcW w:w="5319" w:type="dxa"/>
          </w:tcPr>
          <w:p w:rsidR="00EA1248" w:rsidRPr="00C40472" w:rsidRDefault="00EA1248" w:rsidP="003967C1">
            <w:pPr>
              <w:widowControl/>
              <w:spacing w:line="26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●がん対策推進計画と整合性を図り、記載しています。</w:t>
            </w:r>
          </w:p>
        </w:tc>
      </w:tr>
      <w:tr w:rsidR="00EA1248" w:rsidRPr="00C40472" w:rsidTr="003967C1">
        <w:trPr>
          <w:trHeight w:val="2113"/>
        </w:trPr>
        <w:tc>
          <w:tcPr>
            <w:tcW w:w="1559" w:type="dxa"/>
            <w:tcBorders>
              <w:top w:val="single" w:sz="8" w:space="0" w:color="auto"/>
              <w:bottom w:val="single" w:sz="4" w:space="0" w:color="auto"/>
            </w:tcBorders>
          </w:tcPr>
          <w:p w:rsidR="00EA1248" w:rsidRPr="00563009" w:rsidRDefault="00EA1248" w:rsidP="003967C1">
            <w:pPr>
              <w:spacing w:line="260" w:lineRule="exact"/>
              <w:ind w:left="200" w:hangingChars="100" w:hanging="200"/>
              <w:rPr>
                <w:rFonts w:ascii="メイリオ" w:eastAsia="メイリオ" w:hAnsi="メイリオ" w:cs="メイリオ"/>
                <w:b/>
                <w:sz w:val="20"/>
                <w:szCs w:val="20"/>
              </w:rPr>
            </w:pPr>
            <w:r>
              <w:rPr>
                <w:rFonts w:ascii="メイリオ" w:eastAsia="メイリオ" w:hAnsi="メイリオ" w:cs="メイリオ" w:hint="eastAsia"/>
                <w:b/>
                <w:sz w:val="20"/>
                <w:szCs w:val="20"/>
              </w:rPr>
              <w:lastRenderedPageBreak/>
              <w:t>歯</w:t>
            </w:r>
            <w:r w:rsidR="003967C1">
              <w:rPr>
                <w:rFonts w:ascii="メイリオ" w:eastAsia="メイリオ" w:hAnsi="メイリオ" w:cs="メイリオ" w:hint="eastAsia"/>
                <w:b/>
                <w:sz w:val="20"/>
                <w:szCs w:val="20"/>
              </w:rPr>
              <w:t>と口の健康</w:t>
            </w:r>
          </w:p>
          <w:p w:rsidR="00EA1248" w:rsidRDefault="00EA1248" w:rsidP="003967C1">
            <w:pPr>
              <w:spacing w:line="260" w:lineRule="exact"/>
              <w:ind w:left="200" w:hangingChars="100" w:hanging="200"/>
              <w:rPr>
                <w:rFonts w:ascii="メイリオ" w:eastAsia="メイリオ" w:hAnsi="メイリオ" w:cs="メイリオ"/>
                <w:b/>
                <w:sz w:val="20"/>
                <w:szCs w:val="20"/>
              </w:rPr>
            </w:pPr>
          </w:p>
          <w:p w:rsidR="00EA1248" w:rsidRDefault="00EA1248" w:rsidP="003967C1">
            <w:pPr>
              <w:spacing w:line="260" w:lineRule="exact"/>
              <w:ind w:left="200" w:hangingChars="100" w:hanging="200"/>
              <w:rPr>
                <w:rFonts w:ascii="メイリオ" w:eastAsia="メイリオ" w:hAnsi="メイリオ" w:cs="メイリオ"/>
                <w:b/>
                <w:sz w:val="20"/>
                <w:szCs w:val="20"/>
              </w:rPr>
            </w:pPr>
          </w:p>
          <w:p w:rsidR="00EA1248" w:rsidRDefault="00EA1248" w:rsidP="003967C1">
            <w:pPr>
              <w:spacing w:line="260" w:lineRule="exact"/>
              <w:ind w:left="200" w:hangingChars="100" w:hanging="200"/>
              <w:rPr>
                <w:rFonts w:ascii="メイリオ" w:eastAsia="メイリオ" w:hAnsi="メイリオ" w:cs="メイリオ"/>
                <w:b/>
                <w:sz w:val="20"/>
                <w:szCs w:val="20"/>
              </w:rPr>
            </w:pPr>
          </w:p>
          <w:p w:rsidR="00EA1248" w:rsidRDefault="00EA1248" w:rsidP="003967C1">
            <w:pPr>
              <w:spacing w:line="260" w:lineRule="exact"/>
              <w:ind w:left="200" w:hangingChars="100" w:hanging="200"/>
              <w:rPr>
                <w:rFonts w:ascii="メイリオ" w:eastAsia="メイリオ" w:hAnsi="メイリオ" w:cs="メイリオ"/>
                <w:b/>
                <w:sz w:val="20"/>
                <w:szCs w:val="20"/>
              </w:rPr>
            </w:pPr>
          </w:p>
          <w:p w:rsidR="00EA1248" w:rsidRDefault="00EA1248" w:rsidP="003967C1">
            <w:pPr>
              <w:spacing w:line="260" w:lineRule="exact"/>
              <w:ind w:left="200" w:hangingChars="100" w:hanging="200"/>
              <w:rPr>
                <w:rFonts w:ascii="メイリオ" w:eastAsia="メイリオ" w:hAnsi="メイリオ" w:cs="メイリオ"/>
                <w:b/>
                <w:sz w:val="20"/>
                <w:szCs w:val="20"/>
              </w:rPr>
            </w:pPr>
          </w:p>
          <w:p w:rsidR="00EA1248" w:rsidRDefault="00EA1248" w:rsidP="003967C1">
            <w:pPr>
              <w:spacing w:line="260" w:lineRule="exact"/>
              <w:ind w:left="200" w:hangingChars="100" w:hanging="200"/>
              <w:jc w:val="left"/>
              <w:rPr>
                <w:rFonts w:ascii="メイリオ" w:eastAsia="メイリオ" w:hAnsi="メイリオ" w:cs="メイリオ"/>
                <w:sz w:val="20"/>
                <w:szCs w:val="20"/>
              </w:rPr>
            </w:pPr>
          </w:p>
          <w:p w:rsidR="00EA1248" w:rsidRDefault="00EA1248" w:rsidP="003967C1">
            <w:pPr>
              <w:spacing w:line="260" w:lineRule="exact"/>
              <w:ind w:left="200" w:hangingChars="100" w:hanging="200"/>
              <w:jc w:val="left"/>
              <w:rPr>
                <w:rFonts w:ascii="メイリオ" w:eastAsia="メイリオ" w:hAnsi="メイリオ" w:cs="メイリオ"/>
                <w:sz w:val="20"/>
                <w:szCs w:val="20"/>
              </w:rPr>
            </w:pPr>
          </w:p>
          <w:p w:rsidR="00EA1248" w:rsidRDefault="00EA1248" w:rsidP="003967C1">
            <w:pPr>
              <w:spacing w:line="260" w:lineRule="exact"/>
              <w:ind w:left="200" w:hangingChars="100" w:hanging="200"/>
              <w:jc w:val="left"/>
              <w:rPr>
                <w:rFonts w:ascii="メイリオ" w:eastAsia="メイリオ" w:hAnsi="メイリオ" w:cs="メイリオ"/>
                <w:sz w:val="20"/>
                <w:szCs w:val="20"/>
              </w:rPr>
            </w:pPr>
          </w:p>
          <w:p w:rsidR="00EA1248" w:rsidRPr="003B692A" w:rsidRDefault="00EA1248" w:rsidP="003967C1">
            <w:pPr>
              <w:spacing w:line="260" w:lineRule="exact"/>
              <w:ind w:left="200" w:hangingChars="100" w:hanging="200"/>
              <w:jc w:val="left"/>
              <w:rPr>
                <w:rFonts w:ascii="メイリオ" w:eastAsia="メイリオ" w:hAnsi="メイリオ" w:cs="メイリオ"/>
                <w:sz w:val="20"/>
                <w:szCs w:val="20"/>
              </w:rPr>
            </w:pPr>
          </w:p>
        </w:tc>
        <w:tc>
          <w:tcPr>
            <w:tcW w:w="8283" w:type="dxa"/>
            <w:tcBorders>
              <w:bottom w:val="single" w:sz="4" w:space="0" w:color="auto"/>
            </w:tcBorders>
          </w:tcPr>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(7)歯と口の健康（51頁）」について。歯科健診については保険者にインセンティブが与えられる仕組みがあるため、目標は達成しやすい。加えて、歯科健診の受診率が上がらない20代～30代に対し、特に大学や短大等との連携により、啓発事業を実施するなど、その重要性を働きかけている。</w:t>
            </w:r>
          </w:p>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●ライフステージでみると、「成人」と「子ども」をつなげる形で、具体的な取組みを入れ込んでほしい。</w:t>
            </w:r>
          </w:p>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口腔ケア」という言葉は、「歯磨き」のイメージが強いが、嚥下や咀嚼等の重要性も働きかける必要がある。このため、本計画への記載として「口腔機能管理」「口腔衛生管理」「機能的口腔ケア」等の言葉がよいのではないか。</w:t>
            </w:r>
          </w:p>
        </w:tc>
        <w:tc>
          <w:tcPr>
            <w:tcW w:w="5319" w:type="dxa"/>
            <w:tcBorders>
              <w:bottom w:val="single" w:sz="4" w:space="0" w:color="auto"/>
            </w:tcBorders>
          </w:tcPr>
          <w:p w:rsidR="00EA1248" w:rsidRPr="00C40472" w:rsidRDefault="00EA1248" w:rsidP="003967C1">
            <w:pPr>
              <w:widowControl/>
              <w:spacing w:line="26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●歯科口腔保健計画と整合性を図り、記載しています。</w:t>
            </w:r>
          </w:p>
        </w:tc>
      </w:tr>
      <w:tr w:rsidR="00422769" w:rsidRPr="00C40472" w:rsidTr="003967C1">
        <w:trPr>
          <w:trHeight w:val="494"/>
        </w:trPr>
        <w:tc>
          <w:tcPr>
            <w:tcW w:w="1559" w:type="dxa"/>
            <w:shd w:val="pct12" w:color="auto" w:fill="auto"/>
          </w:tcPr>
          <w:p w:rsidR="00422769" w:rsidRDefault="00422769" w:rsidP="003967C1">
            <w:pPr>
              <w:spacing w:line="260" w:lineRule="exact"/>
              <w:ind w:left="200" w:hangingChars="100" w:hanging="200"/>
              <w:rPr>
                <w:rFonts w:ascii="メイリオ" w:eastAsia="メイリオ" w:hAnsi="メイリオ" w:cs="メイリオ"/>
                <w:b/>
                <w:sz w:val="20"/>
                <w:szCs w:val="20"/>
              </w:rPr>
            </w:pPr>
          </w:p>
          <w:p w:rsidR="00422769" w:rsidRDefault="00422769" w:rsidP="003967C1">
            <w:pPr>
              <w:spacing w:line="260" w:lineRule="exact"/>
              <w:jc w:val="left"/>
              <w:rPr>
                <w:rFonts w:ascii="メイリオ" w:eastAsia="メイリオ" w:hAnsi="メイリオ" w:cs="メイリオ"/>
                <w:sz w:val="20"/>
                <w:szCs w:val="20"/>
              </w:rPr>
            </w:pPr>
          </w:p>
        </w:tc>
        <w:tc>
          <w:tcPr>
            <w:tcW w:w="8283" w:type="dxa"/>
            <w:shd w:val="pct12" w:color="auto" w:fill="auto"/>
            <w:vAlign w:val="center"/>
          </w:tcPr>
          <w:p w:rsidR="00422769" w:rsidRDefault="00EA1248" w:rsidP="003967C1">
            <w:pPr>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主な</w:t>
            </w:r>
            <w:r w:rsidR="00422769" w:rsidRPr="00F9440D">
              <w:rPr>
                <w:rFonts w:ascii="メイリオ" w:eastAsia="メイリオ" w:hAnsi="メイリオ" w:cs="メイリオ" w:hint="eastAsia"/>
                <w:sz w:val="20"/>
                <w:szCs w:val="20"/>
              </w:rPr>
              <w:t>意見</w:t>
            </w:r>
          </w:p>
        </w:tc>
        <w:tc>
          <w:tcPr>
            <w:tcW w:w="5319" w:type="dxa"/>
            <w:shd w:val="pct12" w:color="auto" w:fill="auto"/>
            <w:vAlign w:val="center"/>
          </w:tcPr>
          <w:p w:rsidR="00422769" w:rsidRPr="00C40472" w:rsidRDefault="00422769" w:rsidP="003967C1">
            <w:pPr>
              <w:widowControl/>
              <w:spacing w:line="260" w:lineRule="exact"/>
              <w:jc w:val="center"/>
              <w:rPr>
                <w:rFonts w:ascii="メイリオ" w:eastAsia="メイリオ" w:hAnsi="メイリオ" w:cs="メイリオ"/>
                <w:sz w:val="20"/>
                <w:szCs w:val="20"/>
              </w:rPr>
            </w:pPr>
            <w:r w:rsidRPr="00F9440D">
              <w:rPr>
                <w:rFonts w:ascii="メイリオ" w:eastAsia="メイリオ" w:hAnsi="メイリオ" w:cs="メイリオ" w:hint="eastAsia"/>
                <w:sz w:val="20"/>
                <w:szCs w:val="20"/>
              </w:rPr>
              <w:t>対応</w:t>
            </w:r>
          </w:p>
        </w:tc>
      </w:tr>
      <w:tr w:rsidR="00EA1248" w:rsidRPr="00C40472" w:rsidTr="003967C1">
        <w:trPr>
          <w:trHeight w:val="1015"/>
        </w:trPr>
        <w:tc>
          <w:tcPr>
            <w:tcW w:w="1559" w:type="dxa"/>
            <w:vMerge w:val="restart"/>
          </w:tcPr>
          <w:p w:rsidR="00EA1248" w:rsidRDefault="00EA1248" w:rsidP="003967C1">
            <w:pPr>
              <w:spacing w:line="260" w:lineRule="exact"/>
              <w:ind w:left="200" w:hangingChars="100" w:hanging="200"/>
              <w:rPr>
                <w:rFonts w:ascii="メイリオ" w:eastAsia="メイリオ" w:hAnsi="メイリオ" w:cs="メイリオ"/>
                <w:b/>
                <w:sz w:val="20"/>
                <w:szCs w:val="20"/>
              </w:rPr>
            </w:pPr>
            <w:r>
              <w:rPr>
                <w:rFonts w:ascii="メイリオ" w:eastAsia="メイリオ" w:hAnsi="メイリオ" w:cs="メイリオ" w:hint="eastAsia"/>
                <w:b/>
                <w:sz w:val="20"/>
                <w:szCs w:val="20"/>
              </w:rPr>
              <w:t>けんしん</w:t>
            </w:r>
          </w:p>
          <w:p w:rsidR="00EA1248" w:rsidRDefault="00EA1248" w:rsidP="003967C1">
            <w:pPr>
              <w:spacing w:line="260" w:lineRule="exact"/>
              <w:jc w:val="left"/>
              <w:rPr>
                <w:rFonts w:ascii="メイリオ" w:eastAsia="メイリオ" w:hAnsi="メイリオ" w:cs="メイリオ"/>
                <w:sz w:val="20"/>
                <w:szCs w:val="20"/>
              </w:rPr>
            </w:pPr>
          </w:p>
        </w:tc>
        <w:tc>
          <w:tcPr>
            <w:tcW w:w="8283" w:type="dxa"/>
          </w:tcPr>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(1)けんしん（54頁）」について。特定健診等の受診率向上と保健指導の充実が大きな課題。特定健診とがん検診を一緒に実施したり、クーポンをつける、こまめに受診勧奨を行う等、現時点でも盛り込まれているが、より具体的な取組みを入れてはどうか。</w:t>
            </w:r>
          </w:p>
          <w:p w:rsidR="00EA1248"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●マスメディアを活用して「けんしん」の受診率アップにつなげることも得策だと思う。</w:t>
            </w:r>
          </w:p>
        </w:tc>
        <w:tc>
          <w:tcPr>
            <w:tcW w:w="5319" w:type="dxa"/>
            <w:vMerge w:val="restart"/>
          </w:tcPr>
          <w:p w:rsidR="00EA1248" w:rsidRPr="00C37EE4" w:rsidRDefault="00EA1248" w:rsidP="003967C1">
            <w:pPr>
              <w:widowControl/>
              <w:spacing w:line="260" w:lineRule="exact"/>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●具体的な取組みを推進するうえで参考とさせていただきます。</w:t>
            </w:r>
          </w:p>
        </w:tc>
      </w:tr>
      <w:tr w:rsidR="00EA1248" w:rsidRPr="00C40472" w:rsidTr="003967C1">
        <w:trPr>
          <w:trHeight w:val="693"/>
        </w:trPr>
        <w:tc>
          <w:tcPr>
            <w:tcW w:w="1559" w:type="dxa"/>
            <w:vMerge/>
          </w:tcPr>
          <w:p w:rsidR="00EA1248" w:rsidRPr="003B692A" w:rsidRDefault="00EA1248" w:rsidP="003967C1">
            <w:pPr>
              <w:spacing w:line="260" w:lineRule="exact"/>
              <w:ind w:left="200" w:hangingChars="100" w:hanging="200"/>
              <w:jc w:val="left"/>
              <w:rPr>
                <w:rFonts w:ascii="メイリオ" w:eastAsia="メイリオ" w:hAnsi="メイリオ" w:cs="メイリオ"/>
                <w:sz w:val="20"/>
                <w:szCs w:val="20"/>
              </w:rPr>
            </w:pPr>
          </w:p>
        </w:tc>
        <w:tc>
          <w:tcPr>
            <w:tcW w:w="8283" w:type="dxa"/>
          </w:tcPr>
          <w:p w:rsidR="00EA1248" w:rsidRPr="00C40472"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現在、健診団体も価格競争に晒されており、厳しい状況。そんな中、マイレージを取り入れたり、ランチクーポンを配布するなど、健康に関心のない層への働きかけを実施している団体もある。何をインセンティブとするのか、その点を工夫することが重要。</w:t>
            </w:r>
          </w:p>
        </w:tc>
        <w:tc>
          <w:tcPr>
            <w:tcW w:w="5319" w:type="dxa"/>
            <w:vMerge/>
          </w:tcPr>
          <w:p w:rsidR="00EA1248" w:rsidRPr="00C40472" w:rsidRDefault="00EA1248" w:rsidP="003967C1">
            <w:pPr>
              <w:widowControl/>
              <w:spacing w:line="260" w:lineRule="exact"/>
              <w:jc w:val="left"/>
              <w:rPr>
                <w:rFonts w:ascii="メイリオ" w:eastAsia="メイリオ" w:hAnsi="メイリオ" w:cs="メイリオ"/>
                <w:sz w:val="20"/>
                <w:szCs w:val="20"/>
              </w:rPr>
            </w:pPr>
          </w:p>
        </w:tc>
      </w:tr>
      <w:tr w:rsidR="00EA1248" w:rsidRPr="00C40472" w:rsidTr="003967C1">
        <w:trPr>
          <w:trHeight w:val="924"/>
        </w:trPr>
        <w:tc>
          <w:tcPr>
            <w:tcW w:w="1559" w:type="dxa"/>
          </w:tcPr>
          <w:p w:rsidR="00EA1248" w:rsidRPr="003B692A" w:rsidRDefault="00EA1248" w:rsidP="003967C1">
            <w:pPr>
              <w:spacing w:line="26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b/>
                <w:sz w:val="20"/>
                <w:szCs w:val="20"/>
              </w:rPr>
              <w:t>中小企業支援</w:t>
            </w:r>
          </w:p>
        </w:tc>
        <w:tc>
          <w:tcPr>
            <w:tcW w:w="8283" w:type="dxa"/>
          </w:tcPr>
          <w:p w:rsidR="00EA1248" w:rsidRPr="00F9440D" w:rsidRDefault="00EA1248" w:rsidP="003967C1">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●「3 府民の健康づくりを支える社会環境整備（58頁～59頁）」の「数値目標」として、「健康経営に取り組む中小企業数」を明記しているが、全国でみると、既に1万社を超えており、実質上、健康経営の取組みは一定進んでいる状況にある。今後は、取組み内容を重視していく方向にあることから、本指標の再考をお願いしたい。</w:t>
            </w:r>
          </w:p>
        </w:tc>
        <w:tc>
          <w:tcPr>
            <w:tcW w:w="5319" w:type="dxa"/>
          </w:tcPr>
          <w:p w:rsidR="00EA1248" w:rsidRPr="00085371" w:rsidRDefault="00EA1248" w:rsidP="003967C1">
            <w:pPr>
              <w:widowControl/>
              <w:spacing w:line="260" w:lineRule="exact"/>
              <w:ind w:left="200" w:hangingChars="100" w:hanging="200"/>
              <w:jc w:val="left"/>
              <w:rPr>
                <w:rFonts w:ascii="メイリオ" w:eastAsia="メイリオ" w:hAnsi="メイリオ" w:cs="メイリオ"/>
                <w:color w:val="000000" w:themeColor="text1"/>
                <w:sz w:val="20"/>
                <w:szCs w:val="20"/>
              </w:rPr>
            </w:pPr>
            <w:r w:rsidRPr="00085371">
              <w:rPr>
                <w:rFonts w:ascii="メイリオ" w:eastAsia="メイリオ" w:hAnsi="メイリオ" w:cs="メイリオ"/>
                <w:color w:val="000000" w:themeColor="text1"/>
                <w:sz w:val="20"/>
                <w:szCs w:val="20"/>
              </w:rPr>
              <w:t>●</w:t>
            </w:r>
            <w:r w:rsidR="003967C1" w:rsidRPr="00085371">
              <w:rPr>
                <w:rFonts w:ascii="メイリオ" w:eastAsia="メイリオ" w:hAnsi="メイリオ" w:cs="メイリオ"/>
                <w:color w:val="000000" w:themeColor="text1"/>
                <w:sz w:val="20"/>
                <w:szCs w:val="20"/>
              </w:rPr>
              <w:t>中小企業の健康経営の取組み状況を把握する指標</w:t>
            </w:r>
            <w:r w:rsidR="00085371" w:rsidRPr="00085371">
              <w:rPr>
                <w:rFonts w:ascii="メイリオ" w:eastAsia="メイリオ" w:hAnsi="メイリオ" w:cs="メイリオ" w:hint="eastAsia"/>
                <w:color w:val="000000" w:themeColor="text1"/>
                <w:sz w:val="20"/>
                <w:szCs w:val="20"/>
              </w:rPr>
              <w:t>のひとつとして設定させていただきたい</w:t>
            </w:r>
            <w:r w:rsidRPr="00085371">
              <w:rPr>
                <w:rFonts w:ascii="メイリオ" w:eastAsia="メイリオ" w:hAnsi="メイリオ" w:cs="メイリオ" w:hint="eastAsia"/>
                <w:color w:val="000000" w:themeColor="text1"/>
                <w:sz w:val="20"/>
                <w:szCs w:val="20"/>
              </w:rPr>
              <w:t>と考えています。</w:t>
            </w:r>
          </w:p>
        </w:tc>
      </w:tr>
    </w:tbl>
    <w:p w:rsidR="00D36B10" w:rsidRDefault="00D36B10" w:rsidP="00330BF3">
      <w:pPr>
        <w:spacing w:line="340" w:lineRule="exact"/>
        <w:rPr>
          <w:rFonts w:ascii="メイリオ" w:eastAsia="メイリオ" w:hAnsi="メイリオ" w:cs="メイリオ"/>
          <w:b/>
        </w:rPr>
      </w:pPr>
    </w:p>
    <w:p w:rsidR="0080289B" w:rsidRDefault="0080289B" w:rsidP="003003DF">
      <w:pPr>
        <w:spacing w:line="260" w:lineRule="exact"/>
        <w:ind w:left="200" w:hangingChars="100" w:hanging="200"/>
        <w:rPr>
          <w:rFonts w:ascii="メイリオ" w:eastAsia="メイリオ" w:hAnsi="メイリオ" w:cs="メイリオ"/>
          <w:b/>
          <w:sz w:val="20"/>
          <w:szCs w:val="20"/>
        </w:rPr>
      </w:pPr>
    </w:p>
    <w:p w:rsidR="003003DF" w:rsidRPr="0080289B" w:rsidRDefault="003003DF" w:rsidP="0080289B">
      <w:pPr>
        <w:spacing w:line="260" w:lineRule="exact"/>
        <w:ind w:left="210" w:hangingChars="100" w:hanging="210"/>
        <w:rPr>
          <w:rFonts w:ascii="メイリオ" w:eastAsia="メイリオ" w:hAnsi="メイリオ" w:cs="メイリオ"/>
          <w:b/>
          <w:szCs w:val="21"/>
        </w:rPr>
      </w:pPr>
      <w:r w:rsidRPr="0080289B">
        <w:rPr>
          <w:rFonts w:ascii="メイリオ" w:eastAsia="メイリオ" w:hAnsi="メイリオ" w:cs="メイリオ" w:hint="eastAsia"/>
          <w:b/>
          <w:szCs w:val="21"/>
        </w:rPr>
        <w:t>《❸目標の設定について（第5章関連）》</w:t>
      </w:r>
    </w:p>
    <w:tbl>
      <w:tblPr>
        <w:tblpPr w:leftFromText="142" w:rightFromText="142" w:vertAnchor="text" w:horzAnchor="margin" w:tblpY="74"/>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296"/>
        <w:gridCol w:w="5291"/>
      </w:tblGrid>
      <w:tr w:rsidR="00EA1248" w:rsidTr="00430A76">
        <w:trPr>
          <w:trHeight w:val="434"/>
        </w:trPr>
        <w:tc>
          <w:tcPr>
            <w:tcW w:w="1560" w:type="dxa"/>
            <w:shd w:val="pct20" w:color="auto" w:fill="auto"/>
            <w:vAlign w:val="center"/>
          </w:tcPr>
          <w:p w:rsidR="00EA1248" w:rsidRPr="0095002C" w:rsidRDefault="00EA1248" w:rsidP="00EA1248">
            <w:pPr>
              <w:snapToGrid w:val="0"/>
              <w:spacing w:line="260" w:lineRule="exact"/>
              <w:jc w:val="center"/>
              <w:rPr>
                <w:rFonts w:ascii="メイリオ" w:eastAsia="メイリオ" w:hAnsi="メイリオ" w:cs="メイリオ"/>
                <w:b/>
                <w:sz w:val="20"/>
                <w:szCs w:val="20"/>
              </w:rPr>
            </w:pPr>
          </w:p>
        </w:tc>
        <w:tc>
          <w:tcPr>
            <w:tcW w:w="8296" w:type="dxa"/>
            <w:shd w:val="pct20" w:color="auto" w:fill="auto"/>
            <w:vAlign w:val="center"/>
          </w:tcPr>
          <w:p w:rsidR="00EA1248" w:rsidRDefault="00EA1248" w:rsidP="00EA1248">
            <w:pPr>
              <w:snapToGrid w:val="0"/>
              <w:spacing w:line="260" w:lineRule="exact"/>
              <w:ind w:left="210" w:hangingChars="100" w:hanging="210"/>
              <w:jc w:val="center"/>
              <w:rPr>
                <w:rFonts w:ascii="メイリオ" w:eastAsia="メイリオ" w:hAnsi="メイリオ" w:cs="メイリオ"/>
              </w:rPr>
            </w:pPr>
            <w:r>
              <w:rPr>
                <w:rFonts w:ascii="メイリオ" w:eastAsia="メイリオ" w:hAnsi="メイリオ" w:cs="メイリオ" w:hint="eastAsia"/>
              </w:rPr>
              <w:t>主な意見</w:t>
            </w:r>
          </w:p>
        </w:tc>
        <w:tc>
          <w:tcPr>
            <w:tcW w:w="5291" w:type="dxa"/>
            <w:shd w:val="pct20" w:color="auto" w:fill="auto"/>
            <w:vAlign w:val="center"/>
          </w:tcPr>
          <w:p w:rsidR="00EA1248" w:rsidRPr="00C40472" w:rsidRDefault="00EA1248" w:rsidP="00EA1248">
            <w:pPr>
              <w:widowControl/>
              <w:spacing w:line="260" w:lineRule="exact"/>
              <w:jc w:val="center"/>
              <w:rPr>
                <w:rFonts w:ascii="メイリオ" w:eastAsia="メイリオ" w:hAnsi="メイリオ" w:cs="メイリオ"/>
                <w:sz w:val="20"/>
                <w:szCs w:val="20"/>
              </w:rPr>
            </w:pPr>
            <w:r w:rsidRPr="00F9440D">
              <w:rPr>
                <w:rFonts w:ascii="メイリオ" w:eastAsia="メイリオ" w:hAnsi="メイリオ" w:cs="メイリオ" w:hint="eastAsia"/>
                <w:sz w:val="20"/>
                <w:szCs w:val="20"/>
              </w:rPr>
              <w:t>対応</w:t>
            </w:r>
          </w:p>
        </w:tc>
      </w:tr>
      <w:tr w:rsidR="00004C56" w:rsidTr="00BA6E8D">
        <w:trPr>
          <w:trHeight w:val="1607"/>
        </w:trPr>
        <w:tc>
          <w:tcPr>
            <w:tcW w:w="1560" w:type="dxa"/>
            <w:vMerge w:val="restart"/>
          </w:tcPr>
          <w:p w:rsidR="00004C56" w:rsidRPr="00B56EDB" w:rsidRDefault="00004C56" w:rsidP="00B56EDB">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b/>
                <w:sz w:val="18"/>
                <w:szCs w:val="18"/>
              </w:rPr>
              <w:t>目標値</w:t>
            </w:r>
          </w:p>
        </w:tc>
        <w:tc>
          <w:tcPr>
            <w:tcW w:w="8296" w:type="dxa"/>
          </w:tcPr>
          <w:p w:rsidR="00004C56" w:rsidRPr="00C40472" w:rsidRDefault="00004C56" w:rsidP="00B56EDB">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●2023年の数値目標について、次のパターンが考えられる。これらを踏まえて、一度、事務局で、根拠も明確にしたうえで、整理してほしい。</w:t>
            </w:r>
          </w:p>
          <w:p w:rsidR="00004C56" w:rsidRPr="00C40472" w:rsidRDefault="00004C56" w:rsidP="00B56EDB">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 xml:space="preserve">　㊀2次計画の評価において全国平均を下回っている指標について、「全国平均をめざす」</w:t>
            </w:r>
          </w:p>
          <w:p w:rsidR="00004C56" w:rsidRPr="00C40472" w:rsidRDefault="00004C56" w:rsidP="00B56EDB">
            <w:pPr>
              <w:spacing w:line="260" w:lineRule="exact"/>
              <w:ind w:leftChars="100" w:left="210" w:firstLineChars="100" w:firstLine="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という考え方</w:t>
            </w:r>
          </w:p>
          <w:p w:rsidR="00004C56" w:rsidRPr="00C40472" w:rsidRDefault="00004C56" w:rsidP="00B56EDB">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 xml:space="preserve">　㊁過去からの推移をみて、伸び率等を算出し、今後の大阪の取組み状況等を踏まえ、直</w:t>
            </w:r>
          </w:p>
          <w:p w:rsidR="00004C56" w:rsidRDefault="00004C56" w:rsidP="00A45C7D">
            <w:pPr>
              <w:spacing w:line="260" w:lineRule="exact"/>
              <w:ind w:leftChars="100" w:left="210" w:firstLineChars="100" w:firstLine="200"/>
              <w:rPr>
                <w:rFonts w:ascii="メイリオ" w:eastAsia="メイリオ" w:hAnsi="メイリオ" w:cs="メイリオ"/>
                <w:b/>
                <w:sz w:val="20"/>
                <w:szCs w:val="20"/>
              </w:rPr>
            </w:pPr>
            <w:r w:rsidRPr="00C40472">
              <w:rPr>
                <w:rFonts w:ascii="メイリオ" w:eastAsia="メイリオ" w:hAnsi="メイリオ" w:cs="メイリオ" w:hint="eastAsia"/>
                <w:sz w:val="20"/>
                <w:szCs w:val="20"/>
              </w:rPr>
              <w:t>線的に6年後まで伸ばすという手法</w:t>
            </w:r>
          </w:p>
        </w:tc>
        <w:tc>
          <w:tcPr>
            <w:tcW w:w="5291" w:type="dxa"/>
          </w:tcPr>
          <w:p w:rsidR="00004C56" w:rsidRPr="00B56EDB" w:rsidRDefault="00004C56" w:rsidP="00BA6E8D">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w:t>
            </w:r>
            <w:r>
              <w:rPr>
                <w:rFonts w:ascii="メイリオ" w:eastAsia="メイリオ" w:hAnsi="メイリオ" w:cs="メイリオ" w:hint="eastAsia"/>
                <w:sz w:val="20"/>
                <w:szCs w:val="20"/>
              </w:rPr>
              <w:t>2023年度目標については、2次計画の評価や国の動向等を踏まえ、設定します (参考資料１)</w:t>
            </w:r>
            <w:r w:rsidRPr="00C40472">
              <w:rPr>
                <w:rFonts w:ascii="メイリオ" w:eastAsia="メイリオ" w:hAnsi="メイリオ" w:cs="メイリオ" w:hint="eastAsia"/>
                <w:sz w:val="20"/>
                <w:szCs w:val="20"/>
              </w:rPr>
              <w:t>。</w:t>
            </w:r>
          </w:p>
        </w:tc>
      </w:tr>
      <w:tr w:rsidR="00EA1248" w:rsidTr="008B2221">
        <w:trPr>
          <w:trHeight w:val="1296"/>
        </w:trPr>
        <w:tc>
          <w:tcPr>
            <w:tcW w:w="1560" w:type="dxa"/>
            <w:vMerge/>
          </w:tcPr>
          <w:p w:rsidR="00EA1248" w:rsidRPr="00B56EDB" w:rsidRDefault="00EA1248" w:rsidP="00B56EDB">
            <w:pPr>
              <w:snapToGrid w:val="0"/>
              <w:spacing w:line="260" w:lineRule="exact"/>
              <w:rPr>
                <w:rFonts w:ascii="メイリオ" w:eastAsia="メイリオ" w:hAnsi="メイリオ" w:cs="メイリオ"/>
                <w:sz w:val="20"/>
                <w:szCs w:val="20"/>
              </w:rPr>
            </w:pPr>
          </w:p>
        </w:tc>
        <w:tc>
          <w:tcPr>
            <w:tcW w:w="8296" w:type="dxa"/>
          </w:tcPr>
          <w:p w:rsidR="00EA1248" w:rsidRPr="00C40472" w:rsidRDefault="00EA1248" w:rsidP="00B56EDB">
            <w:pPr>
              <w:spacing w:line="260" w:lineRule="exact"/>
              <w:ind w:left="200" w:hangingChars="100" w:hanging="200"/>
              <w:rPr>
                <w:rFonts w:ascii="メイリオ" w:eastAsia="メイリオ" w:hAnsi="メイリオ" w:cs="メイリオ"/>
                <w:sz w:val="20"/>
                <w:szCs w:val="20"/>
              </w:rPr>
            </w:pPr>
            <w:r w:rsidRPr="00C40472">
              <w:rPr>
                <w:rFonts w:ascii="メイリオ" w:eastAsia="メイリオ" w:hAnsi="メイリオ" w:cs="メイリオ" w:hint="eastAsia"/>
                <w:sz w:val="20"/>
                <w:szCs w:val="20"/>
              </w:rPr>
              <w:t>●「(2)重症化予防（56頁～57頁）」について。「府民・行政等みんなでめざす目標」では、「治療中断」が含まれていない。「治療中断」の定義は難しいが、4割に上るという全国データを踏まえ、府の割合についても、示すべきではないか。ぜひ、検討してほしい。</w:t>
            </w:r>
          </w:p>
          <w:p w:rsidR="00EA1248" w:rsidRDefault="00EA1248" w:rsidP="00B56EDB">
            <w:pPr>
              <w:snapToGrid w:val="0"/>
              <w:spacing w:line="260" w:lineRule="exact"/>
              <w:ind w:left="200" w:hangingChars="100" w:hanging="200"/>
              <w:rPr>
                <w:rFonts w:ascii="メイリオ" w:eastAsia="メイリオ" w:hAnsi="メイリオ" w:cs="メイリオ"/>
                <w:sz w:val="20"/>
                <w:szCs w:val="20"/>
              </w:rPr>
            </w:pPr>
          </w:p>
        </w:tc>
        <w:tc>
          <w:tcPr>
            <w:tcW w:w="5291" w:type="dxa"/>
          </w:tcPr>
          <w:p w:rsidR="00EA1248" w:rsidRDefault="00EA1248" w:rsidP="00085371">
            <w:pPr>
              <w:spacing w:line="26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●国民</w:t>
            </w:r>
            <w:r w:rsidR="004B1773">
              <w:rPr>
                <w:rFonts w:ascii="メイリオ" w:eastAsia="メイリオ" w:hAnsi="メイリオ" w:cs="メイリオ" w:hint="eastAsia"/>
                <w:sz w:val="20"/>
                <w:szCs w:val="20"/>
              </w:rPr>
              <w:t>健康・栄養</w:t>
            </w:r>
            <w:r>
              <w:rPr>
                <w:rFonts w:ascii="メイリオ" w:eastAsia="メイリオ" w:hAnsi="メイリオ" w:cs="メイリオ" w:hint="eastAsia"/>
                <w:sz w:val="20"/>
                <w:szCs w:val="20"/>
              </w:rPr>
              <w:t>調査（全国）によると、「糖尿病だと言われたことがある人」のうち、「現在治療を受けていない人」の割合は38.0%です。また、「治療を受けたこと</w:t>
            </w:r>
            <w:r w:rsidR="00085371">
              <w:rPr>
                <w:rFonts w:ascii="メイリオ" w:eastAsia="メイリオ" w:hAnsi="メイリオ" w:cs="メイリオ" w:hint="eastAsia"/>
                <w:sz w:val="20"/>
                <w:szCs w:val="20"/>
              </w:rPr>
              <w:t>がある人」のうち、「治療を中断して現在受けていない人」の割合は</w:t>
            </w:r>
            <w:r>
              <w:rPr>
                <w:rFonts w:ascii="メイリオ" w:eastAsia="メイリオ" w:hAnsi="メイリオ" w:cs="メイリオ" w:hint="eastAsia"/>
                <w:sz w:val="20"/>
                <w:szCs w:val="20"/>
              </w:rPr>
              <w:t>13.5%</w:t>
            </w:r>
            <w:r w:rsidR="00085371">
              <w:rPr>
                <w:rFonts w:ascii="メイリオ" w:eastAsia="メイリオ" w:hAnsi="メイリオ" w:cs="メイリオ" w:hint="eastAsia"/>
                <w:sz w:val="20"/>
                <w:szCs w:val="20"/>
              </w:rPr>
              <w:t>です。</w:t>
            </w:r>
          </w:p>
          <w:p w:rsidR="00EA1248" w:rsidRDefault="00EA1248" w:rsidP="00085371">
            <w:pPr>
              <w:spacing w:line="26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●府では</w:t>
            </w:r>
            <w:r w:rsidR="00085371">
              <w:rPr>
                <w:rFonts w:ascii="メイリオ" w:eastAsia="メイリオ" w:hAnsi="メイリオ" w:cs="メイリオ" w:hint="eastAsia"/>
                <w:sz w:val="20"/>
                <w:szCs w:val="20"/>
              </w:rPr>
              <w:t>、医療保険者等との連携により、治療中断に加え、これまで治療を受けていない人を含めて、受診を促進してまいりたいと考えています。</w:t>
            </w:r>
          </w:p>
        </w:tc>
      </w:tr>
    </w:tbl>
    <w:p w:rsidR="00335056" w:rsidRPr="00085371" w:rsidRDefault="00335056" w:rsidP="00D33581">
      <w:pPr>
        <w:spacing w:line="340" w:lineRule="exact"/>
        <w:ind w:left="210" w:hangingChars="100" w:hanging="210"/>
        <w:rPr>
          <w:rFonts w:ascii="メイリオ" w:eastAsia="メイリオ" w:hAnsi="メイリオ" w:cs="メイリオ"/>
        </w:rPr>
      </w:pPr>
    </w:p>
    <w:sectPr w:rsidR="00335056" w:rsidRPr="00085371" w:rsidSect="00EA1248">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820" w:bottom="56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60" w:rsidRDefault="00AD7960" w:rsidP="00F02E26">
      <w:r>
        <w:separator/>
      </w:r>
    </w:p>
  </w:endnote>
  <w:endnote w:type="continuationSeparator" w:id="0">
    <w:p w:rsidR="00AD7960" w:rsidRDefault="00AD7960" w:rsidP="00F0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60" w:rsidRDefault="000352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60" w:rsidRDefault="000352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60" w:rsidRDefault="00035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60" w:rsidRDefault="00AD7960" w:rsidP="00F02E26">
      <w:r>
        <w:separator/>
      </w:r>
    </w:p>
  </w:footnote>
  <w:footnote w:type="continuationSeparator" w:id="0">
    <w:p w:rsidR="00AD7960" w:rsidRDefault="00AD7960" w:rsidP="00F0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60" w:rsidRDefault="000352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60" w:rsidRDefault="000352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60" w:rsidRDefault="000352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24"/>
    <w:rsid w:val="00004C56"/>
    <w:rsid w:val="00007B2C"/>
    <w:rsid w:val="00022B29"/>
    <w:rsid w:val="00024AB3"/>
    <w:rsid w:val="00035260"/>
    <w:rsid w:val="00051555"/>
    <w:rsid w:val="0005174C"/>
    <w:rsid w:val="00076600"/>
    <w:rsid w:val="00085371"/>
    <w:rsid w:val="00092221"/>
    <w:rsid w:val="000B2C6F"/>
    <w:rsid w:val="000C2B12"/>
    <w:rsid w:val="00115F27"/>
    <w:rsid w:val="00127860"/>
    <w:rsid w:val="001713A8"/>
    <w:rsid w:val="001A431C"/>
    <w:rsid w:val="002060D9"/>
    <w:rsid w:val="0026634F"/>
    <w:rsid w:val="002A14C8"/>
    <w:rsid w:val="002E4200"/>
    <w:rsid w:val="002F55A0"/>
    <w:rsid w:val="003003DF"/>
    <w:rsid w:val="00300610"/>
    <w:rsid w:val="00330BF3"/>
    <w:rsid w:val="00335056"/>
    <w:rsid w:val="00340A63"/>
    <w:rsid w:val="00365785"/>
    <w:rsid w:val="003967C1"/>
    <w:rsid w:val="003B692A"/>
    <w:rsid w:val="003E6818"/>
    <w:rsid w:val="003F66C0"/>
    <w:rsid w:val="004118E2"/>
    <w:rsid w:val="00422769"/>
    <w:rsid w:val="00426260"/>
    <w:rsid w:val="00453524"/>
    <w:rsid w:val="00480A0A"/>
    <w:rsid w:val="004B0B1A"/>
    <w:rsid w:val="004B1773"/>
    <w:rsid w:val="004E6A73"/>
    <w:rsid w:val="004F455B"/>
    <w:rsid w:val="00500247"/>
    <w:rsid w:val="00504A79"/>
    <w:rsid w:val="00526A0D"/>
    <w:rsid w:val="00532423"/>
    <w:rsid w:val="005525C1"/>
    <w:rsid w:val="00563009"/>
    <w:rsid w:val="00572A35"/>
    <w:rsid w:val="00580D23"/>
    <w:rsid w:val="005942A0"/>
    <w:rsid w:val="005F1699"/>
    <w:rsid w:val="005F3ECC"/>
    <w:rsid w:val="00643AB1"/>
    <w:rsid w:val="00651B75"/>
    <w:rsid w:val="00677EAF"/>
    <w:rsid w:val="006838A1"/>
    <w:rsid w:val="006D6F83"/>
    <w:rsid w:val="00720C8F"/>
    <w:rsid w:val="0074560E"/>
    <w:rsid w:val="007648EE"/>
    <w:rsid w:val="007969EF"/>
    <w:rsid w:val="007A6509"/>
    <w:rsid w:val="007C4B47"/>
    <w:rsid w:val="007F5A5C"/>
    <w:rsid w:val="007F7C42"/>
    <w:rsid w:val="0080289B"/>
    <w:rsid w:val="00805C89"/>
    <w:rsid w:val="0082316C"/>
    <w:rsid w:val="0084042E"/>
    <w:rsid w:val="00852647"/>
    <w:rsid w:val="00860EA7"/>
    <w:rsid w:val="00862B10"/>
    <w:rsid w:val="008A1286"/>
    <w:rsid w:val="008A4715"/>
    <w:rsid w:val="008A4C1F"/>
    <w:rsid w:val="008D32F4"/>
    <w:rsid w:val="008F7BD5"/>
    <w:rsid w:val="00923842"/>
    <w:rsid w:val="0095002C"/>
    <w:rsid w:val="009520B9"/>
    <w:rsid w:val="00994176"/>
    <w:rsid w:val="00996E39"/>
    <w:rsid w:val="009E18C6"/>
    <w:rsid w:val="00A50150"/>
    <w:rsid w:val="00A63D65"/>
    <w:rsid w:val="00A6608C"/>
    <w:rsid w:val="00AD7960"/>
    <w:rsid w:val="00AF6C9D"/>
    <w:rsid w:val="00B02EDF"/>
    <w:rsid w:val="00B108C7"/>
    <w:rsid w:val="00B54ADB"/>
    <w:rsid w:val="00B56EDB"/>
    <w:rsid w:val="00B90A9F"/>
    <w:rsid w:val="00B9259D"/>
    <w:rsid w:val="00B94EDC"/>
    <w:rsid w:val="00B974EF"/>
    <w:rsid w:val="00BB44B4"/>
    <w:rsid w:val="00BC30BB"/>
    <w:rsid w:val="00BC77D4"/>
    <w:rsid w:val="00BD1214"/>
    <w:rsid w:val="00BD35F7"/>
    <w:rsid w:val="00BD5182"/>
    <w:rsid w:val="00BF404A"/>
    <w:rsid w:val="00BF7DC6"/>
    <w:rsid w:val="00C07264"/>
    <w:rsid w:val="00C12B03"/>
    <w:rsid w:val="00C378CF"/>
    <w:rsid w:val="00C37EE4"/>
    <w:rsid w:val="00C40472"/>
    <w:rsid w:val="00C433F8"/>
    <w:rsid w:val="00C46383"/>
    <w:rsid w:val="00C50DA5"/>
    <w:rsid w:val="00C52D57"/>
    <w:rsid w:val="00C565A8"/>
    <w:rsid w:val="00C610A8"/>
    <w:rsid w:val="00C71B4D"/>
    <w:rsid w:val="00D12D95"/>
    <w:rsid w:val="00D23CAA"/>
    <w:rsid w:val="00D33581"/>
    <w:rsid w:val="00D36B10"/>
    <w:rsid w:val="00D47013"/>
    <w:rsid w:val="00D504C4"/>
    <w:rsid w:val="00D5572B"/>
    <w:rsid w:val="00D64AA8"/>
    <w:rsid w:val="00D93F7A"/>
    <w:rsid w:val="00DC10DE"/>
    <w:rsid w:val="00DE38BD"/>
    <w:rsid w:val="00E06463"/>
    <w:rsid w:val="00E17B48"/>
    <w:rsid w:val="00E21639"/>
    <w:rsid w:val="00E35DC0"/>
    <w:rsid w:val="00E70F90"/>
    <w:rsid w:val="00EA1248"/>
    <w:rsid w:val="00EF1F2B"/>
    <w:rsid w:val="00EF7717"/>
    <w:rsid w:val="00F020E7"/>
    <w:rsid w:val="00F02E26"/>
    <w:rsid w:val="00F12ED5"/>
    <w:rsid w:val="00F342A7"/>
    <w:rsid w:val="00F41096"/>
    <w:rsid w:val="00F476E6"/>
    <w:rsid w:val="00F876C2"/>
    <w:rsid w:val="00F9440D"/>
    <w:rsid w:val="00F968B4"/>
    <w:rsid w:val="00FB432C"/>
    <w:rsid w:val="00FD67B9"/>
    <w:rsid w:val="00FE214A"/>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E26"/>
    <w:pPr>
      <w:tabs>
        <w:tab w:val="center" w:pos="4252"/>
        <w:tab w:val="right" w:pos="8504"/>
      </w:tabs>
      <w:snapToGrid w:val="0"/>
    </w:pPr>
  </w:style>
  <w:style w:type="character" w:customStyle="1" w:styleId="a4">
    <w:name w:val="ヘッダー (文字)"/>
    <w:basedOn w:val="a0"/>
    <w:link w:val="a3"/>
    <w:uiPriority w:val="99"/>
    <w:rsid w:val="00F02E26"/>
  </w:style>
  <w:style w:type="paragraph" w:styleId="a5">
    <w:name w:val="footer"/>
    <w:basedOn w:val="a"/>
    <w:link w:val="a6"/>
    <w:uiPriority w:val="99"/>
    <w:unhideWhenUsed/>
    <w:rsid w:val="00F02E26"/>
    <w:pPr>
      <w:tabs>
        <w:tab w:val="center" w:pos="4252"/>
        <w:tab w:val="right" w:pos="8504"/>
      </w:tabs>
      <w:snapToGrid w:val="0"/>
    </w:pPr>
  </w:style>
  <w:style w:type="character" w:customStyle="1" w:styleId="a6">
    <w:name w:val="フッター (文字)"/>
    <w:basedOn w:val="a0"/>
    <w:link w:val="a5"/>
    <w:uiPriority w:val="99"/>
    <w:rsid w:val="00F02E26"/>
  </w:style>
  <w:style w:type="paragraph" w:styleId="a7">
    <w:name w:val="Balloon Text"/>
    <w:basedOn w:val="a"/>
    <w:link w:val="a8"/>
    <w:uiPriority w:val="99"/>
    <w:semiHidden/>
    <w:unhideWhenUsed/>
    <w:rsid w:val="008404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04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E26"/>
    <w:pPr>
      <w:tabs>
        <w:tab w:val="center" w:pos="4252"/>
        <w:tab w:val="right" w:pos="8504"/>
      </w:tabs>
      <w:snapToGrid w:val="0"/>
    </w:pPr>
  </w:style>
  <w:style w:type="character" w:customStyle="1" w:styleId="a4">
    <w:name w:val="ヘッダー (文字)"/>
    <w:basedOn w:val="a0"/>
    <w:link w:val="a3"/>
    <w:uiPriority w:val="99"/>
    <w:rsid w:val="00F02E26"/>
  </w:style>
  <w:style w:type="paragraph" w:styleId="a5">
    <w:name w:val="footer"/>
    <w:basedOn w:val="a"/>
    <w:link w:val="a6"/>
    <w:uiPriority w:val="99"/>
    <w:unhideWhenUsed/>
    <w:rsid w:val="00F02E26"/>
    <w:pPr>
      <w:tabs>
        <w:tab w:val="center" w:pos="4252"/>
        <w:tab w:val="right" w:pos="8504"/>
      </w:tabs>
      <w:snapToGrid w:val="0"/>
    </w:pPr>
  </w:style>
  <w:style w:type="character" w:customStyle="1" w:styleId="a6">
    <w:name w:val="フッター (文字)"/>
    <w:basedOn w:val="a0"/>
    <w:link w:val="a5"/>
    <w:uiPriority w:val="99"/>
    <w:rsid w:val="00F02E26"/>
  </w:style>
  <w:style w:type="paragraph" w:styleId="a7">
    <w:name w:val="Balloon Text"/>
    <w:basedOn w:val="a"/>
    <w:link w:val="a8"/>
    <w:uiPriority w:val="99"/>
    <w:semiHidden/>
    <w:unhideWhenUsed/>
    <w:rsid w:val="008404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04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2018-01-11T13:51:00Z</dcterms:created>
  <dcterms:modified xsi:type="dcterms:W3CDTF">2018-01-11T13:51:00Z</dcterms:modified>
</cp:coreProperties>
</file>