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DB3834" w:rsidRDefault="003853C5" w:rsidP="00C9442F">
            <w:pPr>
              <w:snapToGrid w:val="0"/>
              <w:jc w:val="center"/>
              <w:rPr>
                <w:rFonts w:ascii="ＭＳ ゴシック" w:eastAsia="ＭＳ ゴシック" w:hAnsi="ＭＳ ゴシック"/>
                <w:color w:val="000000"/>
                <w:sz w:val="28"/>
                <w:szCs w:val="28"/>
              </w:rPr>
            </w:pPr>
            <w:r w:rsidRPr="00DB3834">
              <w:rPr>
                <w:rFonts w:asciiTheme="majorEastAsia" w:eastAsiaTheme="majorEastAsia" w:hAnsiTheme="majorEastAsia" w:hint="eastAsia"/>
                <w:sz w:val="28"/>
                <w:szCs w:val="28"/>
              </w:rPr>
              <w:t>中小企業の動き（平成2</w:t>
            </w:r>
            <w:r w:rsidR="00465B0D">
              <w:rPr>
                <w:rFonts w:asciiTheme="majorEastAsia" w:eastAsiaTheme="majorEastAsia" w:hAnsiTheme="majorEastAsia" w:hint="eastAsia"/>
                <w:sz w:val="28"/>
                <w:szCs w:val="28"/>
              </w:rPr>
              <w:t>9</w:t>
            </w:r>
            <w:r w:rsidRPr="00DB3834">
              <w:rPr>
                <w:rFonts w:asciiTheme="majorEastAsia" w:eastAsiaTheme="majorEastAsia" w:hAnsiTheme="majorEastAsia" w:hint="eastAsia"/>
                <w:sz w:val="28"/>
                <w:szCs w:val="28"/>
              </w:rPr>
              <w:t>年</w:t>
            </w:r>
            <w:r w:rsidR="00C9442F">
              <w:rPr>
                <w:rFonts w:asciiTheme="majorEastAsia" w:eastAsiaTheme="majorEastAsia" w:hAnsiTheme="majorEastAsia" w:hint="eastAsia"/>
                <w:sz w:val="28"/>
                <w:szCs w:val="28"/>
              </w:rPr>
              <w:t>１</w:t>
            </w:r>
            <w:r w:rsidRPr="00DB3834">
              <w:rPr>
                <w:rFonts w:asciiTheme="majorEastAsia" w:eastAsiaTheme="majorEastAsia" w:hAnsiTheme="majorEastAsia" w:hint="eastAsia"/>
                <w:sz w:val="28"/>
                <w:szCs w:val="28"/>
              </w:rPr>
              <w:t>～</w:t>
            </w:r>
            <w:r w:rsidR="00C9442F">
              <w:rPr>
                <w:rFonts w:asciiTheme="majorEastAsia" w:eastAsiaTheme="majorEastAsia" w:hAnsiTheme="majorEastAsia" w:hint="eastAsia"/>
                <w:sz w:val="28"/>
                <w:szCs w:val="28"/>
              </w:rPr>
              <w:t>３</w:t>
            </w:r>
            <w:r w:rsidRPr="00DB3834">
              <w:rPr>
                <w:rFonts w:asciiTheme="majorEastAsia" w:eastAsiaTheme="majorEastAsia" w:hAnsiTheme="majorEastAsia" w:hint="eastAsia"/>
                <w:sz w:val="28"/>
                <w:szCs w:val="28"/>
              </w:rPr>
              <w:t>月期</w:t>
            </w:r>
            <w:r w:rsidR="00376D2E" w:rsidRPr="00DB3834">
              <w:rPr>
                <w:rFonts w:asciiTheme="majorEastAsia" w:eastAsiaTheme="majorEastAsia" w:hAnsiTheme="majorEastAsia" w:hint="eastAsia"/>
                <w:sz w:val="28"/>
                <w:szCs w:val="28"/>
              </w:rPr>
              <w:t>／業種別景気動向調査</w:t>
            </w:r>
            <w:r w:rsidRPr="00DB3834">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Pr="00DB3834" w:rsidRDefault="00370F43" w:rsidP="00133527">
      <w:pP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１．</w:t>
      </w:r>
      <w:r w:rsidR="00F03C42" w:rsidRPr="00DB3834">
        <w:rPr>
          <w:rFonts w:asciiTheme="majorEastAsia" w:eastAsiaTheme="majorEastAsia" w:hAnsiTheme="majorEastAsia" w:hint="eastAsia"/>
          <w:sz w:val="20"/>
          <w:szCs w:val="20"/>
        </w:rPr>
        <w:t>中小企業</w:t>
      </w:r>
      <w:r w:rsidR="00722D2B" w:rsidRPr="00DB3834">
        <w:rPr>
          <w:rFonts w:asciiTheme="majorEastAsia" w:eastAsiaTheme="majorEastAsia" w:hAnsiTheme="majorEastAsia" w:hint="eastAsia"/>
          <w:sz w:val="20"/>
          <w:szCs w:val="20"/>
        </w:rPr>
        <w:t>の</w:t>
      </w:r>
      <w:r w:rsidR="003B0CE9" w:rsidRPr="00DB3834">
        <w:rPr>
          <w:rFonts w:asciiTheme="majorEastAsia" w:eastAsiaTheme="majorEastAsia" w:hAnsiTheme="majorEastAsia" w:hint="eastAsia"/>
          <w:sz w:val="20"/>
          <w:szCs w:val="20"/>
        </w:rPr>
        <w:t>景況</w:t>
      </w:r>
    </w:p>
    <w:p w:rsidR="00E00D26" w:rsidRPr="001A53F0" w:rsidRDefault="004363A7" w:rsidP="00DB3834">
      <w:pPr>
        <w:ind w:firstLineChars="100" w:firstLine="200"/>
        <w:rPr>
          <w:rFonts w:asciiTheme="minorEastAsia" w:hAnsiTheme="minorEastAsia"/>
          <w:sz w:val="20"/>
          <w:szCs w:val="20"/>
        </w:rPr>
      </w:pP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中小企業景況調査</w:t>
      </w:r>
      <w:r w:rsidRPr="001A53F0">
        <w:rPr>
          <w:rFonts w:asciiTheme="minorEastAsia" w:hAnsiTheme="minorEastAsia" w:hint="eastAsia"/>
          <w:sz w:val="20"/>
          <w:szCs w:val="20"/>
        </w:rPr>
        <w:t>」</w:t>
      </w:r>
      <w:r w:rsidR="00CF5F87" w:rsidRPr="001A53F0">
        <w:rPr>
          <w:rFonts w:asciiTheme="minorEastAsia" w:hAnsiTheme="minorEastAsia" w:hint="eastAsia"/>
          <w:sz w:val="20"/>
          <w:szCs w:val="20"/>
        </w:rPr>
        <w:t>（中小企業庁</w:t>
      </w:r>
      <w:r w:rsidR="00C85FB9" w:rsidRPr="001A53F0">
        <w:rPr>
          <w:rFonts w:asciiTheme="minorEastAsia" w:hAnsiTheme="minorEastAsia" w:hint="eastAsia"/>
          <w:sz w:val="20"/>
          <w:szCs w:val="20"/>
        </w:rPr>
        <w:t>･</w:t>
      </w:r>
      <w:r w:rsidR="00CF5F87" w:rsidRPr="001A53F0">
        <w:rPr>
          <w:rFonts w:asciiTheme="minorEastAsia" w:hAnsiTheme="minorEastAsia" w:hint="eastAsia"/>
          <w:sz w:val="20"/>
          <w:szCs w:val="20"/>
        </w:rPr>
        <w:t>独立行政法人中小企業基盤整備機構）</w:t>
      </w:r>
      <w:r w:rsidR="00442F56" w:rsidRPr="001A53F0">
        <w:rPr>
          <w:rFonts w:asciiTheme="minorEastAsia" w:hAnsiTheme="minorEastAsia" w:hint="eastAsia"/>
          <w:sz w:val="20"/>
          <w:szCs w:val="20"/>
        </w:rPr>
        <w:t>によると</w:t>
      </w:r>
      <w:r w:rsidR="00CF5F87" w:rsidRPr="001A53F0">
        <w:rPr>
          <w:rFonts w:asciiTheme="minorEastAsia" w:hAnsiTheme="minorEastAsia" w:hint="eastAsia"/>
          <w:sz w:val="20"/>
          <w:szCs w:val="20"/>
        </w:rPr>
        <w:t>、</w:t>
      </w:r>
      <w:r w:rsidR="00C4664D">
        <w:rPr>
          <w:rFonts w:asciiTheme="minorEastAsia" w:hAnsiTheme="minorEastAsia" w:hint="eastAsia"/>
          <w:sz w:val="20"/>
          <w:szCs w:val="20"/>
        </w:rPr>
        <w:t>大阪府</w:t>
      </w:r>
      <w:r w:rsidR="00E00D26" w:rsidRPr="001A53F0">
        <w:rPr>
          <w:rFonts w:asciiTheme="minorEastAsia" w:hAnsiTheme="minorEastAsia" w:hint="eastAsia"/>
          <w:sz w:val="20"/>
          <w:szCs w:val="20"/>
        </w:rPr>
        <w:t>の</w:t>
      </w:r>
      <w:r w:rsidR="00614824" w:rsidRPr="001A53F0">
        <w:rPr>
          <w:rFonts w:asciiTheme="minorEastAsia" w:hAnsiTheme="minorEastAsia" w:hint="eastAsia"/>
          <w:sz w:val="20"/>
          <w:szCs w:val="20"/>
        </w:rPr>
        <w:t>全</w:t>
      </w:r>
      <w:r w:rsidR="00EF09F5">
        <w:rPr>
          <w:rFonts w:asciiTheme="minorEastAsia" w:hAnsiTheme="minorEastAsia" w:hint="eastAsia"/>
          <w:sz w:val="20"/>
          <w:szCs w:val="20"/>
        </w:rPr>
        <w:t>産業</w:t>
      </w:r>
      <w:r w:rsidR="009149F1">
        <w:rPr>
          <w:rFonts w:asciiTheme="minorEastAsia" w:hAnsiTheme="minorEastAsia" w:hint="eastAsia"/>
          <w:sz w:val="20"/>
          <w:szCs w:val="20"/>
        </w:rPr>
        <w:t>の中小企業</w:t>
      </w:r>
      <w:r w:rsidR="00614824" w:rsidRPr="001A53F0">
        <w:rPr>
          <w:rFonts w:asciiTheme="minorEastAsia" w:hAnsiTheme="minorEastAsia" w:hint="eastAsia"/>
          <w:sz w:val="20"/>
          <w:szCs w:val="20"/>
        </w:rPr>
        <w:t>の</w:t>
      </w:r>
      <w:r w:rsidR="00E00D26" w:rsidRPr="001A53F0">
        <w:rPr>
          <w:rFonts w:asciiTheme="minorEastAsia" w:hAnsiTheme="minorEastAsia" w:hint="eastAsia"/>
          <w:sz w:val="20"/>
          <w:szCs w:val="20"/>
        </w:rPr>
        <w:t>業況判断ＤＩは</w:t>
      </w:r>
      <w:r w:rsidR="00D9023B" w:rsidRPr="001A53F0">
        <w:rPr>
          <w:rFonts w:asciiTheme="minorEastAsia" w:hAnsiTheme="minorEastAsia" w:hint="eastAsia"/>
          <w:sz w:val="20"/>
          <w:szCs w:val="20"/>
        </w:rPr>
        <w:t>－</w:t>
      </w:r>
      <w:r w:rsidR="00C4664D">
        <w:rPr>
          <w:rFonts w:asciiTheme="minorEastAsia" w:hAnsiTheme="minorEastAsia" w:hint="eastAsia"/>
          <w:sz w:val="20"/>
          <w:szCs w:val="20"/>
        </w:rPr>
        <w:t>16.6</w:t>
      </w:r>
      <w:r w:rsidR="00D9023B" w:rsidRPr="001A53F0">
        <w:rPr>
          <w:rFonts w:asciiTheme="minorEastAsia" w:hAnsiTheme="minorEastAsia" w:hint="eastAsia"/>
          <w:sz w:val="20"/>
          <w:szCs w:val="20"/>
        </w:rPr>
        <w:t>（前期差</w:t>
      </w:r>
      <w:r w:rsidR="00C4664D">
        <w:rPr>
          <w:rFonts w:asciiTheme="minorEastAsia" w:hAnsiTheme="minorEastAsia" w:hint="eastAsia"/>
          <w:sz w:val="20"/>
          <w:szCs w:val="20"/>
        </w:rPr>
        <w:t>3.4</w:t>
      </w:r>
      <w:r w:rsidR="00D9023B" w:rsidRPr="001A53F0">
        <w:rPr>
          <w:rFonts w:asciiTheme="minorEastAsia" w:hAnsiTheme="minorEastAsia" w:hint="eastAsia"/>
          <w:sz w:val="20"/>
          <w:szCs w:val="20"/>
        </w:rPr>
        <w:t>ポイント</w:t>
      </w:r>
      <w:r w:rsidR="00C4664D">
        <w:rPr>
          <w:rFonts w:asciiTheme="minorEastAsia" w:hAnsiTheme="minorEastAsia" w:hint="eastAsia"/>
          <w:sz w:val="20"/>
          <w:szCs w:val="20"/>
        </w:rPr>
        <w:t>増</w:t>
      </w:r>
      <w:r w:rsidR="00D9023B" w:rsidRPr="001A53F0">
        <w:rPr>
          <w:rFonts w:asciiTheme="minorEastAsia" w:hAnsiTheme="minorEastAsia" w:hint="eastAsia"/>
          <w:sz w:val="20"/>
          <w:szCs w:val="20"/>
        </w:rPr>
        <w:t>）</w:t>
      </w:r>
      <w:r w:rsidR="00FE1CF9">
        <w:rPr>
          <w:rFonts w:asciiTheme="minorEastAsia" w:hAnsiTheme="minorEastAsia" w:hint="eastAsia"/>
          <w:sz w:val="20"/>
          <w:szCs w:val="20"/>
        </w:rPr>
        <w:t>で</w:t>
      </w:r>
      <w:r w:rsidR="00075D4C">
        <w:rPr>
          <w:rFonts w:asciiTheme="minorEastAsia" w:hAnsiTheme="minorEastAsia" w:hint="eastAsia"/>
          <w:sz w:val="20"/>
          <w:szCs w:val="20"/>
        </w:rPr>
        <w:t>、</w:t>
      </w:r>
      <w:r w:rsidR="00C4664D">
        <w:rPr>
          <w:rFonts w:asciiTheme="minorEastAsia" w:hAnsiTheme="minorEastAsia" w:hint="eastAsia"/>
          <w:sz w:val="20"/>
          <w:szCs w:val="20"/>
        </w:rPr>
        <w:t>近畿</w:t>
      </w:r>
      <w:r w:rsidR="00482803">
        <w:rPr>
          <w:rFonts w:asciiTheme="minorEastAsia" w:hAnsiTheme="minorEastAsia" w:hint="eastAsia"/>
          <w:sz w:val="20"/>
          <w:szCs w:val="20"/>
        </w:rPr>
        <w:t>よりも</w:t>
      </w:r>
      <w:r w:rsidR="00C4664D">
        <w:rPr>
          <w:rFonts w:asciiTheme="minorEastAsia" w:hAnsiTheme="minorEastAsia" w:hint="eastAsia"/>
          <w:sz w:val="20"/>
          <w:szCs w:val="20"/>
        </w:rPr>
        <w:t>0.9</w:t>
      </w:r>
      <w:r w:rsidR="00F34826">
        <w:rPr>
          <w:rFonts w:asciiTheme="minorEastAsia" w:hAnsiTheme="minorEastAsia" w:hint="eastAsia"/>
          <w:sz w:val="20"/>
          <w:szCs w:val="20"/>
        </w:rPr>
        <w:t>ポイント</w:t>
      </w:r>
      <w:r w:rsidR="00D04ECD">
        <w:rPr>
          <w:rFonts w:asciiTheme="minorEastAsia" w:hAnsiTheme="minorEastAsia" w:hint="eastAsia"/>
          <w:sz w:val="20"/>
          <w:szCs w:val="20"/>
        </w:rPr>
        <w:t>低</w:t>
      </w:r>
      <w:r w:rsidR="00D44DBB">
        <w:rPr>
          <w:rFonts w:asciiTheme="minorEastAsia" w:hAnsiTheme="minorEastAsia" w:hint="eastAsia"/>
          <w:sz w:val="20"/>
          <w:szCs w:val="20"/>
        </w:rPr>
        <w:t>く、全国より</w:t>
      </w:r>
      <w:r w:rsidR="00C4664D">
        <w:rPr>
          <w:rFonts w:asciiTheme="minorEastAsia" w:hAnsiTheme="minorEastAsia" w:hint="eastAsia"/>
          <w:sz w:val="20"/>
          <w:szCs w:val="20"/>
        </w:rPr>
        <w:t>0.4</w:t>
      </w:r>
      <w:r w:rsidR="00D44DBB">
        <w:rPr>
          <w:rFonts w:asciiTheme="minorEastAsia" w:hAnsiTheme="minorEastAsia" w:hint="eastAsia"/>
          <w:sz w:val="20"/>
          <w:szCs w:val="20"/>
        </w:rPr>
        <w:t>ポイント</w:t>
      </w:r>
      <w:r w:rsidR="00C4664D">
        <w:rPr>
          <w:rFonts w:asciiTheme="minorEastAsia" w:hAnsiTheme="minorEastAsia" w:hint="eastAsia"/>
          <w:sz w:val="20"/>
          <w:szCs w:val="20"/>
        </w:rPr>
        <w:t>高い</w:t>
      </w:r>
      <w:r w:rsidR="00D04ECD">
        <w:rPr>
          <w:rFonts w:asciiTheme="minorEastAsia" w:hAnsiTheme="minorEastAsia" w:hint="eastAsia"/>
          <w:sz w:val="20"/>
          <w:szCs w:val="20"/>
        </w:rPr>
        <w:t>。</w:t>
      </w:r>
      <w:r w:rsidR="008E483F" w:rsidRPr="001A53F0">
        <w:rPr>
          <w:rFonts w:asciiTheme="minorEastAsia" w:hAnsiTheme="minorEastAsia" w:hint="eastAsia"/>
          <w:sz w:val="20"/>
          <w:szCs w:val="20"/>
        </w:rPr>
        <w:t>製造業</w:t>
      </w:r>
      <w:r w:rsidR="00581634" w:rsidRPr="001A53F0">
        <w:rPr>
          <w:rFonts w:asciiTheme="minorEastAsia" w:hAnsiTheme="minorEastAsia" w:hint="eastAsia"/>
          <w:sz w:val="20"/>
          <w:szCs w:val="20"/>
        </w:rPr>
        <w:t>は</w:t>
      </w:r>
      <w:r w:rsidR="00614824" w:rsidRPr="001A53F0">
        <w:rPr>
          <w:rFonts w:asciiTheme="minorEastAsia" w:hAnsiTheme="minorEastAsia" w:hint="eastAsia"/>
          <w:sz w:val="20"/>
          <w:szCs w:val="20"/>
        </w:rPr>
        <w:t>－</w:t>
      </w:r>
      <w:r w:rsidR="00C4664D">
        <w:rPr>
          <w:rFonts w:asciiTheme="minorEastAsia" w:hAnsiTheme="minorEastAsia" w:hint="eastAsia"/>
          <w:sz w:val="20"/>
          <w:szCs w:val="20"/>
        </w:rPr>
        <w:t>9.8</w:t>
      </w:r>
      <w:r w:rsidR="00614824" w:rsidRPr="001A53F0">
        <w:rPr>
          <w:rFonts w:asciiTheme="minorEastAsia" w:hAnsiTheme="minorEastAsia" w:hint="eastAsia"/>
          <w:sz w:val="20"/>
          <w:szCs w:val="20"/>
        </w:rPr>
        <w:t>（前期差</w:t>
      </w:r>
      <w:r w:rsidR="00C4664D">
        <w:rPr>
          <w:rFonts w:asciiTheme="minorEastAsia" w:hAnsiTheme="minorEastAsia" w:hint="eastAsia"/>
          <w:sz w:val="20"/>
          <w:szCs w:val="20"/>
        </w:rPr>
        <w:t>6.7</w:t>
      </w:r>
      <w:r w:rsidR="00F34826">
        <w:rPr>
          <w:rFonts w:asciiTheme="minorEastAsia" w:hAnsiTheme="minorEastAsia" w:hint="eastAsia"/>
          <w:sz w:val="20"/>
          <w:szCs w:val="20"/>
        </w:rPr>
        <w:t>ポイント</w:t>
      </w:r>
      <w:r w:rsidR="00EF09F5">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w:t>
      </w:r>
      <w:r w:rsidR="00D9023B" w:rsidRPr="001A53F0">
        <w:rPr>
          <w:rFonts w:asciiTheme="minorEastAsia" w:hAnsiTheme="minorEastAsia" w:hint="eastAsia"/>
          <w:sz w:val="20"/>
          <w:szCs w:val="20"/>
        </w:rPr>
        <w:t>近畿</w:t>
      </w:r>
      <w:r w:rsidR="00F34826">
        <w:rPr>
          <w:rFonts w:asciiTheme="minorEastAsia" w:hAnsiTheme="minorEastAsia" w:hint="eastAsia"/>
          <w:sz w:val="20"/>
          <w:szCs w:val="20"/>
        </w:rPr>
        <w:t>よりも</w:t>
      </w:r>
      <w:r w:rsidR="00C4664D">
        <w:rPr>
          <w:rFonts w:asciiTheme="minorEastAsia" w:hAnsiTheme="minorEastAsia" w:hint="eastAsia"/>
          <w:sz w:val="20"/>
          <w:szCs w:val="20"/>
        </w:rPr>
        <w:t>0.2</w:t>
      </w:r>
      <w:r w:rsidR="00F34826">
        <w:rPr>
          <w:rFonts w:asciiTheme="minorEastAsia" w:hAnsiTheme="minorEastAsia" w:hint="eastAsia"/>
          <w:sz w:val="20"/>
          <w:szCs w:val="20"/>
        </w:rPr>
        <w:t>ポイント低く、</w:t>
      </w:r>
      <w:r w:rsidR="00614824" w:rsidRPr="001A53F0">
        <w:rPr>
          <w:rFonts w:asciiTheme="minorEastAsia" w:hAnsiTheme="minorEastAsia" w:hint="eastAsia"/>
          <w:sz w:val="20"/>
          <w:szCs w:val="20"/>
        </w:rPr>
        <w:t>全国より</w:t>
      </w:r>
      <w:r w:rsidR="00C4664D">
        <w:rPr>
          <w:rFonts w:asciiTheme="minorEastAsia" w:hAnsiTheme="minorEastAsia" w:hint="eastAsia"/>
          <w:sz w:val="20"/>
          <w:szCs w:val="20"/>
        </w:rPr>
        <w:t>3.2</w:t>
      </w:r>
      <w:r w:rsidR="00D9023B" w:rsidRPr="001A53F0">
        <w:rPr>
          <w:rFonts w:asciiTheme="minorEastAsia" w:hAnsiTheme="minorEastAsia" w:hint="eastAsia"/>
          <w:sz w:val="20"/>
          <w:szCs w:val="20"/>
        </w:rPr>
        <w:t>ポイント</w:t>
      </w:r>
      <w:r w:rsidR="00C4664D">
        <w:rPr>
          <w:rFonts w:asciiTheme="minorEastAsia" w:hAnsiTheme="minorEastAsia" w:hint="eastAsia"/>
          <w:sz w:val="20"/>
          <w:szCs w:val="20"/>
        </w:rPr>
        <w:t>高い</w:t>
      </w:r>
      <w:r w:rsidR="00906799" w:rsidRPr="001A53F0">
        <w:rPr>
          <w:rFonts w:asciiTheme="minorEastAsia" w:hAnsiTheme="minorEastAsia" w:hint="eastAsia"/>
          <w:sz w:val="20"/>
          <w:szCs w:val="20"/>
        </w:rPr>
        <w:t>。非製造業は</w:t>
      </w:r>
      <w:r w:rsidR="00614824" w:rsidRPr="001A53F0">
        <w:rPr>
          <w:rFonts w:asciiTheme="minorEastAsia" w:hAnsiTheme="minorEastAsia" w:hint="eastAsia"/>
          <w:sz w:val="20"/>
          <w:szCs w:val="20"/>
        </w:rPr>
        <w:t>－</w:t>
      </w:r>
      <w:r w:rsidR="00C4664D">
        <w:rPr>
          <w:rFonts w:asciiTheme="minorEastAsia" w:hAnsiTheme="minorEastAsia" w:hint="eastAsia"/>
          <w:sz w:val="20"/>
          <w:szCs w:val="20"/>
        </w:rPr>
        <w:t>19.7</w:t>
      </w:r>
      <w:r w:rsidR="00614824" w:rsidRPr="001A53F0">
        <w:rPr>
          <w:rFonts w:asciiTheme="minorEastAsia" w:hAnsiTheme="minorEastAsia" w:hint="eastAsia"/>
          <w:sz w:val="20"/>
          <w:szCs w:val="20"/>
        </w:rPr>
        <w:t>（前期差</w:t>
      </w:r>
      <w:r w:rsidR="00C4664D">
        <w:rPr>
          <w:rFonts w:asciiTheme="minorEastAsia" w:hAnsiTheme="minorEastAsia" w:hint="eastAsia"/>
          <w:sz w:val="20"/>
          <w:szCs w:val="20"/>
        </w:rPr>
        <w:t>1.5</w:t>
      </w:r>
      <w:r w:rsidR="00EF09F5">
        <w:rPr>
          <w:rFonts w:asciiTheme="minorEastAsia" w:hAnsiTheme="minorEastAsia" w:hint="eastAsia"/>
          <w:sz w:val="20"/>
          <w:szCs w:val="20"/>
        </w:rPr>
        <w:t>ポイント</w:t>
      </w:r>
      <w:r w:rsidR="00C4664D">
        <w:rPr>
          <w:rFonts w:asciiTheme="minorEastAsia" w:hAnsiTheme="minorEastAsia" w:hint="eastAsia"/>
          <w:sz w:val="20"/>
          <w:szCs w:val="20"/>
        </w:rPr>
        <w:t>増</w:t>
      </w:r>
      <w:r w:rsidR="00614824" w:rsidRPr="001A53F0">
        <w:rPr>
          <w:rFonts w:asciiTheme="minorEastAsia" w:hAnsiTheme="minorEastAsia" w:hint="eastAsia"/>
          <w:sz w:val="20"/>
          <w:szCs w:val="20"/>
        </w:rPr>
        <w:t>）</w:t>
      </w:r>
      <w:r w:rsidR="00791F61">
        <w:rPr>
          <w:rFonts w:asciiTheme="minorEastAsia" w:hAnsiTheme="minorEastAsia" w:hint="eastAsia"/>
          <w:sz w:val="20"/>
          <w:szCs w:val="20"/>
        </w:rPr>
        <w:t>で</w:t>
      </w:r>
      <w:r w:rsidR="00614824" w:rsidRPr="001A53F0">
        <w:rPr>
          <w:rFonts w:asciiTheme="minorEastAsia" w:hAnsiTheme="minorEastAsia" w:hint="eastAsia"/>
          <w:sz w:val="20"/>
          <w:szCs w:val="20"/>
        </w:rPr>
        <w:t>、</w:t>
      </w:r>
      <w:r w:rsidR="00D04ECD">
        <w:rPr>
          <w:rFonts w:asciiTheme="minorEastAsia" w:hAnsiTheme="minorEastAsia" w:hint="eastAsia"/>
          <w:sz w:val="20"/>
          <w:szCs w:val="20"/>
        </w:rPr>
        <w:t>ＤＩの水準は</w:t>
      </w:r>
      <w:r w:rsidR="00614824" w:rsidRPr="001A53F0">
        <w:rPr>
          <w:rFonts w:asciiTheme="minorEastAsia" w:hAnsiTheme="minorEastAsia" w:hint="eastAsia"/>
          <w:sz w:val="20"/>
          <w:szCs w:val="20"/>
        </w:rPr>
        <w:t>、近畿</w:t>
      </w:r>
      <w:r w:rsidR="004545C6">
        <w:rPr>
          <w:rFonts w:asciiTheme="minorEastAsia" w:hAnsiTheme="minorEastAsia" w:hint="eastAsia"/>
          <w:sz w:val="20"/>
          <w:szCs w:val="20"/>
        </w:rPr>
        <w:t>より</w:t>
      </w:r>
      <w:r w:rsidR="00C4664D">
        <w:rPr>
          <w:rFonts w:asciiTheme="minorEastAsia" w:hAnsiTheme="minorEastAsia" w:hint="eastAsia"/>
          <w:sz w:val="20"/>
          <w:szCs w:val="20"/>
        </w:rPr>
        <w:t>1.7</w:t>
      </w:r>
      <w:r w:rsidR="004545C6">
        <w:rPr>
          <w:rFonts w:asciiTheme="minorEastAsia" w:hAnsiTheme="minorEastAsia" w:hint="eastAsia"/>
          <w:sz w:val="20"/>
          <w:szCs w:val="20"/>
        </w:rPr>
        <w:t>ポイント低く、</w:t>
      </w:r>
      <w:r w:rsidR="00D44DBB">
        <w:rPr>
          <w:rFonts w:asciiTheme="minorEastAsia" w:hAnsiTheme="minorEastAsia" w:hint="eastAsia"/>
          <w:sz w:val="20"/>
          <w:szCs w:val="20"/>
        </w:rPr>
        <w:t>全国</w:t>
      </w:r>
      <w:r w:rsidR="00614824" w:rsidRPr="001A53F0">
        <w:rPr>
          <w:rFonts w:asciiTheme="minorEastAsia" w:hAnsiTheme="minorEastAsia" w:hint="eastAsia"/>
          <w:sz w:val="20"/>
          <w:szCs w:val="20"/>
        </w:rPr>
        <w:t>より</w:t>
      </w:r>
      <w:r w:rsidR="00C4664D">
        <w:rPr>
          <w:rFonts w:asciiTheme="minorEastAsia" w:hAnsiTheme="minorEastAsia" w:hint="eastAsia"/>
          <w:sz w:val="20"/>
          <w:szCs w:val="20"/>
        </w:rPr>
        <w:t>1.3</w:t>
      </w:r>
      <w:r w:rsidR="00614824" w:rsidRPr="001A53F0">
        <w:rPr>
          <w:rFonts w:asciiTheme="minorEastAsia" w:hAnsiTheme="minorEastAsia" w:hint="eastAsia"/>
          <w:sz w:val="20"/>
          <w:szCs w:val="20"/>
        </w:rPr>
        <w:t>ポイント</w:t>
      </w:r>
      <w:r w:rsidR="004545C6">
        <w:rPr>
          <w:rFonts w:asciiTheme="minorEastAsia" w:hAnsiTheme="minorEastAsia" w:hint="eastAsia"/>
          <w:sz w:val="20"/>
          <w:szCs w:val="20"/>
        </w:rPr>
        <w:t>低い</w:t>
      </w:r>
      <w:r w:rsidR="00614824" w:rsidRPr="001A53F0">
        <w:rPr>
          <w:rFonts w:asciiTheme="minorEastAsia" w:hAnsiTheme="minorEastAsia" w:hint="eastAsia"/>
          <w:sz w:val="20"/>
          <w:szCs w:val="20"/>
        </w:rPr>
        <w:t>。</w:t>
      </w:r>
    </w:p>
    <w:p w:rsidR="00A5610D" w:rsidRPr="008F7EB0" w:rsidRDefault="00FE1CF9" w:rsidP="00D44DBB">
      <w:pPr>
        <w:ind w:firstLineChars="100" w:firstLine="200"/>
        <w:rPr>
          <w:rFonts w:asciiTheme="minorEastAsia" w:hAnsiTheme="minorEastAsia"/>
          <w:sz w:val="20"/>
          <w:szCs w:val="20"/>
        </w:rPr>
      </w:pPr>
      <w:r w:rsidRPr="006153E3">
        <w:rPr>
          <w:rFonts w:asciiTheme="minorEastAsia" w:hAnsiTheme="minorEastAsia" w:hint="eastAsia"/>
          <w:sz w:val="20"/>
          <w:szCs w:val="20"/>
        </w:rPr>
        <w:t>今期の全国の業況判断ＤＩ</w:t>
      </w:r>
      <w:r w:rsidR="00D44DBB" w:rsidRPr="006153E3">
        <w:rPr>
          <w:rFonts w:asciiTheme="minorEastAsia" w:hAnsiTheme="minorEastAsia" w:hint="eastAsia"/>
          <w:sz w:val="20"/>
          <w:szCs w:val="20"/>
        </w:rPr>
        <w:t>は</w:t>
      </w:r>
      <w:r w:rsidR="00C22643">
        <w:rPr>
          <w:rFonts w:asciiTheme="minorEastAsia" w:hAnsiTheme="minorEastAsia" w:hint="eastAsia"/>
          <w:sz w:val="20"/>
          <w:szCs w:val="20"/>
        </w:rPr>
        <w:t>、</w:t>
      </w:r>
      <w:r w:rsidR="007B7692" w:rsidRPr="006153E3">
        <w:rPr>
          <w:rFonts w:asciiTheme="minorEastAsia" w:hAnsiTheme="minorEastAsia" w:hint="eastAsia"/>
          <w:sz w:val="20"/>
          <w:szCs w:val="20"/>
        </w:rPr>
        <w:t>全</w:t>
      </w:r>
      <w:r w:rsidR="00EF09F5">
        <w:rPr>
          <w:rFonts w:asciiTheme="minorEastAsia" w:hAnsiTheme="minorEastAsia" w:hint="eastAsia"/>
          <w:sz w:val="20"/>
          <w:szCs w:val="20"/>
        </w:rPr>
        <w:t>産業</w:t>
      </w:r>
      <w:r w:rsidR="007B7692" w:rsidRPr="006153E3">
        <w:rPr>
          <w:rFonts w:asciiTheme="minorEastAsia" w:hAnsiTheme="minorEastAsia" w:hint="eastAsia"/>
          <w:sz w:val="20"/>
          <w:szCs w:val="20"/>
        </w:rPr>
        <w:t>で</w:t>
      </w:r>
      <w:r w:rsidR="00EF09F5">
        <w:rPr>
          <w:rFonts w:asciiTheme="minorEastAsia" w:hAnsiTheme="minorEastAsia" w:hint="eastAsia"/>
          <w:sz w:val="20"/>
          <w:szCs w:val="20"/>
        </w:rPr>
        <w:t>２</w:t>
      </w:r>
      <w:r w:rsidR="000D6315" w:rsidRPr="006153E3">
        <w:rPr>
          <w:rFonts w:asciiTheme="minorEastAsia" w:hAnsiTheme="minorEastAsia" w:hint="eastAsia"/>
          <w:sz w:val="20"/>
          <w:szCs w:val="20"/>
        </w:rPr>
        <w:t>期ぶりに</w:t>
      </w:r>
      <w:r w:rsidR="00C4664D">
        <w:rPr>
          <w:rFonts w:asciiTheme="minorEastAsia" w:hAnsiTheme="minorEastAsia" w:hint="eastAsia"/>
          <w:sz w:val="20"/>
          <w:szCs w:val="20"/>
        </w:rPr>
        <w:t>上昇したが、判断は</w:t>
      </w:r>
      <w:r w:rsidRPr="006153E3">
        <w:rPr>
          <w:rFonts w:asciiTheme="minorEastAsia" w:hAnsiTheme="minorEastAsia" w:hint="eastAsia"/>
          <w:sz w:val="20"/>
          <w:szCs w:val="20"/>
        </w:rPr>
        <w:t>「中小企業の業況は、</w:t>
      </w:r>
      <w:r w:rsidR="00D44DBB" w:rsidRPr="006153E3">
        <w:rPr>
          <w:rFonts w:asciiTheme="minorEastAsia" w:hAnsiTheme="minorEastAsia" w:hint="eastAsia"/>
          <w:sz w:val="20"/>
          <w:szCs w:val="20"/>
        </w:rPr>
        <w:t>一部業種に足踏みが見られるものの、持ち直しの動きを示している」と</w:t>
      </w:r>
      <w:r w:rsidR="00CA1B34">
        <w:rPr>
          <w:rFonts w:asciiTheme="minorEastAsia" w:hAnsiTheme="minorEastAsia" w:hint="eastAsia"/>
          <w:sz w:val="20"/>
          <w:szCs w:val="20"/>
        </w:rPr>
        <w:t>据え置かれた</w:t>
      </w:r>
      <w:r w:rsidR="00BD00CD">
        <w:rPr>
          <w:rFonts w:asciiTheme="minorEastAsia" w:hAnsiTheme="minorEastAsia" w:hint="eastAsia"/>
          <w:sz w:val="20"/>
          <w:szCs w:val="20"/>
        </w:rPr>
        <w:t>。</w:t>
      </w:r>
      <w:r w:rsidR="009149F1" w:rsidRPr="008F7EB0">
        <w:rPr>
          <w:rFonts w:asciiTheme="minorEastAsia" w:hAnsiTheme="minorEastAsia" w:hint="eastAsia"/>
          <w:sz w:val="20"/>
          <w:szCs w:val="20"/>
        </w:rPr>
        <w:t>近畿は、</w:t>
      </w:r>
      <w:r w:rsidR="008F7EB0" w:rsidRPr="008F7EB0">
        <w:rPr>
          <w:rFonts w:asciiTheme="minorEastAsia" w:hAnsiTheme="minorEastAsia" w:hint="eastAsia"/>
          <w:sz w:val="20"/>
          <w:szCs w:val="20"/>
        </w:rPr>
        <w:t>全産業と製造業が</w:t>
      </w:r>
      <w:r w:rsidR="00CA1B34" w:rsidRPr="008F7EB0">
        <w:rPr>
          <w:rFonts w:asciiTheme="minorEastAsia" w:hAnsiTheme="minorEastAsia" w:hint="eastAsia"/>
          <w:sz w:val="20"/>
          <w:szCs w:val="20"/>
        </w:rPr>
        <w:t>２</w:t>
      </w:r>
      <w:r w:rsidR="009149F1" w:rsidRPr="008F7EB0">
        <w:rPr>
          <w:rFonts w:asciiTheme="minorEastAsia" w:hAnsiTheme="minorEastAsia" w:hint="eastAsia"/>
          <w:sz w:val="20"/>
          <w:szCs w:val="20"/>
        </w:rPr>
        <w:t>期</w:t>
      </w:r>
      <w:r w:rsidR="00CA1B34" w:rsidRPr="008F7EB0">
        <w:rPr>
          <w:rFonts w:asciiTheme="minorEastAsia" w:hAnsiTheme="minorEastAsia" w:hint="eastAsia"/>
          <w:sz w:val="20"/>
          <w:szCs w:val="20"/>
        </w:rPr>
        <w:t>連続で上昇、</w:t>
      </w:r>
      <w:r w:rsidR="00697371" w:rsidRPr="008F7EB0">
        <w:rPr>
          <w:rFonts w:asciiTheme="minorEastAsia" w:hAnsiTheme="minorEastAsia" w:hint="eastAsia"/>
          <w:sz w:val="20"/>
          <w:szCs w:val="20"/>
        </w:rPr>
        <w:t>非製造業</w:t>
      </w:r>
      <w:r w:rsidR="008F7EB0" w:rsidRPr="008F7EB0">
        <w:rPr>
          <w:rFonts w:asciiTheme="minorEastAsia" w:hAnsiTheme="minorEastAsia" w:hint="eastAsia"/>
          <w:sz w:val="20"/>
          <w:szCs w:val="20"/>
        </w:rPr>
        <w:t>が</w:t>
      </w:r>
      <w:r w:rsidR="00CA1B34" w:rsidRPr="008F7EB0">
        <w:rPr>
          <w:rFonts w:asciiTheme="minorEastAsia" w:hAnsiTheme="minorEastAsia" w:hint="eastAsia"/>
          <w:sz w:val="20"/>
          <w:szCs w:val="20"/>
        </w:rPr>
        <w:t>３期連続で上昇し</w:t>
      </w:r>
      <w:r w:rsidR="00C87426">
        <w:rPr>
          <w:rFonts w:asciiTheme="minorEastAsia" w:hAnsiTheme="minorEastAsia" w:hint="eastAsia"/>
          <w:sz w:val="20"/>
          <w:szCs w:val="20"/>
        </w:rPr>
        <w:t>、全国と同様の判断で</w:t>
      </w:r>
      <w:r w:rsidR="003E3EE1">
        <w:rPr>
          <w:rFonts w:asciiTheme="minorEastAsia" w:hAnsiTheme="minorEastAsia" w:hint="eastAsia"/>
          <w:sz w:val="20"/>
          <w:szCs w:val="20"/>
        </w:rPr>
        <w:t>、前期の判断で据え置かれた</w:t>
      </w:r>
      <w:r w:rsidR="00C87426">
        <w:rPr>
          <w:rFonts w:asciiTheme="minorEastAsia" w:hAnsiTheme="minorEastAsia" w:hint="eastAsia"/>
          <w:sz w:val="20"/>
          <w:szCs w:val="20"/>
        </w:rPr>
        <w:t>。</w:t>
      </w:r>
    </w:p>
    <w:p w:rsidR="00AD2511" w:rsidRPr="006153E3" w:rsidRDefault="00C87426" w:rsidP="00326123">
      <w:pPr>
        <w:ind w:firstLineChars="100" w:firstLine="200"/>
        <w:rPr>
          <w:rFonts w:asciiTheme="minorEastAsia" w:hAnsiTheme="minorEastAsia"/>
          <w:sz w:val="20"/>
          <w:szCs w:val="20"/>
        </w:rPr>
      </w:pPr>
      <w:r>
        <w:rPr>
          <w:rFonts w:asciiTheme="minorEastAsia" w:hAnsiTheme="minorEastAsia" w:hint="eastAsia"/>
          <w:sz w:val="20"/>
          <w:szCs w:val="20"/>
        </w:rPr>
        <w:t>近畿</w:t>
      </w:r>
      <w:r w:rsidR="00CA1B34">
        <w:rPr>
          <w:rFonts w:asciiTheme="minorEastAsia" w:hAnsiTheme="minorEastAsia" w:hint="eastAsia"/>
          <w:sz w:val="20"/>
          <w:szCs w:val="20"/>
        </w:rPr>
        <w:t>の</w:t>
      </w:r>
      <w:r w:rsidR="009149F1" w:rsidRPr="006153E3">
        <w:rPr>
          <w:rFonts w:asciiTheme="minorEastAsia" w:hAnsiTheme="minorEastAsia" w:hint="eastAsia"/>
          <w:sz w:val="20"/>
          <w:szCs w:val="20"/>
        </w:rPr>
        <w:t>各業種の</w:t>
      </w:r>
      <w:r w:rsidR="004363A7" w:rsidRPr="006153E3">
        <w:rPr>
          <w:rFonts w:asciiTheme="minorEastAsia" w:hAnsiTheme="minorEastAsia" w:hint="eastAsia"/>
          <w:sz w:val="20"/>
          <w:szCs w:val="20"/>
        </w:rPr>
        <w:t>業況</w:t>
      </w:r>
      <w:r w:rsidR="00AD2511" w:rsidRPr="006153E3">
        <w:rPr>
          <w:rFonts w:asciiTheme="minorEastAsia" w:hAnsiTheme="minorEastAsia" w:hint="eastAsia"/>
          <w:sz w:val="20"/>
          <w:szCs w:val="20"/>
        </w:rPr>
        <w:t>判断</w:t>
      </w:r>
      <w:r w:rsidR="00B96DFA" w:rsidRPr="006153E3">
        <w:rPr>
          <w:rFonts w:asciiTheme="minorEastAsia" w:hAnsiTheme="minorEastAsia" w:hint="eastAsia"/>
          <w:sz w:val="20"/>
          <w:szCs w:val="20"/>
        </w:rPr>
        <w:t>のうち</w:t>
      </w:r>
      <w:r w:rsidR="00D10CBE"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製造業で</w:t>
      </w:r>
      <w:r w:rsidR="00257CE4" w:rsidRPr="006153E3">
        <w:rPr>
          <w:rFonts w:asciiTheme="minorEastAsia" w:hAnsiTheme="minorEastAsia" w:hint="eastAsia"/>
          <w:sz w:val="20"/>
          <w:szCs w:val="20"/>
        </w:rPr>
        <w:t>プラスの水準</w:t>
      </w:r>
      <w:r w:rsidR="00B96DFA" w:rsidRPr="006153E3">
        <w:rPr>
          <w:rFonts w:asciiTheme="minorEastAsia" w:hAnsiTheme="minorEastAsia" w:hint="eastAsia"/>
          <w:sz w:val="20"/>
          <w:szCs w:val="20"/>
        </w:rPr>
        <w:t>にある</w:t>
      </w:r>
      <w:r w:rsidR="00CA1B34">
        <w:rPr>
          <w:rFonts w:asciiTheme="minorEastAsia" w:hAnsiTheme="minorEastAsia" w:hint="eastAsia"/>
          <w:sz w:val="20"/>
          <w:szCs w:val="20"/>
        </w:rPr>
        <w:t>業種は</w:t>
      </w:r>
      <w:r>
        <w:rPr>
          <w:rFonts w:asciiTheme="minorEastAsia" w:hAnsiTheme="minorEastAsia" w:hint="eastAsia"/>
          <w:sz w:val="20"/>
          <w:szCs w:val="20"/>
        </w:rPr>
        <w:t>、</w:t>
      </w:r>
      <w:r w:rsidRPr="00C87426">
        <w:rPr>
          <w:rFonts w:asciiTheme="minorEastAsia" w:hAnsiTheme="minorEastAsia" w:hint="eastAsia"/>
          <w:sz w:val="20"/>
          <w:szCs w:val="20"/>
        </w:rPr>
        <w:t>パルプ・紙・紙加工品</w:t>
      </w:r>
      <w:r>
        <w:rPr>
          <w:rFonts w:asciiTheme="minorEastAsia" w:hAnsiTheme="minorEastAsia" w:hint="eastAsia"/>
          <w:sz w:val="20"/>
          <w:szCs w:val="20"/>
        </w:rPr>
        <w:t>と鉄鋼・非鉄金属で</w:t>
      </w:r>
      <w:r w:rsidR="00A40F7F">
        <w:rPr>
          <w:rFonts w:asciiTheme="minorEastAsia" w:hAnsiTheme="minorEastAsia" w:hint="eastAsia"/>
          <w:sz w:val="20"/>
          <w:szCs w:val="20"/>
        </w:rPr>
        <w:t>ある。</w:t>
      </w:r>
      <w:r w:rsidR="006B4265">
        <w:rPr>
          <w:rFonts w:asciiTheme="minorEastAsia" w:hAnsiTheme="minorEastAsia" w:hint="eastAsia"/>
          <w:sz w:val="20"/>
          <w:szCs w:val="20"/>
        </w:rPr>
        <w:t>前期差で</w:t>
      </w:r>
      <w:r w:rsidR="00AA5F43">
        <w:rPr>
          <w:rFonts w:asciiTheme="minorEastAsia" w:hAnsiTheme="minorEastAsia" w:hint="eastAsia"/>
          <w:sz w:val="20"/>
          <w:szCs w:val="20"/>
        </w:rPr>
        <w:t>上昇した業種</w:t>
      </w:r>
      <w:r>
        <w:rPr>
          <w:rFonts w:asciiTheme="minorEastAsia" w:hAnsiTheme="minorEastAsia" w:hint="eastAsia"/>
          <w:sz w:val="20"/>
          <w:szCs w:val="20"/>
        </w:rPr>
        <w:t>は、木材・木製品、家具・装備品、窯業・土石製品、</w:t>
      </w:r>
      <w:r w:rsidR="00A40F7F">
        <w:rPr>
          <w:rFonts w:asciiTheme="minorEastAsia" w:hAnsiTheme="minorEastAsia" w:hint="eastAsia"/>
          <w:sz w:val="20"/>
          <w:szCs w:val="20"/>
        </w:rPr>
        <w:t>鉄鋼・非鉄金属、金属製品、機械器</w:t>
      </w:r>
      <w:bookmarkStart w:id="0" w:name="_GoBack"/>
      <w:bookmarkEnd w:id="0"/>
      <w:r w:rsidR="00A40F7F">
        <w:rPr>
          <w:rFonts w:asciiTheme="minorEastAsia" w:hAnsiTheme="minorEastAsia" w:hint="eastAsia"/>
          <w:sz w:val="20"/>
          <w:szCs w:val="20"/>
        </w:rPr>
        <w:t>具、輸送用機械器具の</w:t>
      </w:r>
      <w:r w:rsidR="00516F6E">
        <w:rPr>
          <w:rFonts w:asciiTheme="minorEastAsia" w:hAnsiTheme="minorEastAsia" w:hint="eastAsia"/>
          <w:sz w:val="20"/>
          <w:szCs w:val="20"/>
        </w:rPr>
        <w:t>計</w:t>
      </w:r>
      <w:r w:rsidR="00A40F7F">
        <w:rPr>
          <w:rFonts w:asciiTheme="minorEastAsia" w:hAnsiTheme="minorEastAsia" w:hint="eastAsia"/>
          <w:sz w:val="20"/>
          <w:szCs w:val="20"/>
        </w:rPr>
        <w:t>７</w:t>
      </w:r>
      <w:r w:rsidR="00516F6E">
        <w:rPr>
          <w:rFonts w:asciiTheme="minorEastAsia" w:hAnsiTheme="minorEastAsia" w:hint="eastAsia"/>
          <w:sz w:val="20"/>
          <w:szCs w:val="20"/>
        </w:rPr>
        <w:t>業種</w:t>
      </w:r>
      <w:r w:rsidR="00A40F7F">
        <w:rPr>
          <w:rFonts w:asciiTheme="minorEastAsia" w:hAnsiTheme="minorEastAsia" w:hint="eastAsia"/>
          <w:sz w:val="20"/>
          <w:szCs w:val="20"/>
        </w:rPr>
        <w:t>で、低下した業種は、食料品、</w:t>
      </w:r>
      <w:r w:rsidR="00516F6E">
        <w:rPr>
          <w:rFonts w:asciiTheme="minorEastAsia" w:hAnsiTheme="minorEastAsia" w:hint="eastAsia"/>
          <w:sz w:val="20"/>
          <w:szCs w:val="20"/>
        </w:rPr>
        <w:t>繊維工業、</w:t>
      </w:r>
      <w:r w:rsidR="00A40F7F">
        <w:rPr>
          <w:rFonts w:asciiTheme="minorEastAsia" w:hAnsiTheme="minorEastAsia" w:hint="eastAsia"/>
          <w:sz w:val="20"/>
          <w:szCs w:val="20"/>
        </w:rPr>
        <w:t>パルプ・</w:t>
      </w:r>
      <w:r w:rsidR="00A40F7F">
        <w:rPr>
          <w:rFonts w:asciiTheme="minorEastAsia" w:hAnsiTheme="minorEastAsia" w:hint="eastAsia"/>
          <w:sz w:val="20"/>
          <w:szCs w:val="20"/>
        </w:rPr>
        <w:lastRenderedPageBreak/>
        <w:t>紙・紙加工品、印刷、化学、電気・情報通信機械・電子部品、</w:t>
      </w:r>
      <w:r w:rsidR="00741235">
        <w:rPr>
          <w:rFonts w:asciiTheme="minorEastAsia" w:hAnsiTheme="minorEastAsia" w:hint="eastAsia"/>
          <w:sz w:val="20"/>
          <w:szCs w:val="20"/>
        </w:rPr>
        <w:t>その他の製造業</w:t>
      </w:r>
      <w:r w:rsidR="007D6CFA">
        <w:rPr>
          <w:rFonts w:asciiTheme="minorEastAsia" w:hAnsiTheme="minorEastAsia" w:hint="eastAsia"/>
          <w:sz w:val="20"/>
          <w:szCs w:val="20"/>
        </w:rPr>
        <w:t>の</w:t>
      </w:r>
      <w:r w:rsidR="001C5BB0">
        <w:rPr>
          <w:rFonts w:asciiTheme="minorEastAsia" w:hAnsiTheme="minorEastAsia" w:hint="eastAsia"/>
          <w:sz w:val="20"/>
          <w:szCs w:val="20"/>
        </w:rPr>
        <w:t>計７</w:t>
      </w:r>
      <w:r w:rsidR="007D6CFA">
        <w:rPr>
          <w:rFonts w:asciiTheme="minorEastAsia" w:hAnsiTheme="minorEastAsia" w:hint="eastAsia"/>
          <w:sz w:val="20"/>
          <w:szCs w:val="20"/>
        </w:rPr>
        <w:t>業種</w:t>
      </w:r>
      <w:r w:rsidR="00A40F7F">
        <w:rPr>
          <w:rFonts w:asciiTheme="minorEastAsia" w:hAnsiTheme="minorEastAsia" w:hint="eastAsia"/>
          <w:sz w:val="20"/>
          <w:szCs w:val="20"/>
        </w:rPr>
        <w:t>である</w:t>
      </w:r>
      <w:r w:rsidR="007D6CFA">
        <w:rPr>
          <w:rFonts w:asciiTheme="minorEastAsia" w:hAnsiTheme="minorEastAsia" w:hint="eastAsia"/>
          <w:sz w:val="20"/>
          <w:szCs w:val="20"/>
        </w:rPr>
        <w:t>。</w:t>
      </w:r>
      <w:r w:rsidR="00326123" w:rsidRPr="006153E3">
        <w:rPr>
          <w:rFonts w:asciiTheme="minorEastAsia" w:hAnsiTheme="minorEastAsia" w:hint="eastAsia"/>
          <w:sz w:val="20"/>
          <w:szCs w:val="20"/>
        </w:rPr>
        <w:t>非製造業でプラスの水準にある業種は</w:t>
      </w:r>
      <w:r w:rsidR="00516F6E">
        <w:rPr>
          <w:rFonts w:asciiTheme="minorEastAsia" w:hAnsiTheme="minorEastAsia" w:hint="eastAsia"/>
          <w:sz w:val="20"/>
          <w:szCs w:val="20"/>
        </w:rPr>
        <w:t>な</w:t>
      </w:r>
      <w:r w:rsidR="00181EE2">
        <w:rPr>
          <w:rFonts w:asciiTheme="minorEastAsia" w:hAnsiTheme="minorEastAsia" w:hint="eastAsia"/>
          <w:sz w:val="20"/>
          <w:szCs w:val="20"/>
        </w:rPr>
        <w:t>い。</w:t>
      </w:r>
      <w:r w:rsidR="00326123" w:rsidRPr="006153E3">
        <w:rPr>
          <w:rFonts w:asciiTheme="minorEastAsia" w:hAnsiTheme="minorEastAsia" w:hint="eastAsia"/>
          <w:sz w:val="20"/>
          <w:szCs w:val="20"/>
        </w:rPr>
        <w:t>前期差</w:t>
      </w:r>
      <w:r w:rsidR="001C5BB0">
        <w:rPr>
          <w:rFonts w:asciiTheme="minorEastAsia" w:hAnsiTheme="minorEastAsia" w:hint="eastAsia"/>
          <w:sz w:val="20"/>
          <w:szCs w:val="20"/>
        </w:rPr>
        <w:t>で</w:t>
      </w:r>
      <w:r w:rsidR="00AA5F43">
        <w:rPr>
          <w:rFonts w:asciiTheme="minorEastAsia" w:hAnsiTheme="minorEastAsia" w:hint="eastAsia"/>
          <w:sz w:val="20"/>
          <w:szCs w:val="20"/>
        </w:rPr>
        <w:t>上昇した業種</w:t>
      </w:r>
      <w:r w:rsidR="001C5BB0">
        <w:rPr>
          <w:rFonts w:asciiTheme="minorEastAsia" w:hAnsiTheme="minorEastAsia" w:hint="eastAsia"/>
          <w:sz w:val="20"/>
          <w:szCs w:val="20"/>
        </w:rPr>
        <w:t>は、</w:t>
      </w:r>
      <w:r w:rsidR="00AA5F43">
        <w:rPr>
          <w:rFonts w:asciiTheme="minorEastAsia" w:hAnsiTheme="minorEastAsia" w:hint="eastAsia"/>
          <w:sz w:val="20"/>
          <w:szCs w:val="20"/>
        </w:rPr>
        <w:t>卸売業、</w:t>
      </w:r>
      <w:r w:rsidR="001C5BB0">
        <w:rPr>
          <w:rFonts w:asciiTheme="minorEastAsia" w:hAnsiTheme="minorEastAsia" w:hint="eastAsia"/>
          <w:sz w:val="20"/>
          <w:szCs w:val="20"/>
        </w:rPr>
        <w:t>小売業、飲食・宿泊業、</w:t>
      </w:r>
      <w:r w:rsidR="00AA5F43">
        <w:rPr>
          <w:rFonts w:asciiTheme="minorEastAsia" w:hAnsiTheme="minorEastAsia" w:hint="eastAsia"/>
          <w:sz w:val="20"/>
          <w:szCs w:val="20"/>
        </w:rPr>
        <w:t>対個人サービス業</w:t>
      </w:r>
      <w:r w:rsidR="001C5BB0">
        <w:rPr>
          <w:rFonts w:asciiTheme="minorEastAsia" w:hAnsiTheme="minorEastAsia" w:hint="eastAsia"/>
          <w:sz w:val="20"/>
          <w:szCs w:val="20"/>
        </w:rPr>
        <w:t>の４業種で、低下した業種は、建設業、</w:t>
      </w:r>
      <w:r w:rsidR="00C22643">
        <w:rPr>
          <w:rFonts w:asciiTheme="minorEastAsia" w:hAnsiTheme="minorEastAsia" w:hint="eastAsia"/>
          <w:sz w:val="20"/>
          <w:szCs w:val="20"/>
        </w:rPr>
        <w:t>対事業所サービス業</w:t>
      </w:r>
      <w:r w:rsidR="001C5BB0">
        <w:rPr>
          <w:rFonts w:asciiTheme="minorEastAsia" w:hAnsiTheme="minorEastAsia" w:hint="eastAsia"/>
          <w:sz w:val="20"/>
          <w:szCs w:val="20"/>
        </w:rPr>
        <w:t>、情報通信・広告業の</w:t>
      </w:r>
      <w:r w:rsidR="00AA5F43">
        <w:rPr>
          <w:rFonts w:asciiTheme="minorEastAsia" w:hAnsiTheme="minorEastAsia" w:hint="eastAsia"/>
          <w:sz w:val="20"/>
          <w:szCs w:val="20"/>
        </w:rPr>
        <w:t>計</w:t>
      </w:r>
      <w:r w:rsidR="001C5BB0">
        <w:rPr>
          <w:rFonts w:asciiTheme="minorEastAsia" w:hAnsiTheme="minorEastAsia" w:hint="eastAsia"/>
          <w:sz w:val="20"/>
          <w:szCs w:val="20"/>
        </w:rPr>
        <w:t>３</w:t>
      </w:r>
      <w:r w:rsidR="00AA5F43">
        <w:rPr>
          <w:rFonts w:asciiTheme="minorEastAsia" w:hAnsiTheme="minorEastAsia" w:hint="eastAsia"/>
          <w:sz w:val="20"/>
          <w:szCs w:val="20"/>
        </w:rPr>
        <w:t>業種</w:t>
      </w:r>
      <w:r w:rsidR="00181EE2">
        <w:rPr>
          <w:rFonts w:asciiTheme="minorEastAsia" w:hAnsiTheme="minorEastAsia" w:hint="eastAsia"/>
          <w:sz w:val="20"/>
          <w:szCs w:val="20"/>
        </w:rPr>
        <w:t>である</w:t>
      </w:r>
      <w:r w:rsidR="000E310E">
        <w:rPr>
          <w:rFonts w:asciiTheme="minorEastAsia" w:hAnsiTheme="minorEastAsia" w:hint="eastAsia"/>
          <w:sz w:val="20"/>
          <w:szCs w:val="20"/>
        </w:rPr>
        <w:t>。</w:t>
      </w:r>
    </w:p>
    <w:p w:rsidR="00133527" w:rsidRPr="006153E3" w:rsidRDefault="00E157ED" w:rsidP="00DB3834">
      <w:pPr>
        <w:ind w:firstLineChars="100" w:firstLine="200"/>
        <w:rPr>
          <w:rFonts w:asciiTheme="minorEastAsia" w:hAnsiTheme="minorEastAsia"/>
          <w:sz w:val="20"/>
          <w:szCs w:val="20"/>
        </w:rPr>
      </w:pPr>
      <w:r w:rsidRPr="006153E3">
        <w:rPr>
          <w:rFonts w:asciiTheme="minorEastAsia" w:hAnsiTheme="minorEastAsia" w:hint="eastAsia"/>
          <w:sz w:val="20"/>
          <w:szCs w:val="20"/>
        </w:rPr>
        <w:t>経営上の問題点は、</w:t>
      </w:r>
      <w:r w:rsidR="00326123" w:rsidRPr="006153E3">
        <w:rPr>
          <w:rFonts w:asciiTheme="minorEastAsia" w:hAnsiTheme="minorEastAsia" w:hint="eastAsia"/>
          <w:sz w:val="20"/>
          <w:szCs w:val="20"/>
        </w:rPr>
        <w:t>全業種に共通して「</w:t>
      </w:r>
      <w:r w:rsidR="000F659A" w:rsidRPr="006153E3">
        <w:rPr>
          <w:rFonts w:asciiTheme="minorEastAsia" w:hAnsiTheme="minorEastAsia" w:hint="eastAsia"/>
          <w:sz w:val="20"/>
          <w:szCs w:val="20"/>
        </w:rPr>
        <w:t>需要の</w:t>
      </w:r>
      <w:r w:rsidR="00AD2511" w:rsidRPr="006153E3">
        <w:rPr>
          <w:rFonts w:asciiTheme="minorEastAsia" w:hAnsiTheme="minorEastAsia" w:hint="eastAsia"/>
          <w:sz w:val="20"/>
          <w:szCs w:val="20"/>
        </w:rPr>
        <w:t>停滞</w:t>
      </w:r>
      <w:r w:rsidR="00326123" w:rsidRPr="006153E3">
        <w:rPr>
          <w:rFonts w:asciiTheme="minorEastAsia" w:hAnsiTheme="minorEastAsia" w:hint="eastAsia"/>
          <w:sz w:val="20"/>
          <w:szCs w:val="20"/>
        </w:rPr>
        <w:t>」</w:t>
      </w:r>
      <w:r w:rsidR="00D34256" w:rsidRPr="006153E3">
        <w:rPr>
          <w:rFonts w:asciiTheme="minorEastAsia" w:hAnsiTheme="minorEastAsia" w:hint="eastAsia"/>
          <w:sz w:val="20"/>
          <w:szCs w:val="20"/>
        </w:rPr>
        <w:t>がみられたほか</w:t>
      </w:r>
      <w:r w:rsidRPr="006153E3">
        <w:rPr>
          <w:rFonts w:asciiTheme="minorEastAsia" w:hAnsiTheme="minorEastAsia" w:hint="eastAsia"/>
          <w:sz w:val="20"/>
          <w:szCs w:val="20"/>
        </w:rPr>
        <w:t>、</w:t>
      </w:r>
      <w:r w:rsidR="00326123" w:rsidRPr="006153E3">
        <w:rPr>
          <w:rFonts w:asciiTheme="minorEastAsia" w:hAnsiTheme="minorEastAsia" w:hint="eastAsia"/>
          <w:sz w:val="20"/>
          <w:szCs w:val="20"/>
        </w:rPr>
        <w:t>製造業では「</w:t>
      </w:r>
      <w:r w:rsidR="001B0488">
        <w:rPr>
          <w:rFonts w:asciiTheme="minorEastAsia" w:hAnsiTheme="minorEastAsia" w:hint="eastAsia"/>
          <w:sz w:val="20"/>
          <w:szCs w:val="20"/>
        </w:rPr>
        <w:t>製品ニーズの変化への対応</w:t>
      </w:r>
      <w:r w:rsidR="00326123" w:rsidRPr="006153E3">
        <w:rPr>
          <w:rFonts w:asciiTheme="minorEastAsia" w:hAnsiTheme="minorEastAsia" w:hint="eastAsia"/>
          <w:sz w:val="20"/>
          <w:szCs w:val="20"/>
        </w:rPr>
        <w:t>」、建設業</w:t>
      </w:r>
      <w:r w:rsidR="001B0488">
        <w:rPr>
          <w:rFonts w:asciiTheme="minorEastAsia" w:hAnsiTheme="minorEastAsia" w:hint="eastAsia"/>
          <w:sz w:val="20"/>
          <w:szCs w:val="20"/>
        </w:rPr>
        <w:t>では「請負単価の低下・上昇難」、卸売業や</w:t>
      </w:r>
      <w:r w:rsidR="007F0FB0">
        <w:rPr>
          <w:rFonts w:asciiTheme="minorEastAsia" w:hAnsiTheme="minorEastAsia" w:hint="eastAsia"/>
          <w:sz w:val="20"/>
          <w:szCs w:val="20"/>
        </w:rPr>
        <w:t>サービス業では</w:t>
      </w:r>
      <w:r w:rsidR="00326123" w:rsidRPr="006153E3">
        <w:rPr>
          <w:rFonts w:asciiTheme="minorEastAsia" w:hAnsiTheme="minorEastAsia" w:hint="eastAsia"/>
          <w:sz w:val="20"/>
          <w:szCs w:val="20"/>
        </w:rPr>
        <w:t>「</w:t>
      </w:r>
      <w:r w:rsidR="00697371">
        <w:rPr>
          <w:rFonts w:asciiTheme="minorEastAsia" w:hAnsiTheme="minorEastAsia" w:hint="eastAsia"/>
          <w:sz w:val="20"/>
          <w:szCs w:val="20"/>
        </w:rPr>
        <w:t>従業員の確保</w:t>
      </w:r>
      <w:r w:rsidR="00326123" w:rsidRPr="006153E3">
        <w:rPr>
          <w:rFonts w:asciiTheme="minorEastAsia" w:hAnsiTheme="minorEastAsia" w:hint="eastAsia"/>
          <w:sz w:val="20"/>
          <w:szCs w:val="20"/>
        </w:rPr>
        <w:t>難」、小売業</w:t>
      </w:r>
      <w:r w:rsidR="007F0FB0">
        <w:rPr>
          <w:rFonts w:asciiTheme="minorEastAsia" w:hAnsiTheme="minorEastAsia" w:hint="eastAsia"/>
          <w:sz w:val="20"/>
          <w:szCs w:val="20"/>
        </w:rPr>
        <w:t>では「</w:t>
      </w:r>
      <w:r w:rsidR="001B0488">
        <w:rPr>
          <w:rFonts w:asciiTheme="minorEastAsia" w:hAnsiTheme="minorEastAsia" w:hint="eastAsia"/>
          <w:sz w:val="20"/>
          <w:szCs w:val="20"/>
        </w:rPr>
        <w:t>大型店・中型店の進出による競争の激化</w:t>
      </w:r>
      <w:r w:rsidR="007F0FB0">
        <w:rPr>
          <w:rFonts w:asciiTheme="minorEastAsia" w:hAnsiTheme="minorEastAsia" w:hint="eastAsia"/>
          <w:sz w:val="20"/>
          <w:szCs w:val="20"/>
        </w:rPr>
        <w:t>」</w:t>
      </w:r>
      <w:r w:rsidR="00697371">
        <w:rPr>
          <w:rFonts w:asciiTheme="minorEastAsia" w:hAnsiTheme="minorEastAsia" w:hint="eastAsia"/>
          <w:sz w:val="20"/>
          <w:szCs w:val="20"/>
        </w:rPr>
        <w:t>など</w:t>
      </w:r>
      <w:r w:rsidR="00D34256" w:rsidRPr="006153E3">
        <w:rPr>
          <w:rFonts w:asciiTheme="minorEastAsia" w:hAnsiTheme="minorEastAsia" w:hint="eastAsia"/>
          <w:sz w:val="20"/>
          <w:szCs w:val="20"/>
        </w:rPr>
        <w:t>が</w:t>
      </w:r>
      <w:r w:rsidR="001B0488">
        <w:rPr>
          <w:rFonts w:asciiTheme="minorEastAsia" w:hAnsiTheme="minorEastAsia" w:hint="eastAsia"/>
          <w:sz w:val="20"/>
          <w:szCs w:val="20"/>
        </w:rPr>
        <w:t>大きな</w:t>
      </w:r>
      <w:r w:rsidR="00D34256" w:rsidRPr="006153E3">
        <w:rPr>
          <w:rFonts w:asciiTheme="minorEastAsia" w:hAnsiTheme="minorEastAsia" w:hint="eastAsia"/>
          <w:sz w:val="20"/>
          <w:szCs w:val="20"/>
        </w:rPr>
        <w:t>課題となっ</w:t>
      </w:r>
      <w:r w:rsidR="007F0FB0">
        <w:rPr>
          <w:rFonts w:asciiTheme="minorEastAsia" w:hAnsiTheme="minorEastAsia" w:hint="eastAsia"/>
          <w:sz w:val="20"/>
          <w:szCs w:val="20"/>
        </w:rPr>
        <w:t>た</w:t>
      </w:r>
      <w:r w:rsidR="000F659A" w:rsidRPr="006153E3">
        <w:rPr>
          <w:rFonts w:asciiTheme="minorEastAsia" w:hAnsiTheme="minorEastAsia" w:hint="eastAsia"/>
          <w:sz w:val="20"/>
          <w:szCs w:val="20"/>
        </w:rPr>
        <w:t>。</w:t>
      </w:r>
    </w:p>
    <w:p w:rsidR="0009578E" w:rsidRPr="001B0488" w:rsidRDefault="0009578E" w:rsidP="008F7EB0">
      <w:pPr>
        <w:snapToGrid w:val="0"/>
        <w:ind w:firstLineChars="100" w:firstLine="80"/>
        <w:rPr>
          <w:rFonts w:asciiTheme="minorEastAsia" w:hAnsiTheme="minorEastAsia"/>
          <w:sz w:val="8"/>
          <w:szCs w:val="8"/>
        </w:rPr>
      </w:pPr>
    </w:p>
    <w:p w:rsidR="003347A5" w:rsidRPr="00DB3834" w:rsidRDefault="003347A5" w:rsidP="00006465">
      <w:pPr>
        <w:ind w:leftChars="-50" w:left="-105" w:rightChars="-50" w:right="-105"/>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表１</w:t>
      </w:r>
      <w:r w:rsidR="00006465" w:rsidRPr="00DB3834">
        <w:rPr>
          <w:rFonts w:asciiTheme="majorEastAsia" w:eastAsiaTheme="majorEastAsia" w:hAnsiTheme="majorEastAsia" w:hint="eastAsia"/>
          <w:sz w:val="20"/>
          <w:szCs w:val="20"/>
        </w:rPr>
        <w:t xml:space="preserve"> </w:t>
      </w:r>
      <w:r w:rsidR="007F0FB0">
        <w:rPr>
          <w:rFonts w:asciiTheme="majorEastAsia" w:eastAsiaTheme="majorEastAsia" w:hAnsiTheme="majorEastAsia" w:hint="eastAsia"/>
          <w:sz w:val="20"/>
          <w:szCs w:val="20"/>
        </w:rPr>
        <w:t>１</w:t>
      </w:r>
      <w:r w:rsidR="00283B37" w:rsidRPr="00DB3834">
        <w:rPr>
          <w:rFonts w:asciiTheme="majorEastAsia" w:eastAsiaTheme="majorEastAsia" w:hAnsiTheme="majorEastAsia" w:hint="eastAsia"/>
          <w:sz w:val="20"/>
          <w:szCs w:val="20"/>
        </w:rPr>
        <w:t>～</w:t>
      </w:r>
      <w:r w:rsidR="007F0FB0">
        <w:rPr>
          <w:rFonts w:asciiTheme="majorEastAsia" w:eastAsiaTheme="majorEastAsia" w:hAnsiTheme="majorEastAsia" w:hint="eastAsia"/>
          <w:sz w:val="20"/>
          <w:szCs w:val="20"/>
        </w:rPr>
        <w:t>３</w:t>
      </w:r>
      <w:r w:rsidR="00792675" w:rsidRPr="00DB3834">
        <w:rPr>
          <w:rFonts w:asciiTheme="majorEastAsia" w:eastAsiaTheme="majorEastAsia" w:hAnsiTheme="majorEastAsia" w:hint="eastAsia"/>
          <w:sz w:val="20"/>
          <w:szCs w:val="20"/>
        </w:rPr>
        <w:t>月期の</w:t>
      </w:r>
      <w:r w:rsidRPr="00DB3834">
        <w:rPr>
          <w:rFonts w:asciiTheme="majorEastAsia" w:eastAsiaTheme="majorEastAsia" w:hAnsiTheme="majorEastAsia" w:hint="eastAsia"/>
          <w:sz w:val="20"/>
          <w:szCs w:val="20"/>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5C1B2A">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8CCE4" w:themeFill="accent1" w:themeFillTint="66"/>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B417F7" w:rsidTr="005C1B2A">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B417F7" w:rsidTr="008E7E9E">
        <w:trPr>
          <w:trHeight w:val="127"/>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17.0</w:t>
            </w:r>
          </w:p>
          <w:p w:rsidR="00FE1CF9" w:rsidRPr="00EF09F5" w:rsidRDefault="00FE1CF9" w:rsidP="00B417F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1.7</w:t>
            </w:r>
            <w:r w:rsidRPr="00EF09F5">
              <w:rPr>
                <w:rFonts w:asciiTheme="minorEastAsia" w:hAnsiTheme="minorEastAsia" w:cs="メイリオ" w:hint="eastAsia"/>
                <w:sz w:val="20"/>
                <w:szCs w:val="20"/>
              </w:rPr>
              <w:t>)</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15.7</w:t>
            </w:r>
          </w:p>
          <w:p w:rsidR="00FE1CF9" w:rsidRPr="00EF09F5" w:rsidRDefault="00FE1CF9" w:rsidP="00B417F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1.</w:t>
            </w:r>
            <w:r w:rsidR="00B417F7">
              <w:rPr>
                <w:rFonts w:asciiTheme="minorEastAsia" w:hAnsiTheme="minorEastAsia" w:cs="メイリオ" w:hint="eastAsia"/>
                <w:sz w:val="20"/>
                <w:szCs w:val="20"/>
              </w:rPr>
              <w:t>4</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16.6</w:t>
            </w:r>
          </w:p>
          <w:p w:rsidR="00FE1CF9" w:rsidRPr="00EF09F5" w:rsidRDefault="00FE1CF9" w:rsidP="00B417F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3.4</w:t>
            </w:r>
            <w:r w:rsidRPr="00EF09F5">
              <w:rPr>
                <w:rFonts w:asciiTheme="minorEastAsia" w:hAnsiTheme="minorEastAsia" w:cs="メイリオ" w:hint="eastAsia"/>
                <w:sz w:val="20"/>
                <w:szCs w:val="20"/>
              </w:rPr>
              <w:t>)</w:t>
            </w:r>
          </w:p>
        </w:tc>
      </w:tr>
      <w:tr w:rsidR="00B417F7" w:rsidTr="008E7E9E">
        <w:trPr>
          <w:trHeight w:val="150"/>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13.0</w:t>
            </w:r>
          </w:p>
          <w:p w:rsidR="00FE1CF9" w:rsidRPr="00EF09F5" w:rsidRDefault="00FE1CF9" w:rsidP="00B417F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2.5</w:t>
            </w:r>
            <w:r w:rsidRPr="00EF09F5">
              <w:rPr>
                <w:rFonts w:asciiTheme="minorEastAsia" w:hAnsiTheme="minorEastAsia" w:cs="メイリオ" w:hint="eastAsia"/>
                <w:sz w:val="20"/>
                <w:szCs w:val="20"/>
              </w:rPr>
              <w:t>)</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9.6</w:t>
            </w:r>
          </w:p>
          <w:p w:rsidR="00FE1CF9" w:rsidRPr="00EF09F5" w:rsidRDefault="00FE1CF9" w:rsidP="00B417F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2.6</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9.8</w:t>
            </w:r>
          </w:p>
          <w:p w:rsidR="00FE1CF9" w:rsidRPr="00EF09F5" w:rsidRDefault="00FE1CF9" w:rsidP="00181EE2">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181EE2">
              <w:rPr>
                <w:rFonts w:asciiTheme="minorEastAsia" w:hAnsiTheme="minorEastAsia" w:cs="メイリオ" w:hint="eastAsia"/>
                <w:sz w:val="20"/>
                <w:szCs w:val="20"/>
              </w:rPr>
              <w:t>6.7</w:t>
            </w:r>
            <w:r w:rsidRPr="00EF09F5">
              <w:rPr>
                <w:rFonts w:asciiTheme="minorEastAsia" w:hAnsiTheme="minorEastAsia" w:cs="メイリオ" w:hint="eastAsia"/>
                <w:sz w:val="20"/>
                <w:szCs w:val="20"/>
              </w:rPr>
              <w:t>)</w:t>
            </w:r>
          </w:p>
        </w:tc>
      </w:tr>
      <w:tr w:rsidR="00B417F7" w:rsidTr="008E7E9E">
        <w:trPr>
          <w:trHeight w:val="285"/>
        </w:trPr>
        <w:tc>
          <w:tcPr>
            <w:tcW w:w="1248" w:type="pct"/>
            <w:shd w:val="clear" w:color="auto" w:fill="B8CCE4" w:themeFill="accent1" w:themeFillTint="66"/>
            <w:vAlign w:val="center"/>
          </w:tcPr>
          <w:p w:rsidR="00FE1CF9" w:rsidRPr="002E3677" w:rsidRDefault="00FE1CF9"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18.4</w:t>
            </w:r>
          </w:p>
          <w:p w:rsidR="00FE1CF9" w:rsidRPr="00EF09F5" w:rsidRDefault="00FE1CF9" w:rsidP="00B417F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1.2</w:t>
            </w:r>
            <w:r w:rsidRPr="00EF09F5">
              <w:rPr>
                <w:rFonts w:asciiTheme="minorEastAsia" w:hAnsiTheme="minorEastAsia" w:cs="メイリオ" w:hint="eastAsia"/>
                <w:sz w:val="20"/>
                <w:szCs w:val="20"/>
              </w:rPr>
              <w:t>)</w:t>
            </w:r>
          </w:p>
        </w:tc>
        <w:tc>
          <w:tcPr>
            <w:tcW w:w="1250"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124242" w:rsidRPr="00EF09F5">
              <w:rPr>
                <w:rFonts w:asciiTheme="minorEastAsia" w:hAnsiTheme="minorEastAsia" w:cs="メイリオ" w:hint="eastAsia"/>
                <w:sz w:val="20"/>
                <w:szCs w:val="20"/>
              </w:rPr>
              <w:t>1</w:t>
            </w:r>
            <w:r w:rsidR="00EF09F5">
              <w:rPr>
                <w:rFonts w:asciiTheme="minorEastAsia" w:hAnsiTheme="minorEastAsia" w:cs="メイリオ" w:hint="eastAsia"/>
                <w:sz w:val="20"/>
                <w:szCs w:val="20"/>
              </w:rPr>
              <w:t>8.</w:t>
            </w:r>
            <w:r w:rsidR="00B417F7">
              <w:rPr>
                <w:rFonts w:asciiTheme="minorEastAsia" w:hAnsiTheme="minorEastAsia" w:cs="メイリオ" w:hint="eastAsia"/>
                <w:sz w:val="20"/>
                <w:szCs w:val="20"/>
              </w:rPr>
              <w:t>0</w:t>
            </w:r>
          </w:p>
          <w:p w:rsidR="00FE1CF9" w:rsidRPr="00EF09F5" w:rsidRDefault="00FE1CF9" w:rsidP="00EF09F5">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EF09F5">
              <w:rPr>
                <w:rFonts w:asciiTheme="minorEastAsia" w:hAnsiTheme="minorEastAsia" w:cs="メイリオ" w:hint="eastAsia"/>
                <w:sz w:val="20"/>
                <w:szCs w:val="20"/>
              </w:rPr>
              <w:t>0.8</w:t>
            </w:r>
            <w:r w:rsidRPr="00EF09F5">
              <w:rPr>
                <w:rFonts w:asciiTheme="minorEastAsia" w:hAnsiTheme="minorEastAsia" w:cs="メイリオ" w:hint="eastAsia"/>
                <w:sz w:val="20"/>
                <w:szCs w:val="20"/>
              </w:rPr>
              <w:t>)</w:t>
            </w:r>
          </w:p>
        </w:tc>
        <w:tc>
          <w:tcPr>
            <w:tcW w:w="1252" w:type="pct"/>
            <w:vAlign w:val="center"/>
          </w:tcPr>
          <w:p w:rsidR="00FE1CF9" w:rsidRPr="00EF09F5" w:rsidRDefault="00FE1CF9" w:rsidP="00FE1CF9">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19.7</w:t>
            </w:r>
          </w:p>
          <w:p w:rsidR="00FE1CF9" w:rsidRPr="00EF09F5" w:rsidRDefault="00FE1CF9" w:rsidP="00B417F7">
            <w:pPr>
              <w:snapToGrid w:val="0"/>
              <w:ind w:rightChars="50" w:right="105"/>
              <w:jc w:val="right"/>
              <w:rPr>
                <w:rFonts w:asciiTheme="minorEastAsia" w:hAnsiTheme="minorEastAsia" w:cs="メイリオ"/>
                <w:sz w:val="20"/>
                <w:szCs w:val="20"/>
              </w:rPr>
            </w:pPr>
            <w:r w:rsidRPr="00EF09F5">
              <w:rPr>
                <w:rFonts w:asciiTheme="minorEastAsia" w:hAnsiTheme="minorEastAsia" w:cs="メイリオ" w:hint="eastAsia"/>
                <w:sz w:val="20"/>
                <w:szCs w:val="20"/>
              </w:rPr>
              <w:t>(</w:t>
            </w:r>
            <w:r w:rsidR="00B417F7">
              <w:rPr>
                <w:rFonts w:asciiTheme="minorEastAsia" w:hAnsiTheme="minorEastAsia" w:cs="メイリオ" w:hint="eastAsia"/>
                <w:sz w:val="20"/>
                <w:szCs w:val="20"/>
              </w:rPr>
              <w:t>1.5</w:t>
            </w:r>
            <w:r w:rsidRPr="00EF09F5">
              <w:rPr>
                <w:rFonts w:asciiTheme="minorEastAsia" w:hAnsiTheme="minorEastAsia" w:cs="メイリオ" w:hint="eastAsia"/>
                <w:sz w:val="20"/>
                <w:szCs w:val="20"/>
              </w:rPr>
              <w:t>)</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482803" w:rsidRDefault="005664EA" w:rsidP="00271EE3">
      <w:pPr>
        <w:snapToGrid w:val="0"/>
        <w:ind w:left="320" w:hangingChars="200" w:hanging="320"/>
        <w:rPr>
          <w:rFonts w:asciiTheme="minorEastAsia" w:hAnsiTheme="minorEastAsia"/>
          <w:sz w:val="16"/>
          <w:szCs w:val="16"/>
        </w:rPr>
        <w:sectPr w:rsidR="00482803"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C11539" w:rsidRDefault="00C11539" w:rsidP="00C11539">
      <w:pPr>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lastRenderedPageBreak/>
        <w:t>図　大阪府の中小企業の業況判断ＤＩの推移</w:t>
      </w:r>
    </w:p>
    <w:p w:rsidR="00C14E36" w:rsidRDefault="00C14E36" w:rsidP="00C11539">
      <w:pPr>
        <w:jc w:val="center"/>
        <w:rPr>
          <w:rFonts w:asciiTheme="majorEastAsia" w:eastAsiaTheme="majorEastAsia" w:hAnsiTheme="majorEastAsia"/>
          <w:sz w:val="20"/>
          <w:szCs w:val="20"/>
        </w:rPr>
      </w:pPr>
      <w:r>
        <w:rPr>
          <w:noProof/>
        </w:rPr>
        <w:drawing>
          <wp:inline distT="0" distB="0" distL="0" distR="0" wp14:anchorId="393B8E58" wp14:editId="3CD099D0">
            <wp:extent cx="5400675" cy="126682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D34256" w:rsidRDefault="009D51CE" w:rsidP="00FD6C1B">
      <w:pPr>
        <w:jc w:val="center"/>
        <w:rPr>
          <w:rFonts w:asciiTheme="minorEastAsia" w:hAnsiTheme="minorEastAsia"/>
          <w:sz w:val="16"/>
          <w:szCs w:val="16"/>
        </w:rPr>
      </w:pPr>
      <w:r w:rsidRPr="00D34256">
        <w:rPr>
          <w:rFonts w:asciiTheme="minorEastAsia" w:hAnsiTheme="minorEastAsia" w:hint="eastAsia"/>
          <w:sz w:val="16"/>
          <w:szCs w:val="16"/>
        </w:rPr>
        <w:t>資料：</w:t>
      </w:r>
      <w:r w:rsidR="00882321" w:rsidRPr="00D34256">
        <w:rPr>
          <w:rFonts w:asciiTheme="minorEastAsia" w:hAnsiTheme="minorEastAsia" w:hint="eastAsia"/>
          <w:sz w:val="16"/>
          <w:szCs w:val="16"/>
        </w:rPr>
        <w:t>中小企業庁･</w:t>
      </w:r>
      <w:r w:rsidR="008D418B" w:rsidRPr="00D34256">
        <w:rPr>
          <w:rFonts w:asciiTheme="minorEastAsia" w:hAnsiTheme="minorEastAsia" w:hint="eastAsia"/>
          <w:sz w:val="16"/>
          <w:szCs w:val="16"/>
        </w:rPr>
        <w:t>独立行政法人中小企業基盤整備機構</w:t>
      </w:r>
      <w:r w:rsidRPr="00D34256">
        <w:rPr>
          <w:rFonts w:asciiTheme="minorEastAsia" w:hAnsiTheme="minorEastAsia" w:hint="eastAsia"/>
          <w:sz w:val="16"/>
          <w:szCs w:val="16"/>
        </w:rPr>
        <w:t>「第1</w:t>
      </w:r>
      <w:r w:rsidR="008D418B" w:rsidRPr="00D34256">
        <w:rPr>
          <w:rFonts w:asciiTheme="minorEastAsia" w:hAnsiTheme="minorEastAsia" w:hint="eastAsia"/>
          <w:sz w:val="16"/>
          <w:szCs w:val="16"/>
        </w:rPr>
        <w:t>4</w:t>
      </w:r>
      <w:r w:rsidR="00B417F7">
        <w:rPr>
          <w:rFonts w:asciiTheme="minorEastAsia" w:hAnsiTheme="minorEastAsia" w:hint="eastAsia"/>
          <w:sz w:val="16"/>
          <w:szCs w:val="16"/>
        </w:rPr>
        <w:t>7</w:t>
      </w:r>
      <w:r w:rsidRPr="00D34256">
        <w:rPr>
          <w:rFonts w:asciiTheme="minorEastAsia" w:hAnsiTheme="minorEastAsia" w:hint="eastAsia"/>
          <w:sz w:val="16"/>
          <w:szCs w:val="16"/>
        </w:rPr>
        <w:t>回中小企業景況調査（</w:t>
      </w:r>
      <w:r w:rsidR="008D418B" w:rsidRPr="00D34256">
        <w:rPr>
          <w:rFonts w:asciiTheme="minorEastAsia" w:hAnsiTheme="minorEastAsia" w:hint="eastAsia"/>
          <w:sz w:val="16"/>
          <w:szCs w:val="16"/>
        </w:rPr>
        <w:t>20</w:t>
      </w:r>
      <w:r w:rsidR="00AF3800">
        <w:rPr>
          <w:rFonts w:asciiTheme="minorEastAsia" w:hAnsiTheme="minorEastAsia" w:hint="eastAsia"/>
          <w:sz w:val="16"/>
          <w:szCs w:val="16"/>
        </w:rPr>
        <w:t>1</w:t>
      </w:r>
      <w:r w:rsidR="00B417F7">
        <w:rPr>
          <w:rFonts w:asciiTheme="minorEastAsia" w:hAnsiTheme="minorEastAsia" w:hint="eastAsia"/>
          <w:sz w:val="16"/>
          <w:szCs w:val="16"/>
        </w:rPr>
        <w:t>7</w:t>
      </w:r>
      <w:r w:rsidRPr="00D34256">
        <w:rPr>
          <w:rFonts w:asciiTheme="minorEastAsia" w:hAnsiTheme="minorEastAsia" w:hint="eastAsia"/>
          <w:sz w:val="16"/>
          <w:szCs w:val="16"/>
        </w:rPr>
        <w:t>年</w:t>
      </w:r>
      <w:r w:rsidR="00B417F7">
        <w:rPr>
          <w:rFonts w:asciiTheme="minorEastAsia" w:hAnsiTheme="minorEastAsia" w:hint="eastAsia"/>
          <w:sz w:val="16"/>
          <w:szCs w:val="16"/>
        </w:rPr>
        <w:t>１</w:t>
      </w:r>
      <w:r w:rsidRPr="00D34256">
        <w:rPr>
          <w:rFonts w:asciiTheme="minorEastAsia" w:hAnsiTheme="minorEastAsia" w:hint="eastAsia"/>
          <w:sz w:val="16"/>
          <w:szCs w:val="16"/>
        </w:rPr>
        <w:t>-</w:t>
      </w:r>
      <w:r w:rsidR="00B417F7">
        <w:rPr>
          <w:rFonts w:asciiTheme="minorEastAsia" w:hAnsiTheme="minorEastAsia" w:hint="eastAsia"/>
          <w:sz w:val="16"/>
          <w:szCs w:val="16"/>
        </w:rPr>
        <w:t>３</w:t>
      </w:r>
      <w:r w:rsidRPr="00D34256">
        <w:rPr>
          <w:rFonts w:asciiTheme="minorEastAsia" w:hAnsiTheme="minorEastAsia" w:hint="eastAsia"/>
          <w:sz w:val="16"/>
          <w:szCs w:val="16"/>
        </w:rPr>
        <w:t>月期）」</w:t>
      </w:r>
      <w:r w:rsidR="005B16EE" w:rsidRPr="00D34256">
        <w:rPr>
          <w:rFonts w:asciiTheme="minorEastAsia" w:hAnsiTheme="minorEastAsia" w:hint="eastAsia"/>
          <w:sz w:val="16"/>
          <w:szCs w:val="16"/>
        </w:rPr>
        <w:t>。</w:t>
      </w:r>
    </w:p>
    <w:p w:rsidR="00CF5F87" w:rsidRPr="0087683B" w:rsidRDefault="00B343D1" w:rsidP="00B343D1">
      <w:pPr>
        <w:jc w:val="center"/>
        <w:rPr>
          <w:rFonts w:asciiTheme="majorEastAsia" w:eastAsiaTheme="majorEastAsia" w:hAnsiTheme="majorEastAsia"/>
          <w:sz w:val="20"/>
          <w:szCs w:val="20"/>
        </w:rPr>
      </w:pPr>
      <w:r w:rsidRPr="0087683B">
        <w:rPr>
          <w:rFonts w:asciiTheme="majorEastAsia" w:eastAsiaTheme="majorEastAsia" w:hAnsiTheme="majorEastAsia" w:hint="eastAsia"/>
          <w:sz w:val="20"/>
          <w:szCs w:val="20"/>
        </w:rPr>
        <w:t>表</w:t>
      </w:r>
      <w:r w:rsidR="008F1BBB" w:rsidRPr="0087683B">
        <w:rPr>
          <w:rFonts w:asciiTheme="majorEastAsia" w:eastAsiaTheme="majorEastAsia" w:hAnsiTheme="majorEastAsia" w:hint="eastAsia"/>
          <w:sz w:val="20"/>
          <w:szCs w:val="20"/>
        </w:rPr>
        <w:t>２</w:t>
      </w:r>
      <w:r w:rsidRPr="0087683B">
        <w:rPr>
          <w:rFonts w:asciiTheme="majorEastAsia" w:eastAsiaTheme="majorEastAsia" w:hAnsiTheme="majorEastAsia" w:hint="eastAsia"/>
          <w:sz w:val="20"/>
          <w:szCs w:val="20"/>
        </w:rPr>
        <w:t xml:space="preserve">　</w:t>
      </w:r>
      <w:r w:rsidR="007F0FB0">
        <w:rPr>
          <w:rFonts w:asciiTheme="majorEastAsia" w:eastAsiaTheme="majorEastAsia" w:hAnsiTheme="majorEastAsia" w:hint="eastAsia"/>
          <w:sz w:val="20"/>
          <w:szCs w:val="20"/>
        </w:rPr>
        <w:t>１</w:t>
      </w:r>
      <w:r w:rsidR="00697371">
        <w:rPr>
          <w:rFonts w:asciiTheme="majorEastAsia" w:eastAsiaTheme="majorEastAsia" w:hAnsiTheme="majorEastAsia" w:hint="eastAsia"/>
          <w:sz w:val="20"/>
          <w:szCs w:val="20"/>
        </w:rPr>
        <w:t>～</w:t>
      </w:r>
      <w:r w:rsidR="007F0FB0">
        <w:rPr>
          <w:rFonts w:asciiTheme="majorEastAsia" w:eastAsiaTheme="majorEastAsia" w:hAnsiTheme="majorEastAsia" w:hint="eastAsia"/>
          <w:sz w:val="20"/>
          <w:szCs w:val="20"/>
        </w:rPr>
        <w:t>３</w:t>
      </w:r>
      <w:r w:rsidR="00697371">
        <w:rPr>
          <w:rFonts w:asciiTheme="majorEastAsia" w:eastAsiaTheme="majorEastAsia" w:hAnsiTheme="majorEastAsia" w:hint="eastAsia"/>
          <w:sz w:val="20"/>
          <w:szCs w:val="20"/>
        </w:rPr>
        <w:t>月期の</w:t>
      </w:r>
      <w:r w:rsidR="007F0FB0">
        <w:rPr>
          <w:rFonts w:asciiTheme="majorEastAsia" w:eastAsiaTheme="majorEastAsia" w:hAnsiTheme="majorEastAsia" w:hint="eastAsia"/>
          <w:sz w:val="20"/>
          <w:szCs w:val="20"/>
        </w:rPr>
        <w:t>全国</w:t>
      </w:r>
      <w:r w:rsidR="00E248AE" w:rsidRPr="0087683B">
        <w:rPr>
          <w:rFonts w:asciiTheme="majorEastAsia" w:eastAsiaTheme="majorEastAsia" w:hAnsiTheme="majorEastAsia" w:hint="eastAsia"/>
          <w:sz w:val="20"/>
          <w:szCs w:val="20"/>
        </w:rPr>
        <w:t>における</w:t>
      </w:r>
      <w:r w:rsidRPr="0087683B">
        <w:rPr>
          <w:rFonts w:asciiTheme="majorEastAsia" w:eastAsiaTheme="majorEastAsia" w:hAnsiTheme="majorEastAsia" w:hint="eastAsia"/>
          <w:sz w:val="20"/>
          <w:szCs w:val="20"/>
        </w:rPr>
        <w:t>経営上の問題点（問題点１位に挙げた企業割合）</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10"/>
        <w:gridCol w:w="2551"/>
        <w:gridCol w:w="2552"/>
      </w:tblGrid>
      <w:tr w:rsidR="003347A5" w:rsidTr="00244F75">
        <w:trPr>
          <w:trHeight w:val="70"/>
        </w:trPr>
        <w:tc>
          <w:tcPr>
            <w:tcW w:w="1276" w:type="dxa"/>
            <w:tcBorders>
              <w:top w:val="nil"/>
              <w:left w:val="nil"/>
            </w:tcBorders>
            <w:shd w:val="clear" w:color="auto" w:fill="FFFFFF" w:themeFill="background1"/>
            <w:vAlign w:val="center"/>
          </w:tcPr>
          <w:p w:rsidR="003347A5" w:rsidRPr="004545C6" w:rsidRDefault="003347A5" w:rsidP="00DB3834">
            <w:pPr>
              <w:snapToGrid w:val="0"/>
              <w:rPr>
                <w:rFonts w:asciiTheme="minorEastAsia" w:hAnsiTheme="minorEastAsia"/>
                <w:szCs w:val="21"/>
              </w:rPr>
            </w:pPr>
          </w:p>
        </w:tc>
        <w:tc>
          <w:tcPr>
            <w:tcW w:w="7513" w:type="dxa"/>
            <w:gridSpan w:val="3"/>
            <w:shd w:val="clear" w:color="auto" w:fill="B8CCE4" w:themeFill="accent1" w:themeFillTint="66"/>
            <w:vAlign w:val="center"/>
          </w:tcPr>
          <w:p w:rsidR="003347A5" w:rsidRPr="00DB3834" w:rsidRDefault="0016371F" w:rsidP="00DB3834">
            <w:pPr>
              <w:snapToGrid w:val="0"/>
              <w:jc w:val="center"/>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上</w:t>
            </w:r>
            <w:r w:rsidRPr="00DB3834">
              <w:rPr>
                <w:rFonts w:asciiTheme="majorEastAsia" w:eastAsiaTheme="majorEastAsia" w:hAnsiTheme="majorEastAsia" w:hint="eastAsia"/>
                <w:sz w:val="20"/>
                <w:szCs w:val="20"/>
                <w:shd w:val="clear" w:color="auto" w:fill="B8CCE4" w:themeFill="accent1" w:themeFillTint="66"/>
              </w:rPr>
              <w:t>段：今期</w:t>
            </w:r>
            <w:r w:rsidR="003347A5" w:rsidRPr="00DB3834">
              <w:rPr>
                <w:rFonts w:asciiTheme="majorEastAsia" w:eastAsiaTheme="majorEastAsia" w:hAnsiTheme="majorEastAsia" w:hint="eastAsia"/>
                <w:sz w:val="20"/>
                <w:szCs w:val="20"/>
                <w:shd w:val="clear" w:color="auto" w:fill="B8CCE4" w:themeFill="accent1" w:themeFillTint="66"/>
              </w:rPr>
              <w:t>直面している経営上の問題点（１位～３位）</w:t>
            </w:r>
            <w:r w:rsidRPr="00DB3834">
              <w:rPr>
                <w:rFonts w:asciiTheme="majorEastAsia" w:eastAsiaTheme="majorEastAsia" w:hAnsiTheme="majorEastAsia" w:hint="eastAsia"/>
                <w:sz w:val="20"/>
                <w:szCs w:val="20"/>
                <w:shd w:val="clear" w:color="auto" w:fill="B8CCE4" w:themeFill="accent1" w:themeFillTint="66"/>
              </w:rPr>
              <w:t>／下段：</w:t>
            </w:r>
            <w:r w:rsidR="00B343D1" w:rsidRPr="00DB3834">
              <w:rPr>
                <w:rFonts w:asciiTheme="majorEastAsia" w:eastAsiaTheme="majorEastAsia" w:hAnsiTheme="majorEastAsia" w:hint="eastAsia"/>
                <w:sz w:val="20"/>
                <w:szCs w:val="20"/>
                <w:shd w:val="clear" w:color="auto" w:fill="B8CCE4" w:themeFill="accent1" w:themeFillTint="66"/>
              </w:rPr>
              <w:t>（％）</w:t>
            </w:r>
          </w:p>
        </w:tc>
      </w:tr>
      <w:tr w:rsidR="008F1BBB" w:rsidTr="00244F75">
        <w:trPr>
          <w:trHeight w:val="255"/>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製造業</w:t>
            </w:r>
          </w:p>
        </w:tc>
        <w:tc>
          <w:tcPr>
            <w:tcW w:w="2410" w:type="dxa"/>
            <w:tcBorders>
              <w:bottom w:val="dotted" w:sz="4" w:space="0" w:color="auto"/>
            </w:tcBorders>
            <w:vAlign w:val="center"/>
          </w:tcPr>
          <w:p w:rsidR="008F1BBB" w:rsidRPr="006153E3" w:rsidRDefault="008F1BBB" w:rsidP="0092287C">
            <w:pPr>
              <w:snapToGrid w:val="0"/>
              <w:rPr>
                <w:rFonts w:asciiTheme="minorEastAsia" w:hAnsiTheme="minorEastAsia"/>
                <w:sz w:val="18"/>
                <w:szCs w:val="18"/>
              </w:rPr>
            </w:pPr>
            <w:r w:rsidRPr="006153E3">
              <w:rPr>
                <w:rFonts w:asciiTheme="minorEastAsia" w:hAnsiTheme="minorEastAsia" w:hint="eastAsia"/>
                <w:sz w:val="18"/>
                <w:szCs w:val="18"/>
              </w:rPr>
              <w:t>需要の停滞</w:t>
            </w:r>
          </w:p>
        </w:tc>
        <w:tc>
          <w:tcPr>
            <w:tcW w:w="2551" w:type="dxa"/>
            <w:tcBorders>
              <w:bottom w:val="dotted" w:sz="4" w:space="0" w:color="auto"/>
            </w:tcBorders>
            <w:vAlign w:val="center"/>
          </w:tcPr>
          <w:p w:rsidR="008F1BBB" w:rsidRPr="006153E3" w:rsidRDefault="00C05168" w:rsidP="00C05168">
            <w:pPr>
              <w:snapToGrid w:val="0"/>
              <w:rPr>
                <w:rFonts w:asciiTheme="minorEastAsia" w:hAnsiTheme="minorEastAsia"/>
                <w:sz w:val="18"/>
                <w:szCs w:val="18"/>
              </w:rPr>
            </w:pPr>
            <w:r w:rsidRPr="00C05168">
              <w:rPr>
                <w:rFonts w:asciiTheme="minorEastAsia" w:hAnsiTheme="minorEastAsia" w:hint="eastAsia"/>
                <w:sz w:val="18"/>
                <w:szCs w:val="18"/>
              </w:rPr>
              <w:t>製品ニーズの変化への対応</w:t>
            </w:r>
          </w:p>
        </w:tc>
        <w:tc>
          <w:tcPr>
            <w:tcW w:w="2552" w:type="dxa"/>
            <w:tcBorders>
              <w:bottom w:val="dotted" w:sz="4" w:space="0" w:color="auto"/>
            </w:tcBorders>
            <w:vAlign w:val="center"/>
          </w:tcPr>
          <w:p w:rsidR="008F1BBB" w:rsidRPr="006153E3" w:rsidRDefault="00C05168" w:rsidP="00482803">
            <w:pPr>
              <w:snapToGrid w:val="0"/>
              <w:rPr>
                <w:rFonts w:asciiTheme="minorEastAsia" w:hAnsiTheme="minorEastAsia"/>
                <w:sz w:val="18"/>
                <w:szCs w:val="18"/>
              </w:rPr>
            </w:pPr>
            <w:r w:rsidRPr="00C05168">
              <w:rPr>
                <w:rFonts w:asciiTheme="minorEastAsia" w:hAnsiTheme="minorEastAsia" w:hint="eastAsia"/>
                <w:sz w:val="18"/>
                <w:szCs w:val="18"/>
              </w:rPr>
              <w:t>生産設備の不足･老朽化</w:t>
            </w:r>
          </w:p>
        </w:tc>
      </w:tr>
      <w:tr w:rsidR="008F1BBB" w:rsidTr="00244F75">
        <w:trPr>
          <w:trHeight w:val="197"/>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10" w:type="dxa"/>
            <w:tcBorders>
              <w:top w:val="dotted" w:sz="4" w:space="0" w:color="auto"/>
            </w:tcBorders>
            <w:vAlign w:val="center"/>
          </w:tcPr>
          <w:p w:rsidR="008F1BBB" w:rsidRPr="006153E3"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26.8</w:t>
            </w:r>
            <w:r w:rsidR="007F3BA2">
              <w:rPr>
                <w:rFonts w:asciiTheme="minorEastAsia" w:hAnsiTheme="minorEastAsia" w:hint="eastAsia"/>
                <w:sz w:val="20"/>
                <w:szCs w:val="20"/>
              </w:rPr>
              <w:t>（</w:t>
            </w:r>
            <w:r>
              <w:rPr>
                <w:rFonts w:asciiTheme="minorEastAsia" w:hAnsiTheme="minorEastAsia" w:hint="eastAsia"/>
                <w:sz w:val="20"/>
                <w:szCs w:val="20"/>
              </w:rPr>
              <w:t>27.7</w:t>
            </w:r>
            <w:r w:rsidR="007F3BA2">
              <w:rPr>
                <w:rFonts w:asciiTheme="minorEastAsia" w:hAnsiTheme="minorEastAsia" w:hint="eastAsia"/>
                <w:sz w:val="20"/>
                <w:szCs w:val="20"/>
              </w:rPr>
              <w:t>）</w:t>
            </w:r>
          </w:p>
        </w:tc>
        <w:tc>
          <w:tcPr>
            <w:tcW w:w="2551" w:type="dxa"/>
            <w:tcBorders>
              <w:top w:val="dotted" w:sz="4" w:space="0" w:color="auto"/>
            </w:tcBorders>
            <w:vAlign w:val="center"/>
          </w:tcPr>
          <w:p w:rsidR="008F1BBB" w:rsidRPr="006153E3"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12.3</w:t>
            </w:r>
            <w:r w:rsidR="00482803" w:rsidRPr="006153E3">
              <w:rPr>
                <w:rFonts w:asciiTheme="minorEastAsia" w:hAnsiTheme="minorEastAsia" w:hint="eastAsia"/>
                <w:sz w:val="20"/>
                <w:szCs w:val="20"/>
              </w:rPr>
              <w:t>（</w:t>
            </w:r>
            <w:r>
              <w:rPr>
                <w:rFonts w:asciiTheme="minorEastAsia" w:hAnsiTheme="minorEastAsia" w:hint="eastAsia"/>
                <w:sz w:val="20"/>
                <w:szCs w:val="20"/>
              </w:rPr>
              <w:t>11.6</w:t>
            </w:r>
            <w:r w:rsidR="006D3D49" w:rsidRPr="006153E3">
              <w:rPr>
                <w:rFonts w:asciiTheme="minorEastAsia" w:hAnsiTheme="minorEastAsia" w:hint="eastAsia"/>
                <w:sz w:val="20"/>
                <w:szCs w:val="20"/>
              </w:rPr>
              <w:t>）</w:t>
            </w:r>
          </w:p>
        </w:tc>
        <w:tc>
          <w:tcPr>
            <w:tcW w:w="2552" w:type="dxa"/>
            <w:tcBorders>
              <w:top w:val="dotted" w:sz="4" w:space="0" w:color="auto"/>
            </w:tcBorders>
            <w:vAlign w:val="center"/>
          </w:tcPr>
          <w:p w:rsidR="008F1BBB" w:rsidRPr="006153E3"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10.2</w:t>
            </w:r>
            <w:r w:rsidR="00482803" w:rsidRPr="006153E3">
              <w:rPr>
                <w:rFonts w:asciiTheme="minorEastAsia" w:hAnsiTheme="minorEastAsia" w:hint="eastAsia"/>
                <w:sz w:val="20"/>
                <w:szCs w:val="20"/>
              </w:rPr>
              <w:t>（</w:t>
            </w:r>
            <w:r>
              <w:rPr>
                <w:rFonts w:asciiTheme="minorEastAsia" w:hAnsiTheme="minorEastAsia" w:hint="eastAsia"/>
                <w:sz w:val="20"/>
                <w:szCs w:val="20"/>
              </w:rPr>
              <w:t>13.3</w:t>
            </w:r>
            <w:r w:rsidR="006D3D49" w:rsidRPr="006153E3">
              <w:rPr>
                <w:rFonts w:asciiTheme="minorEastAsia" w:hAnsiTheme="minorEastAsia" w:hint="eastAsia"/>
                <w:sz w:val="20"/>
                <w:szCs w:val="20"/>
              </w:rPr>
              <w:t>）</w:t>
            </w:r>
          </w:p>
        </w:tc>
      </w:tr>
      <w:tr w:rsidR="008F1BBB" w:rsidTr="00244F75">
        <w:trPr>
          <w:trHeight w:val="240"/>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建設業</w:t>
            </w:r>
          </w:p>
        </w:tc>
        <w:tc>
          <w:tcPr>
            <w:tcW w:w="2410" w:type="dxa"/>
            <w:tcBorders>
              <w:bottom w:val="dotted" w:sz="4" w:space="0" w:color="auto"/>
            </w:tcBorders>
            <w:vAlign w:val="center"/>
          </w:tcPr>
          <w:p w:rsidR="008F1BBB" w:rsidRPr="006153E3" w:rsidRDefault="00015E22" w:rsidP="0092287C">
            <w:pPr>
              <w:snapToGrid w:val="0"/>
              <w:rPr>
                <w:rFonts w:asciiTheme="minorEastAsia" w:hAnsiTheme="minorEastAsia"/>
                <w:sz w:val="18"/>
                <w:szCs w:val="18"/>
              </w:rPr>
            </w:pPr>
            <w:r w:rsidRPr="006153E3">
              <w:rPr>
                <w:rFonts w:asciiTheme="minorEastAsia" w:hAnsiTheme="minorEastAsia" w:hint="eastAsia"/>
                <w:sz w:val="18"/>
                <w:szCs w:val="18"/>
              </w:rPr>
              <w:t>官公需</w:t>
            </w:r>
            <w:r w:rsidR="002D6ABD" w:rsidRPr="006153E3">
              <w:rPr>
                <w:rFonts w:asciiTheme="minorEastAsia" w:hAnsiTheme="minorEastAsia" w:hint="eastAsia"/>
                <w:sz w:val="18"/>
                <w:szCs w:val="18"/>
              </w:rPr>
              <w:t>要の停滞</w:t>
            </w:r>
          </w:p>
        </w:tc>
        <w:tc>
          <w:tcPr>
            <w:tcW w:w="2551" w:type="dxa"/>
            <w:tcBorders>
              <w:bottom w:val="dotted" w:sz="4" w:space="0" w:color="auto"/>
            </w:tcBorders>
            <w:vAlign w:val="center"/>
          </w:tcPr>
          <w:p w:rsidR="008F1BBB" w:rsidRPr="006153E3" w:rsidRDefault="00015E22" w:rsidP="0092287C">
            <w:pPr>
              <w:snapToGrid w:val="0"/>
              <w:rPr>
                <w:rFonts w:asciiTheme="minorEastAsia" w:hAnsiTheme="minorEastAsia"/>
                <w:sz w:val="18"/>
                <w:szCs w:val="18"/>
              </w:rPr>
            </w:pPr>
            <w:r w:rsidRPr="006153E3">
              <w:rPr>
                <w:rFonts w:asciiTheme="minorEastAsia" w:hAnsiTheme="minorEastAsia" w:hint="eastAsia"/>
                <w:sz w:val="18"/>
                <w:szCs w:val="18"/>
              </w:rPr>
              <w:t>民間</w:t>
            </w:r>
            <w:r w:rsidR="008F1BBB" w:rsidRPr="006153E3">
              <w:rPr>
                <w:rFonts w:asciiTheme="minorEastAsia" w:hAnsiTheme="minorEastAsia" w:hint="eastAsia"/>
                <w:sz w:val="18"/>
                <w:szCs w:val="18"/>
              </w:rPr>
              <w:t>需要の停滞</w:t>
            </w:r>
          </w:p>
        </w:tc>
        <w:tc>
          <w:tcPr>
            <w:tcW w:w="2552" w:type="dxa"/>
            <w:tcBorders>
              <w:bottom w:val="dotted" w:sz="4" w:space="0" w:color="auto"/>
            </w:tcBorders>
            <w:vAlign w:val="center"/>
          </w:tcPr>
          <w:p w:rsidR="008F1BBB" w:rsidRPr="006153E3" w:rsidRDefault="00C05168" w:rsidP="00C05168">
            <w:pPr>
              <w:snapToGrid w:val="0"/>
              <w:rPr>
                <w:rFonts w:asciiTheme="minorEastAsia" w:hAnsiTheme="minorEastAsia"/>
                <w:sz w:val="18"/>
                <w:szCs w:val="18"/>
              </w:rPr>
            </w:pPr>
            <w:r>
              <w:rPr>
                <w:rFonts w:asciiTheme="minorEastAsia" w:hAnsiTheme="minorEastAsia" w:hint="eastAsia"/>
                <w:sz w:val="18"/>
                <w:szCs w:val="18"/>
              </w:rPr>
              <w:t>請負単価の低下・上昇難</w:t>
            </w:r>
          </w:p>
        </w:tc>
      </w:tr>
      <w:tr w:rsidR="008F1BBB" w:rsidTr="00244F75">
        <w:trPr>
          <w:trHeight w:val="212"/>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10" w:type="dxa"/>
            <w:tcBorders>
              <w:top w:val="dotted" w:sz="4" w:space="0" w:color="auto"/>
            </w:tcBorders>
            <w:vAlign w:val="center"/>
          </w:tcPr>
          <w:p w:rsidR="008F1BBB" w:rsidRPr="006153E3"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17.9</w:t>
            </w:r>
            <w:r w:rsidR="00482803" w:rsidRPr="006153E3">
              <w:rPr>
                <w:rFonts w:asciiTheme="minorEastAsia" w:hAnsiTheme="minorEastAsia" w:hint="eastAsia"/>
                <w:sz w:val="20"/>
                <w:szCs w:val="20"/>
              </w:rPr>
              <w:t>（</w:t>
            </w:r>
            <w:r>
              <w:rPr>
                <w:rFonts w:asciiTheme="minorEastAsia" w:hAnsiTheme="minorEastAsia" w:hint="eastAsia"/>
                <w:sz w:val="20"/>
                <w:szCs w:val="20"/>
              </w:rPr>
              <w:t>18.2</w:t>
            </w:r>
            <w:r w:rsidR="006D3D49" w:rsidRPr="006153E3">
              <w:rPr>
                <w:rFonts w:asciiTheme="minorEastAsia" w:hAnsiTheme="minorEastAsia" w:hint="eastAsia"/>
                <w:sz w:val="20"/>
                <w:szCs w:val="20"/>
              </w:rPr>
              <w:t>）</w:t>
            </w:r>
          </w:p>
        </w:tc>
        <w:tc>
          <w:tcPr>
            <w:tcW w:w="2551" w:type="dxa"/>
            <w:tcBorders>
              <w:top w:val="dotted" w:sz="4" w:space="0" w:color="auto"/>
            </w:tcBorders>
            <w:vAlign w:val="center"/>
          </w:tcPr>
          <w:p w:rsidR="008F1BBB" w:rsidRPr="006153E3"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17.9</w:t>
            </w:r>
            <w:r w:rsidR="00FB1A16">
              <w:rPr>
                <w:rFonts w:asciiTheme="minorEastAsia" w:hAnsiTheme="minorEastAsia" w:hint="eastAsia"/>
                <w:sz w:val="20"/>
                <w:szCs w:val="20"/>
              </w:rPr>
              <w:t>（</w:t>
            </w:r>
            <w:r>
              <w:rPr>
                <w:rFonts w:asciiTheme="minorEastAsia" w:hAnsiTheme="minorEastAsia" w:hint="eastAsia"/>
                <w:sz w:val="20"/>
                <w:szCs w:val="20"/>
              </w:rPr>
              <w:t>16.1</w:t>
            </w:r>
            <w:r w:rsidR="00482803" w:rsidRPr="006153E3">
              <w:rPr>
                <w:rFonts w:asciiTheme="minorEastAsia" w:hAnsiTheme="minorEastAsia" w:hint="eastAsia"/>
                <w:sz w:val="20"/>
                <w:szCs w:val="20"/>
              </w:rPr>
              <w:t>）</w:t>
            </w:r>
          </w:p>
        </w:tc>
        <w:tc>
          <w:tcPr>
            <w:tcW w:w="2552" w:type="dxa"/>
            <w:tcBorders>
              <w:top w:val="dotted" w:sz="4" w:space="0" w:color="auto"/>
            </w:tcBorders>
            <w:vAlign w:val="center"/>
          </w:tcPr>
          <w:p w:rsidR="008F1BBB" w:rsidRPr="006153E3"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11.3</w:t>
            </w:r>
            <w:r w:rsidR="00482803" w:rsidRPr="006153E3">
              <w:rPr>
                <w:rFonts w:asciiTheme="minorEastAsia" w:hAnsiTheme="minorEastAsia" w:hint="eastAsia"/>
                <w:sz w:val="20"/>
                <w:szCs w:val="20"/>
              </w:rPr>
              <w:t>（</w:t>
            </w:r>
            <w:r>
              <w:rPr>
                <w:rFonts w:asciiTheme="minorEastAsia" w:hAnsiTheme="minorEastAsia" w:hint="eastAsia"/>
                <w:sz w:val="20"/>
                <w:szCs w:val="20"/>
              </w:rPr>
              <w:t>12.3</w:t>
            </w:r>
            <w:r w:rsidR="00482803" w:rsidRPr="006153E3">
              <w:rPr>
                <w:rFonts w:asciiTheme="minorEastAsia" w:hAnsiTheme="minorEastAsia" w:hint="eastAsia"/>
                <w:sz w:val="20"/>
                <w:szCs w:val="20"/>
              </w:rPr>
              <w:t>）</w:t>
            </w:r>
          </w:p>
        </w:tc>
      </w:tr>
      <w:tr w:rsidR="008F1BBB" w:rsidTr="00244F75">
        <w:trPr>
          <w:trHeight w:val="167"/>
        </w:trPr>
        <w:tc>
          <w:tcPr>
            <w:tcW w:w="1276" w:type="dxa"/>
            <w:vMerge w:val="restart"/>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卸売業</w:t>
            </w:r>
          </w:p>
        </w:tc>
        <w:tc>
          <w:tcPr>
            <w:tcW w:w="2410" w:type="dxa"/>
            <w:tcBorders>
              <w:bottom w:val="dotted" w:sz="4" w:space="0" w:color="auto"/>
            </w:tcBorders>
            <w:vAlign w:val="center"/>
          </w:tcPr>
          <w:p w:rsidR="008F1BBB" w:rsidRPr="00CC63A8" w:rsidRDefault="008F1BBB"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551" w:type="dxa"/>
            <w:tcBorders>
              <w:bottom w:val="dotted" w:sz="4" w:space="0" w:color="auto"/>
            </w:tcBorders>
            <w:vAlign w:val="center"/>
          </w:tcPr>
          <w:p w:rsidR="008F1BBB" w:rsidRPr="007F0FB0" w:rsidRDefault="00C05168" w:rsidP="00C05168">
            <w:pPr>
              <w:snapToGrid w:val="0"/>
              <w:rPr>
                <w:rFonts w:asciiTheme="minorEastAsia" w:hAnsiTheme="minorEastAsia"/>
                <w:sz w:val="16"/>
                <w:szCs w:val="16"/>
              </w:rPr>
            </w:pPr>
            <w:r w:rsidRPr="007F0FB0">
              <w:rPr>
                <w:rFonts w:asciiTheme="minorEastAsia" w:hAnsiTheme="minorEastAsia" w:hint="eastAsia"/>
                <w:sz w:val="18"/>
                <w:szCs w:val="18"/>
              </w:rPr>
              <w:t>仕入単価の上昇</w:t>
            </w:r>
          </w:p>
        </w:tc>
        <w:tc>
          <w:tcPr>
            <w:tcW w:w="2552" w:type="dxa"/>
            <w:tcBorders>
              <w:bottom w:val="dotted" w:sz="4" w:space="0" w:color="auto"/>
            </w:tcBorders>
            <w:vAlign w:val="center"/>
          </w:tcPr>
          <w:p w:rsidR="008F1BBB" w:rsidRPr="007F0FB0" w:rsidRDefault="00C05168" w:rsidP="00C05168">
            <w:pPr>
              <w:snapToGrid w:val="0"/>
              <w:rPr>
                <w:rFonts w:asciiTheme="minorEastAsia" w:hAnsiTheme="minorEastAsia"/>
                <w:sz w:val="18"/>
                <w:szCs w:val="18"/>
              </w:rPr>
            </w:pPr>
            <w:r>
              <w:rPr>
                <w:rFonts w:asciiTheme="minorEastAsia" w:hAnsiTheme="minorEastAsia" w:hint="eastAsia"/>
                <w:sz w:val="18"/>
                <w:szCs w:val="18"/>
              </w:rPr>
              <w:t>従業員の確保難</w:t>
            </w:r>
          </w:p>
        </w:tc>
      </w:tr>
      <w:tr w:rsidR="008F1BBB" w:rsidTr="00244F75">
        <w:trPr>
          <w:trHeight w:val="285"/>
        </w:trPr>
        <w:tc>
          <w:tcPr>
            <w:tcW w:w="1276" w:type="dxa"/>
            <w:vMerge/>
            <w:shd w:val="clear" w:color="auto" w:fill="B8CCE4" w:themeFill="accent1" w:themeFillTint="66"/>
            <w:vAlign w:val="center"/>
          </w:tcPr>
          <w:p w:rsidR="008F1BBB" w:rsidRPr="00DB3834" w:rsidRDefault="008F1BBB" w:rsidP="00DB3834">
            <w:pPr>
              <w:snapToGrid w:val="0"/>
              <w:rPr>
                <w:rFonts w:asciiTheme="majorEastAsia" w:eastAsiaTheme="majorEastAsia" w:hAnsiTheme="majorEastAsia"/>
                <w:sz w:val="20"/>
                <w:szCs w:val="20"/>
              </w:rPr>
            </w:pPr>
          </w:p>
        </w:tc>
        <w:tc>
          <w:tcPr>
            <w:tcW w:w="2410" w:type="dxa"/>
            <w:tcBorders>
              <w:top w:val="dotted" w:sz="4" w:space="0" w:color="auto"/>
            </w:tcBorders>
            <w:vAlign w:val="center"/>
          </w:tcPr>
          <w:p w:rsidR="008F1BBB" w:rsidRPr="00CC63A8"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34.8</w:t>
            </w:r>
            <w:r w:rsidR="00FB1A16">
              <w:rPr>
                <w:rFonts w:asciiTheme="minorEastAsia" w:hAnsiTheme="minorEastAsia" w:hint="eastAsia"/>
                <w:sz w:val="20"/>
                <w:szCs w:val="20"/>
              </w:rPr>
              <w:t>（</w:t>
            </w:r>
            <w:r>
              <w:rPr>
                <w:rFonts w:asciiTheme="minorEastAsia" w:hAnsiTheme="minorEastAsia" w:hint="eastAsia"/>
                <w:sz w:val="20"/>
                <w:szCs w:val="20"/>
              </w:rPr>
              <w:t>35.9</w:t>
            </w:r>
            <w:r w:rsidR="00482803" w:rsidRPr="00CC63A8">
              <w:rPr>
                <w:rFonts w:asciiTheme="minorEastAsia" w:hAnsiTheme="minorEastAsia" w:hint="eastAsia"/>
                <w:sz w:val="20"/>
                <w:szCs w:val="20"/>
              </w:rPr>
              <w:t>）</w:t>
            </w:r>
          </w:p>
        </w:tc>
        <w:tc>
          <w:tcPr>
            <w:tcW w:w="2551" w:type="dxa"/>
            <w:tcBorders>
              <w:top w:val="dotted" w:sz="4" w:space="0" w:color="auto"/>
            </w:tcBorders>
            <w:vAlign w:val="center"/>
          </w:tcPr>
          <w:p w:rsidR="008F1BBB" w:rsidRPr="00CC63A8"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10.6</w:t>
            </w:r>
            <w:r w:rsidR="00FB1A16">
              <w:rPr>
                <w:rFonts w:asciiTheme="minorEastAsia" w:hAnsiTheme="minorEastAsia" w:hint="eastAsia"/>
                <w:sz w:val="20"/>
                <w:szCs w:val="20"/>
              </w:rPr>
              <w:t>（</w:t>
            </w:r>
            <w:r>
              <w:rPr>
                <w:rFonts w:asciiTheme="minorEastAsia" w:hAnsiTheme="minorEastAsia" w:hint="eastAsia"/>
                <w:sz w:val="20"/>
                <w:szCs w:val="20"/>
              </w:rPr>
              <w:t>8.7</w:t>
            </w:r>
            <w:r w:rsidR="00FB1A16">
              <w:rPr>
                <w:rFonts w:asciiTheme="minorEastAsia" w:hAnsiTheme="minorEastAsia" w:hint="eastAsia"/>
                <w:sz w:val="20"/>
                <w:szCs w:val="20"/>
              </w:rPr>
              <w:t>）</w:t>
            </w:r>
          </w:p>
        </w:tc>
        <w:tc>
          <w:tcPr>
            <w:tcW w:w="2552" w:type="dxa"/>
            <w:tcBorders>
              <w:top w:val="dotted" w:sz="4" w:space="0" w:color="auto"/>
            </w:tcBorders>
            <w:vAlign w:val="center"/>
          </w:tcPr>
          <w:p w:rsidR="008F1BBB" w:rsidRPr="00CC63A8" w:rsidRDefault="00C05168" w:rsidP="00C05168">
            <w:pPr>
              <w:wordWrap w:val="0"/>
              <w:snapToGrid w:val="0"/>
              <w:jc w:val="right"/>
              <w:rPr>
                <w:rFonts w:asciiTheme="minorEastAsia" w:hAnsiTheme="minorEastAsia"/>
                <w:sz w:val="20"/>
                <w:szCs w:val="20"/>
              </w:rPr>
            </w:pPr>
            <w:r>
              <w:rPr>
                <w:rFonts w:asciiTheme="minorEastAsia" w:hAnsiTheme="minorEastAsia" w:hint="eastAsia"/>
                <w:sz w:val="20"/>
                <w:szCs w:val="20"/>
              </w:rPr>
              <w:t>7.6</w:t>
            </w:r>
            <w:r w:rsidR="00E92507" w:rsidRPr="00CC63A8">
              <w:rPr>
                <w:rFonts w:asciiTheme="minorEastAsia" w:hAnsiTheme="minorEastAsia" w:hint="eastAsia"/>
                <w:sz w:val="20"/>
                <w:szCs w:val="20"/>
              </w:rPr>
              <w:t>（</w:t>
            </w:r>
            <w:r>
              <w:rPr>
                <w:rFonts w:asciiTheme="minorEastAsia" w:hAnsiTheme="minorEastAsia" w:hint="eastAsia"/>
                <w:sz w:val="20"/>
                <w:szCs w:val="20"/>
              </w:rPr>
              <w:t>－</w:t>
            </w:r>
            <w:r w:rsidR="002F7204" w:rsidRPr="00CC63A8">
              <w:rPr>
                <w:rFonts w:asciiTheme="minorEastAsia" w:hAnsiTheme="minorEastAsia" w:hint="eastAsia"/>
                <w:sz w:val="20"/>
                <w:szCs w:val="20"/>
              </w:rPr>
              <w:t>）</w:t>
            </w:r>
          </w:p>
        </w:tc>
      </w:tr>
      <w:tr w:rsidR="00056F27" w:rsidTr="00244F75">
        <w:trPr>
          <w:trHeight w:val="240"/>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小売業</w:t>
            </w:r>
          </w:p>
        </w:tc>
        <w:tc>
          <w:tcPr>
            <w:tcW w:w="2410" w:type="dxa"/>
            <w:tcBorders>
              <w:bottom w:val="dotted" w:sz="4" w:space="0" w:color="auto"/>
            </w:tcBorders>
            <w:vAlign w:val="center"/>
          </w:tcPr>
          <w:p w:rsidR="00056F27" w:rsidRPr="00CC63A8" w:rsidRDefault="008A639D" w:rsidP="008A639D">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551" w:type="dxa"/>
            <w:tcBorders>
              <w:bottom w:val="dotted" w:sz="4" w:space="0" w:color="auto"/>
            </w:tcBorders>
            <w:vAlign w:val="center"/>
          </w:tcPr>
          <w:p w:rsidR="00056F27" w:rsidRPr="00CC63A8" w:rsidRDefault="008A639D" w:rsidP="0087683B">
            <w:pPr>
              <w:snapToGrid w:val="0"/>
              <w:rPr>
                <w:rFonts w:asciiTheme="minorEastAsia" w:hAnsiTheme="minorEastAsia"/>
                <w:sz w:val="16"/>
                <w:szCs w:val="16"/>
              </w:rPr>
            </w:pPr>
            <w:r w:rsidRPr="00CC63A8">
              <w:rPr>
                <w:rFonts w:asciiTheme="minorEastAsia" w:hAnsiTheme="minorEastAsia" w:hint="eastAsia"/>
                <w:sz w:val="16"/>
                <w:szCs w:val="16"/>
              </w:rPr>
              <w:t>大</w:t>
            </w:r>
            <w:r w:rsidR="001A246E" w:rsidRPr="00CC63A8">
              <w:rPr>
                <w:rFonts w:asciiTheme="minorEastAsia" w:hAnsiTheme="minorEastAsia" w:hint="eastAsia"/>
                <w:sz w:val="16"/>
                <w:szCs w:val="16"/>
              </w:rPr>
              <w:t>･</w:t>
            </w:r>
            <w:r w:rsidRPr="00CC63A8">
              <w:rPr>
                <w:rFonts w:asciiTheme="minorEastAsia" w:hAnsiTheme="minorEastAsia" w:hint="eastAsia"/>
                <w:sz w:val="16"/>
                <w:szCs w:val="16"/>
              </w:rPr>
              <w:t>中型店の進出による競争激化</w:t>
            </w:r>
          </w:p>
        </w:tc>
        <w:tc>
          <w:tcPr>
            <w:tcW w:w="2552" w:type="dxa"/>
            <w:tcBorders>
              <w:bottom w:val="dotted" w:sz="4" w:space="0" w:color="auto"/>
            </w:tcBorders>
            <w:vAlign w:val="center"/>
          </w:tcPr>
          <w:p w:rsidR="00056F27" w:rsidRPr="007F0FB0" w:rsidRDefault="00C05168" w:rsidP="00C05168">
            <w:pPr>
              <w:snapToGrid w:val="0"/>
              <w:rPr>
                <w:rFonts w:asciiTheme="minorEastAsia" w:hAnsiTheme="minorEastAsia"/>
                <w:sz w:val="18"/>
                <w:szCs w:val="18"/>
              </w:rPr>
            </w:pPr>
            <w:r>
              <w:rPr>
                <w:rFonts w:asciiTheme="minorEastAsia" w:hAnsiTheme="minorEastAsia" w:hint="eastAsia"/>
                <w:sz w:val="18"/>
                <w:szCs w:val="18"/>
              </w:rPr>
              <w:t>消費者ニーズの変化への対応</w:t>
            </w:r>
          </w:p>
        </w:tc>
      </w:tr>
      <w:tr w:rsidR="00056F27" w:rsidTr="00244F75">
        <w:trPr>
          <w:trHeight w:val="212"/>
        </w:trPr>
        <w:tc>
          <w:tcPr>
            <w:tcW w:w="1276" w:type="dxa"/>
            <w:vMerge/>
            <w:shd w:val="clear" w:color="auto" w:fill="B8CCE4" w:themeFill="accent1" w:themeFillTint="66"/>
            <w:vAlign w:val="center"/>
          </w:tcPr>
          <w:p w:rsidR="00056F27" w:rsidRPr="00647ABE" w:rsidRDefault="00056F27" w:rsidP="00DB3834">
            <w:pPr>
              <w:snapToGrid w:val="0"/>
              <w:rPr>
                <w:rFonts w:asciiTheme="majorEastAsia" w:eastAsiaTheme="majorEastAsia" w:hAnsiTheme="majorEastAsia"/>
                <w:szCs w:val="21"/>
              </w:rPr>
            </w:pPr>
          </w:p>
        </w:tc>
        <w:tc>
          <w:tcPr>
            <w:tcW w:w="2410" w:type="dxa"/>
            <w:tcBorders>
              <w:top w:val="dotted" w:sz="4" w:space="0" w:color="auto"/>
            </w:tcBorders>
            <w:vAlign w:val="center"/>
          </w:tcPr>
          <w:p w:rsidR="00056F27" w:rsidRPr="00CC63A8"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18.2</w:t>
            </w:r>
            <w:r w:rsidR="00FE7B5A">
              <w:rPr>
                <w:rFonts w:asciiTheme="minorEastAsia" w:hAnsiTheme="minorEastAsia" w:hint="eastAsia"/>
                <w:sz w:val="20"/>
                <w:szCs w:val="20"/>
              </w:rPr>
              <w:t>（</w:t>
            </w:r>
            <w:r>
              <w:rPr>
                <w:rFonts w:asciiTheme="minorEastAsia" w:hAnsiTheme="minorEastAsia" w:hint="eastAsia"/>
                <w:sz w:val="20"/>
                <w:szCs w:val="20"/>
              </w:rPr>
              <w:t>17.5</w:t>
            </w:r>
            <w:r w:rsidR="00205AE7" w:rsidRPr="00CC63A8">
              <w:rPr>
                <w:rFonts w:asciiTheme="minorEastAsia" w:hAnsiTheme="minorEastAsia" w:hint="eastAsia"/>
                <w:sz w:val="20"/>
                <w:szCs w:val="20"/>
              </w:rPr>
              <w:t>）</w:t>
            </w:r>
          </w:p>
        </w:tc>
        <w:tc>
          <w:tcPr>
            <w:tcW w:w="2551" w:type="dxa"/>
            <w:tcBorders>
              <w:top w:val="dotted" w:sz="4" w:space="0" w:color="auto"/>
            </w:tcBorders>
            <w:vAlign w:val="center"/>
          </w:tcPr>
          <w:p w:rsidR="00056F27" w:rsidRPr="00CC63A8" w:rsidRDefault="007F0FB0" w:rsidP="00C05168">
            <w:pPr>
              <w:snapToGrid w:val="0"/>
              <w:jc w:val="right"/>
              <w:rPr>
                <w:rFonts w:asciiTheme="minorEastAsia" w:hAnsiTheme="minorEastAsia"/>
                <w:sz w:val="20"/>
                <w:szCs w:val="20"/>
              </w:rPr>
            </w:pPr>
            <w:r>
              <w:rPr>
                <w:rFonts w:asciiTheme="minorEastAsia" w:hAnsiTheme="minorEastAsia" w:hint="eastAsia"/>
                <w:sz w:val="20"/>
                <w:szCs w:val="20"/>
              </w:rPr>
              <w:t>17.</w:t>
            </w:r>
            <w:r w:rsidR="00C05168">
              <w:rPr>
                <w:rFonts w:asciiTheme="minorEastAsia" w:hAnsiTheme="minorEastAsia" w:hint="eastAsia"/>
                <w:sz w:val="20"/>
                <w:szCs w:val="20"/>
              </w:rPr>
              <w:t>3</w:t>
            </w:r>
            <w:r w:rsidR="00FE7B5A">
              <w:rPr>
                <w:rFonts w:asciiTheme="minorEastAsia" w:hAnsiTheme="minorEastAsia" w:hint="eastAsia"/>
                <w:sz w:val="20"/>
                <w:szCs w:val="20"/>
              </w:rPr>
              <w:t>（17.</w:t>
            </w:r>
            <w:r w:rsidR="00C05168">
              <w:rPr>
                <w:rFonts w:asciiTheme="minorEastAsia" w:hAnsiTheme="minorEastAsia" w:hint="eastAsia"/>
                <w:sz w:val="20"/>
                <w:szCs w:val="20"/>
              </w:rPr>
              <w:t>0</w:t>
            </w:r>
            <w:r w:rsidR="001A246E" w:rsidRPr="00CC63A8">
              <w:rPr>
                <w:rFonts w:asciiTheme="minorEastAsia" w:hAnsiTheme="minorEastAsia" w:hint="eastAsia"/>
                <w:sz w:val="20"/>
                <w:szCs w:val="20"/>
              </w:rPr>
              <w:t>）</w:t>
            </w:r>
          </w:p>
        </w:tc>
        <w:tc>
          <w:tcPr>
            <w:tcW w:w="2552" w:type="dxa"/>
            <w:tcBorders>
              <w:top w:val="dotted" w:sz="4" w:space="0" w:color="auto"/>
            </w:tcBorders>
            <w:vAlign w:val="center"/>
          </w:tcPr>
          <w:p w:rsidR="00056F27" w:rsidRPr="00CC63A8" w:rsidRDefault="007F0FB0" w:rsidP="00C05168">
            <w:pPr>
              <w:snapToGrid w:val="0"/>
              <w:jc w:val="right"/>
              <w:rPr>
                <w:rFonts w:asciiTheme="minorEastAsia" w:hAnsiTheme="minorEastAsia"/>
                <w:sz w:val="20"/>
                <w:szCs w:val="20"/>
              </w:rPr>
            </w:pPr>
            <w:r>
              <w:rPr>
                <w:rFonts w:asciiTheme="minorEastAsia" w:hAnsiTheme="minorEastAsia" w:hint="eastAsia"/>
                <w:sz w:val="20"/>
                <w:szCs w:val="20"/>
              </w:rPr>
              <w:t>15.8</w:t>
            </w:r>
            <w:r w:rsidR="00FE7B5A">
              <w:rPr>
                <w:rFonts w:asciiTheme="minorEastAsia" w:hAnsiTheme="minorEastAsia" w:hint="eastAsia"/>
                <w:sz w:val="20"/>
                <w:szCs w:val="20"/>
              </w:rPr>
              <w:t>（</w:t>
            </w:r>
            <w:r w:rsidR="00C05168">
              <w:rPr>
                <w:rFonts w:asciiTheme="minorEastAsia" w:hAnsiTheme="minorEastAsia" w:hint="eastAsia"/>
                <w:sz w:val="20"/>
                <w:szCs w:val="20"/>
              </w:rPr>
              <w:t>16.0</w:t>
            </w:r>
            <w:r w:rsidR="00205AE7" w:rsidRPr="00CC63A8">
              <w:rPr>
                <w:rFonts w:asciiTheme="minorEastAsia" w:hAnsiTheme="minorEastAsia" w:hint="eastAsia"/>
                <w:sz w:val="20"/>
                <w:szCs w:val="20"/>
              </w:rPr>
              <w:t>）</w:t>
            </w:r>
          </w:p>
        </w:tc>
      </w:tr>
      <w:tr w:rsidR="00056F27" w:rsidTr="00244F75">
        <w:trPr>
          <w:trHeight w:val="212"/>
        </w:trPr>
        <w:tc>
          <w:tcPr>
            <w:tcW w:w="1276" w:type="dxa"/>
            <w:vMerge w:val="restart"/>
            <w:shd w:val="clear" w:color="auto" w:fill="B8CCE4" w:themeFill="accent1" w:themeFillTint="66"/>
            <w:vAlign w:val="center"/>
          </w:tcPr>
          <w:p w:rsidR="00056F27" w:rsidRPr="00DB3834" w:rsidRDefault="00056F27" w:rsidP="00DB3834">
            <w:pPr>
              <w:snapToGrid w:val="0"/>
              <w:rPr>
                <w:rFonts w:asciiTheme="majorEastAsia" w:eastAsiaTheme="majorEastAsia" w:hAnsiTheme="majorEastAsia"/>
                <w:sz w:val="20"/>
                <w:szCs w:val="20"/>
              </w:rPr>
            </w:pPr>
            <w:r w:rsidRPr="00DB3834">
              <w:rPr>
                <w:rFonts w:asciiTheme="majorEastAsia" w:eastAsiaTheme="majorEastAsia" w:hAnsiTheme="majorEastAsia" w:hint="eastAsia"/>
                <w:sz w:val="20"/>
                <w:szCs w:val="20"/>
              </w:rPr>
              <w:t>サービス業</w:t>
            </w:r>
          </w:p>
        </w:tc>
        <w:tc>
          <w:tcPr>
            <w:tcW w:w="2410" w:type="dxa"/>
            <w:tcBorders>
              <w:bottom w:val="dotted" w:sz="4" w:space="0" w:color="auto"/>
            </w:tcBorders>
            <w:vAlign w:val="center"/>
          </w:tcPr>
          <w:p w:rsidR="00056F27" w:rsidRPr="00CC63A8" w:rsidRDefault="00056F27" w:rsidP="00DB3834">
            <w:pPr>
              <w:snapToGrid w:val="0"/>
              <w:rPr>
                <w:rFonts w:asciiTheme="minorEastAsia" w:hAnsiTheme="minorEastAsia"/>
                <w:sz w:val="16"/>
                <w:szCs w:val="16"/>
              </w:rPr>
            </w:pPr>
            <w:r w:rsidRPr="00CC63A8">
              <w:rPr>
                <w:rFonts w:asciiTheme="minorEastAsia" w:hAnsiTheme="minorEastAsia" w:hint="eastAsia"/>
                <w:sz w:val="16"/>
                <w:szCs w:val="16"/>
              </w:rPr>
              <w:t>利用者ニーズの変化への対応</w:t>
            </w:r>
          </w:p>
        </w:tc>
        <w:tc>
          <w:tcPr>
            <w:tcW w:w="2551" w:type="dxa"/>
            <w:tcBorders>
              <w:bottom w:val="dotted" w:sz="4" w:space="0" w:color="auto"/>
            </w:tcBorders>
            <w:vAlign w:val="center"/>
          </w:tcPr>
          <w:p w:rsidR="00056F27" w:rsidRPr="00CC63A8" w:rsidRDefault="00056F27" w:rsidP="00DB3834">
            <w:pPr>
              <w:snapToGrid w:val="0"/>
              <w:rPr>
                <w:rFonts w:asciiTheme="minorEastAsia" w:hAnsiTheme="minorEastAsia"/>
                <w:sz w:val="18"/>
                <w:szCs w:val="18"/>
              </w:rPr>
            </w:pPr>
            <w:r w:rsidRPr="00CC63A8">
              <w:rPr>
                <w:rFonts w:asciiTheme="minorEastAsia" w:hAnsiTheme="minorEastAsia" w:hint="eastAsia"/>
                <w:sz w:val="18"/>
                <w:szCs w:val="18"/>
              </w:rPr>
              <w:t>需要の停滞</w:t>
            </w:r>
          </w:p>
        </w:tc>
        <w:tc>
          <w:tcPr>
            <w:tcW w:w="2552" w:type="dxa"/>
            <w:tcBorders>
              <w:bottom w:val="dotted" w:sz="4" w:space="0" w:color="auto"/>
            </w:tcBorders>
            <w:vAlign w:val="center"/>
          </w:tcPr>
          <w:p w:rsidR="00056F27" w:rsidRPr="00CC63A8" w:rsidRDefault="007F0FB0" w:rsidP="007F0FB0">
            <w:pPr>
              <w:snapToGrid w:val="0"/>
              <w:rPr>
                <w:rFonts w:asciiTheme="minorEastAsia" w:hAnsiTheme="minorEastAsia"/>
                <w:sz w:val="18"/>
                <w:szCs w:val="18"/>
              </w:rPr>
            </w:pPr>
            <w:r>
              <w:rPr>
                <w:rFonts w:asciiTheme="minorEastAsia" w:hAnsiTheme="minorEastAsia" w:hint="eastAsia"/>
                <w:sz w:val="18"/>
                <w:szCs w:val="18"/>
              </w:rPr>
              <w:t>従業員の確保難</w:t>
            </w:r>
          </w:p>
        </w:tc>
      </w:tr>
      <w:tr w:rsidR="00056F27" w:rsidTr="00244F75">
        <w:trPr>
          <w:trHeight w:val="240"/>
        </w:trPr>
        <w:tc>
          <w:tcPr>
            <w:tcW w:w="1276" w:type="dxa"/>
            <w:vMerge/>
            <w:shd w:val="clear" w:color="auto" w:fill="B8CCE4" w:themeFill="accent1" w:themeFillTint="66"/>
            <w:vAlign w:val="center"/>
          </w:tcPr>
          <w:p w:rsidR="00056F27" w:rsidRPr="003347A5" w:rsidRDefault="00056F27" w:rsidP="00DB3834">
            <w:pPr>
              <w:snapToGrid w:val="0"/>
              <w:rPr>
                <w:rFonts w:asciiTheme="minorEastAsia" w:hAnsiTheme="minorEastAsia"/>
                <w:szCs w:val="21"/>
              </w:rPr>
            </w:pPr>
          </w:p>
        </w:tc>
        <w:tc>
          <w:tcPr>
            <w:tcW w:w="2410" w:type="dxa"/>
            <w:tcBorders>
              <w:top w:val="dotted" w:sz="4" w:space="0" w:color="auto"/>
            </w:tcBorders>
            <w:vAlign w:val="center"/>
          </w:tcPr>
          <w:p w:rsidR="00056F27" w:rsidRPr="00CC63A8"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19.7</w:t>
            </w:r>
            <w:r w:rsidR="00FE7B5A">
              <w:rPr>
                <w:rFonts w:asciiTheme="minorEastAsia" w:hAnsiTheme="minorEastAsia" w:hint="eastAsia"/>
                <w:sz w:val="20"/>
                <w:szCs w:val="20"/>
              </w:rPr>
              <w:t>（</w:t>
            </w:r>
            <w:r>
              <w:rPr>
                <w:rFonts w:asciiTheme="minorEastAsia" w:hAnsiTheme="minorEastAsia" w:hint="eastAsia"/>
                <w:sz w:val="20"/>
                <w:szCs w:val="20"/>
              </w:rPr>
              <w:t>19.4</w:t>
            </w:r>
            <w:r w:rsidR="00205AE7" w:rsidRPr="00CC63A8">
              <w:rPr>
                <w:rFonts w:asciiTheme="minorEastAsia" w:hAnsiTheme="minorEastAsia" w:hint="eastAsia"/>
                <w:sz w:val="20"/>
                <w:szCs w:val="20"/>
              </w:rPr>
              <w:t>）</w:t>
            </w:r>
          </w:p>
        </w:tc>
        <w:tc>
          <w:tcPr>
            <w:tcW w:w="2551" w:type="dxa"/>
            <w:tcBorders>
              <w:top w:val="dotted" w:sz="4" w:space="0" w:color="auto"/>
            </w:tcBorders>
            <w:vAlign w:val="center"/>
          </w:tcPr>
          <w:p w:rsidR="00056F27" w:rsidRPr="00CC63A8"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16.3</w:t>
            </w:r>
            <w:r w:rsidR="00FE7B5A">
              <w:rPr>
                <w:rFonts w:asciiTheme="minorEastAsia" w:hAnsiTheme="minorEastAsia" w:hint="eastAsia"/>
                <w:sz w:val="20"/>
                <w:szCs w:val="20"/>
              </w:rPr>
              <w:t>（</w:t>
            </w:r>
            <w:r>
              <w:rPr>
                <w:rFonts w:asciiTheme="minorEastAsia" w:hAnsiTheme="minorEastAsia" w:hint="eastAsia"/>
                <w:sz w:val="20"/>
                <w:szCs w:val="20"/>
              </w:rPr>
              <w:t>15.8</w:t>
            </w:r>
            <w:r w:rsidR="00056F27" w:rsidRPr="00CC63A8">
              <w:rPr>
                <w:rFonts w:asciiTheme="minorEastAsia" w:hAnsiTheme="minorEastAsia" w:hint="eastAsia"/>
                <w:sz w:val="20"/>
                <w:szCs w:val="20"/>
              </w:rPr>
              <w:t>）</w:t>
            </w:r>
          </w:p>
        </w:tc>
        <w:tc>
          <w:tcPr>
            <w:tcW w:w="2552" w:type="dxa"/>
            <w:tcBorders>
              <w:top w:val="dotted" w:sz="4" w:space="0" w:color="auto"/>
            </w:tcBorders>
            <w:vAlign w:val="center"/>
          </w:tcPr>
          <w:p w:rsidR="00056F27" w:rsidRPr="00CC63A8" w:rsidRDefault="00C05168" w:rsidP="00C05168">
            <w:pPr>
              <w:snapToGrid w:val="0"/>
              <w:jc w:val="right"/>
              <w:rPr>
                <w:rFonts w:asciiTheme="minorEastAsia" w:hAnsiTheme="minorEastAsia"/>
                <w:sz w:val="20"/>
                <w:szCs w:val="20"/>
              </w:rPr>
            </w:pPr>
            <w:r>
              <w:rPr>
                <w:rFonts w:asciiTheme="minorEastAsia" w:hAnsiTheme="minorEastAsia" w:hint="eastAsia"/>
                <w:sz w:val="20"/>
                <w:szCs w:val="20"/>
              </w:rPr>
              <w:t>12.4</w:t>
            </w:r>
            <w:r w:rsidR="00DA7B5E" w:rsidRPr="00CC63A8">
              <w:rPr>
                <w:rFonts w:asciiTheme="minorEastAsia" w:hAnsiTheme="minorEastAsia" w:hint="eastAsia"/>
                <w:sz w:val="20"/>
                <w:szCs w:val="20"/>
              </w:rPr>
              <w:t>（</w:t>
            </w:r>
            <w:r>
              <w:rPr>
                <w:rFonts w:asciiTheme="minorEastAsia" w:hAnsiTheme="minorEastAsia" w:hint="eastAsia"/>
                <w:sz w:val="20"/>
                <w:szCs w:val="20"/>
              </w:rPr>
              <w:t>9.0</w:t>
            </w:r>
            <w:r w:rsidR="008A639D" w:rsidRPr="00CC63A8">
              <w:rPr>
                <w:rFonts w:asciiTheme="minorEastAsia" w:hAnsiTheme="minorEastAsia" w:hint="eastAsia"/>
                <w:sz w:val="20"/>
                <w:szCs w:val="20"/>
              </w:rPr>
              <w:t>）</w:t>
            </w:r>
          </w:p>
        </w:tc>
      </w:tr>
    </w:tbl>
    <w:p w:rsidR="007765E1" w:rsidRPr="00D34256" w:rsidRDefault="00B6405B" w:rsidP="00DB3834">
      <w:pPr>
        <w:snapToGrid w:val="0"/>
        <w:rPr>
          <w:rFonts w:asciiTheme="minorEastAsia" w:hAnsiTheme="minorEastAsia"/>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29A9A438" wp14:editId="6C0DC225">
                <wp:simplePos x="0" y="0"/>
                <wp:positionH relativeFrom="column">
                  <wp:posOffset>5715</wp:posOffset>
                </wp:positionH>
                <wp:positionV relativeFrom="paragraph">
                  <wp:posOffset>211455</wp:posOffset>
                </wp:positionV>
                <wp:extent cx="1819275" cy="2952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819275" cy="295275"/>
                        </a:xfrm>
                        <a:prstGeom prst="rect">
                          <a:avLst/>
                        </a:prstGeom>
                        <a:solidFill>
                          <a:schemeClr val="bg1"/>
                        </a:solidFill>
                        <a:ln w="25400" cap="flat" cmpd="sng" algn="ctr">
                          <a:noFill/>
                          <a:prstDash val="solid"/>
                        </a:ln>
                        <a:effectLst/>
                      </wps:spPr>
                      <wps:txbx>
                        <w:txbxContent>
                          <w:p w:rsidR="00B6405B" w:rsidRPr="00693B8F" w:rsidRDefault="003C059A"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5pt;margin-top:16.65pt;width:143.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" fillcolor="white [3212]" stroked="f" strokeweight="2pt">
                <v:textbox>
                  <w:txbxContent>
                    <w:p w:rsidR="00B6405B" w:rsidRPr="00693B8F" w:rsidRDefault="003C059A" w:rsidP="0064203F">
                      <w:pPr>
                        <w:jc w:val="lef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大阪産業経済リサーチセンター</w:t>
                      </w:r>
                    </w:p>
                  </w:txbxContent>
                </v:textbox>
              </v:rect>
            </w:pict>
          </mc:Fallback>
        </mc:AlternateContent>
      </w:r>
      <w:r w:rsidR="004D1D75">
        <w:rPr>
          <w:rFonts w:asciiTheme="minorEastAsia" w:hAnsiTheme="minorEastAsia" w:hint="eastAsia"/>
          <w:noProof/>
          <w:sz w:val="16"/>
          <w:szCs w:val="16"/>
        </w:rPr>
        <mc:AlternateContent>
          <mc:Choice Requires="wps">
            <w:drawing>
              <wp:anchor distT="0" distB="0" distL="114300" distR="114300" simplePos="0" relativeHeight="251678720" behindDoc="0" locked="0" layoutInCell="1" allowOverlap="1" wp14:anchorId="66DE026B" wp14:editId="6E0FC22C">
                <wp:simplePos x="0" y="0"/>
                <wp:positionH relativeFrom="column">
                  <wp:posOffset>647700</wp:posOffset>
                </wp:positionH>
                <wp:positionV relativeFrom="paragraph">
                  <wp:posOffset>10334625</wp:posOffset>
                </wp:positionV>
                <wp:extent cx="2838450" cy="228600"/>
                <wp:effectExtent l="3810" t="1905" r="571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7CC" w:rsidRPr="00E21198" w:rsidRDefault="006157CC"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51pt;margin-top:813.75pt;width:22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" stroked="f">
                <v:fill opacity="0"/>
                <v:textbox inset="5.85pt,.7pt,5.85pt,.7pt">
                  <w:txbxContent>
                    <w:p w:rsidR="006157CC" w:rsidRPr="00E21198" w:rsidRDefault="006157CC" w:rsidP="008E7E9E">
                      <w:pPr>
                        <w:jc w:val="left"/>
                        <w:rPr>
                          <w:rFonts w:ascii="ＭＳ 明朝" w:hAnsi="ＭＳ 明朝"/>
                          <w:sz w:val="16"/>
                          <w:szCs w:val="16"/>
                          <w:shd w:val="clear" w:color="auto" w:fill="000000"/>
                        </w:rPr>
                      </w:pPr>
                      <w:r w:rsidRPr="00E21198">
                        <w:rPr>
                          <w:rFonts w:ascii="ＭＳ 明朝" w:hAnsi="ＭＳ 明朝" w:hint="eastAsia"/>
                          <w:sz w:val="16"/>
                          <w:szCs w:val="16"/>
                          <w:shd w:val="clear" w:color="auto" w:fill="000000"/>
                        </w:rPr>
                        <w:t>業種別景気動向調査　平成27年（2015）年７～９月期</w:t>
                      </w:r>
                    </w:p>
                  </w:txbxContent>
                </v:textbox>
              </v:rect>
            </w:pict>
          </mc:Fallback>
        </mc:AlternateContent>
      </w:r>
      <w:r w:rsidR="0016371F" w:rsidRPr="00D34256">
        <w:rPr>
          <w:rFonts w:asciiTheme="minorEastAsia" w:hAnsiTheme="minorEastAsia" w:hint="eastAsia"/>
          <w:sz w:val="16"/>
          <w:szCs w:val="16"/>
        </w:rPr>
        <w:t>資料：上図に同じ。</w:t>
      </w:r>
      <w:r w:rsidR="00FD3D25" w:rsidRPr="00D34256">
        <w:rPr>
          <w:rFonts w:asciiTheme="minorEastAsia" w:hAnsiTheme="minorEastAsia" w:hint="eastAsia"/>
          <w:sz w:val="16"/>
          <w:szCs w:val="16"/>
        </w:rPr>
        <w:t>下段（　）内は前期の数値。</w:t>
      </w:r>
    </w:p>
    <w:p w:rsidR="00DA4A34" w:rsidRPr="005829CB" w:rsidRDefault="00DA4A34">
      <w:pPr>
        <w:rPr>
          <w:rFonts w:asciiTheme="minorEastAsia" w:hAnsiTheme="minorEastAsia"/>
          <w:sz w:val="18"/>
          <w:szCs w:val="18"/>
        </w:rPr>
        <w:sectPr w:rsidR="00DA4A34" w:rsidRPr="005829CB" w:rsidSect="003C059A">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465B0D">
        <w:rPr>
          <w:rFonts w:asciiTheme="majorEastAsia" w:eastAsiaTheme="majorEastAsia" w:hAnsiTheme="majorEastAsia" w:hint="eastAsia"/>
          <w:szCs w:val="21"/>
        </w:rPr>
        <w:t>9</w:t>
      </w:r>
      <w:r w:rsidR="00002028">
        <w:rPr>
          <w:rFonts w:asciiTheme="majorEastAsia" w:eastAsiaTheme="majorEastAsia" w:hAnsiTheme="majorEastAsia" w:hint="eastAsia"/>
          <w:szCs w:val="21"/>
        </w:rPr>
        <w:t>年</w:t>
      </w:r>
      <w:r w:rsidR="00F35BCC">
        <w:rPr>
          <w:rFonts w:asciiTheme="majorEastAsia" w:eastAsiaTheme="majorEastAsia" w:hAnsiTheme="majorEastAsia" w:hint="eastAsia"/>
          <w:szCs w:val="21"/>
        </w:rPr>
        <w:t>1</w:t>
      </w:r>
      <w:r w:rsidR="00002028">
        <w:rPr>
          <w:rFonts w:asciiTheme="majorEastAsia" w:eastAsiaTheme="majorEastAsia" w:hAnsiTheme="majorEastAsia" w:hint="eastAsia"/>
          <w:szCs w:val="21"/>
        </w:rPr>
        <w:t>～</w:t>
      </w:r>
      <w:r w:rsidR="00465B0D">
        <w:rPr>
          <w:rFonts w:asciiTheme="majorEastAsia" w:eastAsiaTheme="majorEastAsia" w:hAnsiTheme="majorEastAsia" w:hint="eastAsia"/>
          <w:szCs w:val="21"/>
        </w:rPr>
        <w:t>3</w:t>
      </w:r>
      <w:r w:rsidR="00002028">
        <w:rPr>
          <w:rFonts w:asciiTheme="majorEastAsia" w:eastAsiaTheme="majorEastAsia" w:hAnsiTheme="majorEastAsia" w:hint="eastAsia"/>
          <w:szCs w:val="21"/>
        </w:rPr>
        <w:t>月期の</w:t>
      </w:r>
      <w:r w:rsidR="0092287C">
        <w:rPr>
          <w:rFonts w:asciiTheme="majorEastAsia" w:eastAsiaTheme="majorEastAsia" w:hAnsiTheme="majorEastAsia" w:hint="eastAsia"/>
          <w:szCs w:val="21"/>
        </w:rPr>
        <w:t>大阪府内の</w:t>
      </w:r>
      <w:r w:rsidRPr="00425764">
        <w:rPr>
          <w:rFonts w:asciiTheme="majorEastAsia" w:eastAsiaTheme="majorEastAsia" w:hAnsiTheme="majorEastAsia" w:hint="eastAsia"/>
          <w:szCs w:val="21"/>
        </w:rPr>
        <w:t>中小企業の景況</w:t>
      </w:r>
      <w:r w:rsidR="003C059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6D990320" wp14:editId="2219C741">
                <wp:simplePos x="0" y="0"/>
                <wp:positionH relativeFrom="column">
                  <wp:posOffset>62865</wp:posOffset>
                </wp:positionH>
                <wp:positionV relativeFrom="paragraph">
                  <wp:posOffset>9594215</wp:posOffset>
                </wp:positionV>
                <wp:extent cx="1819275" cy="2952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3C059A" w:rsidRPr="003C059A" w:rsidRDefault="003C059A"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4.95pt;margin-top:755.45pt;width:143.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" fillcolor="window" stroked="f" strokeweight="2pt">
                <v:textbox>
                  <w:txbxContent>
                    <w:p w:rsidR="003C059A" w:rsidRPr="003C059A" w:rsidRDefault="003C059A"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9"/>
        <w:gridCol w:w="2959"/>
        <w:gridCol w:w="2959"/>
        <w:gridCol w:w="2961"/>
        <w:gridCol w:w="2956"/>
      </w:tblGrid>
      <w:tr w:rsidR="0026213B" w:rsidTr="0064203F">
        <w:trPr>
          <w:trHeight w:val="70"/>
        </w:trPr>
        <w:tc>
          <w:tcPr>
            <w:tcW w:w="660" w:type="pct"/>
            <w:tcBorders>
              <w:top w:val="nil"/>
              <w:left w:val="nil"/>
              <w:bottom w:val="single" w:sz="4" w:space="0" w:color="auto"/>
              <w:right w:val="single" w:sz="4" w:space="0" w:color="auto"/>
            </w:tcBorders>
            <w:shd w:val="clear" w:color="auto" w:fill="FFFFFF" w:themeFill="background1"/>
            <w:vAlign w:val="center"/>
          </w:tcPr>
          <w:p w:rsidR="0026213B" w:rsidRDefault="0026213B">
            <w:pPr>
              <w:jc w:val="center"/>
              <w:rPr>
                <w:rFonts w:asciiTheme="majorEastAsia" w:eastAsiaTheme="majorEastAsia" w:hAnsiTheme="majorEastAsia"/>
                <w:szCs w:val="21"/>
              </w:rPr>
            </w:pP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213B" w:rsidRDefault="00C87426" w:rsidP="009149F1">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婦人服製造業</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213B" w:rsidRDefault="00C87426" w:rsidP="00C87426">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鍛工品製造業</w:t>
            </w:r>
          </w:p>
        </w:tc>
        <w:tc>
          <w:tcPr>
            <w:tcW w:w="1086"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26213B" w:rsidRDefault="00C87426" w:rsidP="00D701A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食品卸売業</w:t>
            </w:r>
          </w:p>
        </w:tc>
        <w:tc>
          <w:tcPr>
            <w:tcW w:w="108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26213B" w:rsidRDefault="00C87426" w:rsidP="00C87426">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広告業</w:t>
            </w:r>
          </w:p>
        </w:tc>
      </w:tr>
      <w:tr w:rsidR="0026213B" w:rsidTr="0064203F">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業種・業界の特徴</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541B09" w:rsidP="00740315">
            <w:pPr>
              <w:snapToGrid w:val="0"/>
              <w:rPr>
                <w:rFonts w:asciiTheme="minorEastAsia" w:hAnsiTheme="minorEastAsia"/>
                <w:sz w:val="20"/>
                <w:szCs w:val="20"/>
              </w:rPr>
            </w:pPr>
            <w:r w:rsidRPr="003E3EE1">
              <w:rPr>
                <w:rFonts w:asciiTheme="minorEastAsia" w:hAnsiTheme="minorEastAsia" w:hint="eastAsia"/>
                <w:sz w:val="20"/>
                <w:szCs w:val="20"/>
              </w:rPr>
              <w:t>26年の</w:t>
            </w:r>
            <w:r w:rsidR="00F011F9" w:rsidRPr="003E3EE1">
              <w:rPr>
                <w:rFonts w:asciiTheme="minorEastAsia" w:hAnsiTheme="minorEastAsia" w:hint="eastAsia"/>
                <w:sz w:val="20"/>
                <w:szCs w:val="20"/>
              </w:rPr>
              <w:t>事業所</w:t>
            </w:r>
            <w:r w:rsidR="004154C9" w:rsidRPr="003E3EE1">
              <w:rPr>
                <w:rFonts w:asciiTheme="minorEastAsia" w:hAnsiTheme="minorEastAsia" w:hint="eastAsia"/>
                <w:sz w:val="20"/>
                <w:szCs w:val="20"/>
              </w:rPr>
              <w:t>数</w:t>
            </w:r>
            <w:r w:rsidR="003E3EE1">
              <w:rPr>
                <w:rFonts w:asciiTheme="minorEastAsia" w:hAnsiTheme="minorEastAsia" w:hint="eastAsia"/>
                <w:sz w:val="20"/>
                <w:szCs w:val="20"/>
              </w:rPr>
              <w:t>(</w:t>
            </w:r>
            <w:r w:rsidRPr="003E3EE1">
              <w:rPr>
                <w:rFonts w:asciiTheme="minorEastAsia" w:hAnsiTheme="minorEastAsia" w:hint="eastAsia"/>
                <w:sz w:val="20"/>
                <w:szCs w:val="20"/>
              </w:rPr>
              <w:t>60</w:t>
            </w:r>
            <w:r w:rsidR="003E3EE1">
              <w:rPr>
                <w:rFonts w:asciiTheme="minorEastAsia" w:hAnsiTheme="minorEastAsia" w:hint="eastAsia"/>
                <w:sz w:val="20"/>
                <w:szCs w:val="20"/>
              </w:rPr>
              <w:t>)</w:t>
            </w:r>
            <w:r w:rsidR="00F011F9" w:rsidRPr="003E3EE1">
              <w:rPr>
                <w:rFonts w:asciiTheme="minorEastAsia" w:hAnsiTheme="minorEastAsia" w:hint="eastAsia"/>
                <w:sz w:val="20"/>
                <w:szCs w:val="20"/>
              </w:rPr>
              <w:t>、従業者</w:t>
            </w:r>
            <w:r w:rsidR="004154C9" w:rsidRPr="003E3EE1">
              <w:rPr>
                <w:rFonts w:asciiTheme="minorEastAsia" w:hAnsiTheme="minorEastAsia" w:hint="eastAsia"/>
                <w:sz w:val="20"/>
                <w:szCs w:val="20"/>
              </w:rPr>
              <w:t>数</w:t>
            </w:r>
            <w:r w:rsidR="003E3EE1">
              <w:rPr>
                <w:rFonts w:asciiTheme="minorEastAsia" w:hAnsiTheme="minorEastAsia" w:hint="eastAsia"/>
                <w:sz w:val="20"/>
                <w:szCs w:val="20"/>
              </w:rPr>
              <w:t>(</w:t>
            </w:r>
            <w:r w:rsidRPr="003E3EE1">
              <w:rPr>
                <w:rFonts w:asciiTheme="minorEastAsia" w:hAnsiTheme="minorEastAsia" w:hint="eastAsia"/>
                <w:sz w:val="20"/>
                <w:szCs w:val="20"/>
              </w:rPr>
              <w:t>903</w:t>
            </w:r>
            <w:r w:rsidR="00740315">
              <w:rPr>
                <w:rFonts w:asciiTheme="minorEastAsia" w:hAnsiTheme="minorEastAsia" w:hint="eastAsia"/>
                <w:sz w:val="20"/>
                <w:szCs w:val="20"/>
              </w:rPr>
              <w:t>人</w:t>
            </w:r>
            <w:r w:rsidR="003E3EE1">
              <w:rPr>
                <w:rFonts w:asciiTheme="minorEastAsia" w:hAnsiTheme="minorEastAsia" w:hint="eastAsia"/>
                <w:sz w:val="20"/>
                <w:szCs w:val="20"/>
              </w:rPr>
              <w:t>)</w:t>
            </w:r>
            <w:r w:rsidR="004154C9" w:rsidRPr="003E3EE1">
              <w:rPr>
                <w:rFonts w:asciiTheme="minorEastAsia" w:hAnsiTheme="minorEastAsia" w:hint="eastAsia"/>
                <w:sz w:val="20"/>
                <w:szCs w:val="20"/>
              </w:rPr>
              <w:t>、</w:t>
            </w:r>
            <w:r w:rsidR="00F011F9" w:rsidRPr="003E3EE1">
              <w:rPr>
                <w:rFonts w:asciiTheme="minorEastAsia" w:hAnsiTheme="minorEastAsia" w:hint="eastAsia"/>
                <w:sz w:val="20"/>
                <w:szCs w:val="20"/>
              </w:rPr>
              <w:t>製造品出荷額等</w:t>
            </w:r>
            <w:r w:rsidR="003E3EE1">
              <w:rPr>
                <w:rFonts w:asciiTheme="minorEastAsia" w:hAnsiTheme="minorEastAsia" w:hint="eastAsia"/>
                <w:sz w:val="20"/>
                <w:szCs w:val="20"/>
              </w:rPr>
              <w:t>(</w:t>
            </w:r>
            <w:r w:rsidRPr="003E3EE1">
              <w:rPr>
                <w:rFonts w:asciiTheme="minorEastAsia" w:hAnsiTheme="minorEastAsia" w:hint="eastAsia"/>
                <w:sz w:val="20"/>
                <w:szCs w:val="20"/>
              </w:rPr>
              <w:t>7,560百万円</w:t>
            </w:r>
            <w:r w:rsidR="003E3EE1">
              <w:rPr>
                <w:rFonts w:asciiTheme="minorEastAsia" w:hAnsiTheme="minorEastAsia" w:hint="eastAsia"/>
                <w:sz w:val="20"/>
                <w:szCs w:val="20"/>
              </w:rPr>
              <w:t>)</w:t>
            </w:r>
            <w:r w:rsidR="00E167CC" w:rsidRPr="003E3EE1">
              <w:rPr>
                <w:rFonts w:asciiTheme="minorEastAsia" w:hAnsiTheme="minorEastAsia" w:hint="eastAsia"/>
                <w:sz w:val="20"/>
                <w:szCs w:val="20"/>
              </w:rPr>
              <w:t>の</w:t>
            </w:r>
            <w:r w:rsidR="00F011F9" w:rsidRPr="003E3EE1">
              <w:rPr>
                <w:rFonts w:asciiTheme="minorEastAsia" w:hAnsiTheme="minorEastAsia" w:hint="eastAsia"/>
                <w:sz w:val="20"/>
                <w:szCs w:val="20"/>
              </w:rPr>
              <w:t>対全国比は</w:t>
            </w:r>
            <w:r w:rsidR="004154C9" w:rsidRPr="003E3EE1">
              <w:rPr>
                <w:rFonts w:asciiTheme="minorEastAsia" w:hAnsiTheme="minorEastAsia" w:hint="eastAsia"/>
                <w:sz w:val="20"/>
                <w:szCs w:val="20"/>
              </w:rPr>
              <w:t>、</w:t>
            </w:r>
            <w:r w:rsidRPr="003E3EE1">
              <w:rPr>
                <w:rFonts w:asciiTheme="minorEastAsia" w:hAnsiTheme="minorEastAsia" w:hint="eastAsia"/>
                <w:sz w:val="20"/>
                <w:szCs w:val="20"/>
              </w:rPr>
              <w:t>それぞれ</w:t>
            </w:r>
            <w:r w:rsidR="00C87426" w:rsidRPr="003E3EE1">
              <w:rPr>
                <w:rFonts w:asciiTheme="minorEastAsia" w:hAnsiTheme="minorEastAsia" w:hint="eastAsia"/>
                <w:sz w:val="20"/>
                <w:szCs w:val="20"/>
              </w:rPr>
              <w:t>3.6</w:t>
            </w:r>
            <w:r w:rsidR="00F011F9" w:rsidRPr="003E3EE1">
              <w:rPr>
                <w:rFonts w:asciiTheme="minorEastAsia" w:hAnsiTheme="minorEastAsia" w:hint="eastAsia"/>
                <w:sz w:val="20"/>
                <w:szCs w:val="20"/>
              </w:rPr>
              <w:t>％、</w:t>
            </w:r>
            <w:r w:rsidR="00C87426" w:rsidRPr="003E3EE1">
              <w:rPr>
                <w:rFonts w:asciiTheme="minorEastAsia" w:hAnsiTheme="minorEastAsia" w:hint="eastAsia"/>
                <w:sz w:val="20"/>
                <w:szCs w:val="20"/>
              </w:rPr>
              <w:t>3.2</w:t>
            </w:r>
            <w:r w:rsidR="00F011F9" w:rsidRPr="003E3EE1">
              <w:rPr>
                <w:rFonts w:asciiTheme="minorEastAsia" w:hAnsiTheme="minorEastAsia" w:hint="eastAsia"/>
                <w:sz w:val="20"/>
                <w:szCs w:val="20"/>
              </w:rPr>
              <w:t>％、</w:t>
            </w:r>
            <w:r w:rsidR="00C87426" w:rsidRPr="003E3EE1">
              <w:rPr>
                <w:rFonts w:asciiTheme="minorEastAsia" w:hAnsiTheme="minorEastAsia" w:hint="eastAsia"/>
                <w:sz w:val="20"/>
                <w:szCs w:val="20"/>
              </w:rPr>
              <w:t>4.6</w:t>
            </w:r>
            <w:r w:rsidR="00F011F9" w:rsidRPr="003E3EE1">
              <w:rPr>
                <w:rFonts w:asciiTheme="minorEastAsia" w:hAnsiTheme="minorEastAsia" w:hint="eastAsia"/>
                <w:sz w:val="20"/>
                <w:szCs w:val="20"/>
              </w:rPr>
              <w:t>％</w:t>
            </w:r>
            <w:r w:rsidR="004154C9" w:rsidRPr="003E3EE1">
              <w:rPr>
                <w:rFonts w:asciiTheme="minorEastAsia" w:hAnsiTheme="minorEastAsia" w:hint="eastAsia"/>
                <w:sz w:val="20"/>
                <w:szCs w:val="20"/>
              </w:rPr>
              <w:t>である</w:t>
            </w:r>
            <w:r w:rsidR="00E97259" w:rsidRPr="003E3EE1">
              <w:rPr>
                <w:rFonts w:asciiTheme="minorEastAsia" w:hAnsiTheme="minorEastAsia" w:hint="eastAsia"/>
                <w:sz w:val="20"/>
                <w:szCs w:val="20"/>
              </w:rPr>
              <w:t>。</w:t>
            </w:r>
            <w:r w:rsidR="00280BFF" w:rsidRPr="003E3EE1">
              <w:rPr>
                <w:rFonts w:asciiTheme="minorEastAsia" w:hAnsiTheme="minorEastAsia" w:hint="eastAsia"/>
                <w:sz w:val="20"/>
                <w:szCs w:val="20"/>
              </w:rPr>
              <w:t>25年の数値より減少している。</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3B6324" w:rsidP="00740315">
            <w:pPr>
              <w:snapToGrid w:val="0"/>
              <w:rPr>
                <w:rFonts w:asciiTheme="minorEastAsia" w:hAnsiTheme="minorEastAsia"/>
                <w:color w:val="FF0000"/>
                <w:sz w:val="20"/>
                <w:szCs w:val="20"/>
              </w:rPr>
            </w:pPr>
            <w:r w:rsidRPr="003E3EE1">
              <w:rPr>
                <w:rFonts w:asciiTheme="minorEastAsia" w:hAnsiTheme="minorEastAsia" w:hint="eastAsia"/>
                <w:sz w:val="20"/>
                <w:szCs w:val="20"/>
              </w:rPr>
              <w:t>26年の</w:t>
            </w:r>
            <w:r w:rsidR="00541B09" w:rsidRPr="003E3EE1">
              <w:rPr>
                <w:rFonts w:asciiTheme="minorEastAsia" w:hAnsiTheme="minorEastAsia" w:hint="eastAsia"/>
                <w:sz w:val="20"/>
                <w:szCs w:val="20"/>
              </w:rPr>
              <w:t>事業所数(54)、従業者数(871</w:t>
            </w:r>
            <w:r w:rsidR="00740315">
              <w:rPr>
                <w:rFonts w:asciiTheme="minorEastAsia" w:hAnsiTheme="minorEastAsia" w:hint="eastAsia"/>
                <w:sz w:val="20"/>
                <w:szCs w:val="20"/>
              </w:rPr>
              <w:t>人</w:t>
            </w:r>
            <w:r w:rsidR="00541B09" w:rsidRPr="003E3EE1">
              <w:rPr>
                <w:rFonts w:asciiTheme="minorEastAsia" w:hAnsiTheme="minorEastAsia" w:hint="eastAsia"/>
                <w:sz w:val="20"/>
                <w:szCs w:val="20"/>
              </w:rPr>
              <w:t>)、製造品出荷額等(236億8,444万円)</w:t>
            </w:r>
            <w:r w:rsidR="00B1787C" w:rsidRPr="003E3EE1">
              <w:rPr>
                <w:rFonts w:asciiTheme="minorEastAsia" w:hAnsiTheme="minorEastAsia" w:hint="eastAsia"/>
                <w:sz w:val="20"/>
                <w:szCs w:val="20"/>
              </w:rPr>
              <w:t>の対全国比は、それぞれ、16.3％、6.8％、5.4％である。事業所数は、全国1位で多い。</w:t>
            </w:r>
          </w:p>
        </w:tc>
        <w:tc>
          <w:tcPr>
            <w:tcW w:w="1086" w:type="pct"/>
            <w:tcBorders>
              <w:top w:val="single" w:sz="4" w:space="0" w:color="auto"/>
              <w:left w:val="single" w:sz="4" w:space="0" w:color="auto"/>
              <w:bottom w:val="single" w:sz="4" w:space="0" w:color="auto"/>
              <w:right w:val="single" w:sz="4" w:space="0" w:color="auto"/>
            </w:tcBorders>
          </w:tcPr>
          <w:p w:rsidR="0026213B" w:rsidRPr="003E3EE1" w:rsidRDefault="00B16219" w:rsidP="003E3EE1">
            <w:pPr>
              <w:snapToGrid w:val="0"/>
              <w:rPr>
                <w:rFonts w:asciiTheme="minorEastAsia" w:hAnsiTheme="minorEastAsia"/>
                <w:sz w:val="20"/>
                <w:szCs w:val="20"/>
              </w:rPr>
            </w:pPr>
            <w:r w:rsidRPr="003E3EE1">
              <w:rPr>
                <w:rFonts w:asciiTheme="minorEastAsia" w:hAnsiTheme="minorEastAsia" w:hint="eastAsia"/>
                <w:sz w:val="20"/>
                <w:szCs w:val="20"/>
              </w:rPr>
              <w:t>26年の</w:t>
            </w:r>
            <w:r w:rsidR="00B77B8D" w:rsidRPr="003E3EE1">
              <w:rPr>
                <w:rFonts w:asciiTheme="minorEastAsia" w:hAnsiTheme="minorEastAsia" w:hint="eastAsia"/>
                <w:sz w:val="20"/>
                <w:szCs w:val="20"/>
              </w:rPr>
              <w:t>飲食料品卸売業の</w:t>
            </w:r>
            <w:r w:rsidRPr="003E3EE1">
              <w:rPr>
                <w:rFonts w:asciiTheme="minorEastAsia" w:hAnsiTheme="minorEastAsia" w:hint="eastAsia"/>
                <w:sz w:val="20"/>
                <w:szCs w:val="20"/>
              </w:rPr>
              <w:t>事業所数</w:t>
            </w:r>
            <w:r w:rsidR="003E3EE1">
              <w:rPr>
                <w:rFonts w:asciiTheme="minorEastAsia" w:hAnsiTheme="minorEastAsia" w:hint="eastAsia"/>
                <w:sz w:val="20"/>
                <w:szCs w:val="20"/>
              </w:rPr>
              <w:t>(</w:t>
            </w:r>
            <w:r w:rsidR="00B77B8D" w:rsidRPr="003E3EE1">
              <w:rPr>
                <w:rFonts w:asciiTheme="minorEastAsia" w:hAnsiTheme="minorEastAsia" w:hint="eastAsia"/>
                <w:sz w:val="20"/>
                <w:szCs w:val="20"/>
              </w:rPr>
              <w:t>5,280</w:t>
            </w:r>
            <w:r w:rsidR="003E3EE1">
              <w:rPr>
                <w:rFonts w:asciiTheme="minorEastAsia" w:hAnsiTheme="minorEastAsia" w:hint="eastAsia"/>
                <w:sz w:val="20"/>
                <w:szCs w:val="20"/>
              </w:rPr>
              <w:t>)</w:t>
            </w:r>
            <w:r w:rsidRPr="003E3EE1">
              <w:rPr>
                <w:rFonts w:asciiTheme="minorEastAsia" w:hAnsiTheme="minorEastAsia" w:hint="eastAsia"/>
                <w:sz w:val="20"/>
                <w:szCs w:val="20"/>
              </w:rPr>
              <w:t>、従業者数</w:t>
            </w:r>
            <w:r w:rsidR="003E3EE1">
              <w:rPr>
                <w:rFonts w:asciiTheme="minorEastAsia" w:hAnsiTheme="minorEastAsia" w:hint="eastAsia"/>
                <w:sz w:val="20"/>
                <w:szCs w:val="20"/>
              </w:rPr>
              <w:t>(</w:t>
            </w:r>
            <w:r w:rsidR="00B77B8D" w:rsidRPr="003E3EE1">
              <w:rPr>
                <w:rFonts w:asciiTheme="minorEastAsia" w:hAnsiTheme="minorEastAsia" w:hint="eastAsia"/>
                <w:sz w:val="20"/>
                <w:szCs w:val="20"/>
              </w:rPr>
              <w:t>64,793</w:t>
            </w:r>
            <w:r w:rsidRPr="003E3EE1">
              <w:rPr>
                <w:rFonts w:asciiTheme="minorEastAsia" w:hAnsiTheme="minorEastAsia" w:hint="eastAsia"/>
                <w:sz w:val="20"/>
                <w:szCs w:val="20"/>
              </w:rPr>
              <w:t>人</w:t>
            </w:r>
            <w:r w:rsidR="003E3EE1">
              <w:rPr>
                <w:rFonts w:asciiTheme="minorEastAsia" w:hAnsiTheme="minorEastAsia" w:hint="eastAsia"/>
                <w:sz w:val="20"/>
                <w:szCs w:val="20"/>
              </w:rPr>
              <w:t>)</w:t>
            </w:r>
            <w:r w:rsidRPr="003E3EE1">
              <w:rPr>
                <w:rFonts w:asciiTheme="minorEastAsia" w:hAnsiTheme="minorEastAsia" w:hint="eastAsia"/>
                <w:sz w:val="20"/>
                <w:szCs w:val="20"/>
              </w:rPr>
              <w:t>、年間</w:t>
            </w:r>
            <w:r w:rsidR="00B77B8D" w:rsidRPr="003E3EE1">
              <w:rPr>
                <w:rFonts w:asciiTheme="minorEastAsia" w:hAnsiTheme="minorEastAsia" w:hint="eastAsia"/>
                <w:sz w:val="20"/>
                <w:szCs w:val="20"/>
              </w:rPr>
              <w:t>商品</w:t>
            </w:r>
            <w:r w:rsidRPr="003E3EE1">
              <w:rPr>
                <w:rFonts w:asciiTheme="minorEastAsia" w:hAnsiTheme="minorEastAsia" w:hint="eastAsia"/>
                <w:sz w:val="20"/>
                <w:szCs w:val="20"/>
              </w:rPr>
              <w:t>販売額</w:t>
            </w:r>
            <w:r w:rsidR="003E3EE1">
              <w:rPr>
                <w:rFonts w:asciiTheme="minorEastAsia" w:hAnsiTheme="minorEastAsia" w:hint="eastAsia"/>
                <w:sz w:val="20"/>
                <w:szCs w:val="20"/>
              </w:rPr>
              <w:t>(</w:t>
            </w:r>
            <w:r w:rsidR="00B77B8D" w:rsidRPr="003E3EE1">
              <w:rPr>
                <w:rFonts w:asciiTheme="minorEastAsia" w:hAnsiTheme="minorEastAsia" w:hint="eastAsia"/>
                <w:sz w:val="20"/>
                <w:szCs w:val="20"/>
              </w:rPr>
              <w:t>4,998,663百万円</w:t>
            </w:r>
            <w:r w:rsidR="003E3EE1">
              <w:rPr>
                <w:rFonts w:asciiTheme="minorEastAsia" w:hAnsiTheme="minorEastAsia" w:hint="eastAsia"/>
                <w:sz w:val="20"/>
                <w:szCs w:val="20"/>
              </w:rPr>
              <w:t>)の</w:t>
            </w:r>
            <w:r w:rsidRPr="003E3EE1">
              <w:rPr>
                <w:rFonts w:asciiTheme="minorEastAsia" w:hAnsiTheme="minorEastAsia" w:hint="eastAsia"/>
                <w:sz w:val="20"/>
                <w:szCs w:val="20"/>
              </w:rPr>
              <w:t>対全国比は、それぞれ</w:t>
            </w:r>
            <w:r w:rsidR="00B77B8D" w:rsidRPr="003E3EE1">
              <w:rPr>
                <w:rFonts w:asciiTheme="minorEastAsia" w:hAnsiTheme="minorEastAsia" w:hint="eastAsia"/>
                <w:sz w:val="20"/>
                <w:szCs w:val="20"/>
              </w:rPr>
              <w:t>8.2</w:t>
            </w:r>
            <w:r w:rsidRPr="003E3EE1">
              <w:rPr>
                <w:rFonts w:asciiTheme="minorEastAsia" w:hAnsiTheme="minorEastAsia" w:hint="eastAsia"/>
                <w:sz w:val="20"/>
                <w:szCs w:val="20"/>
              </w:rPr>
              <w:t>％、</w:t>
            </w:r>
            <w:r w:rsidR="00B77B8D" w:rsidRPr="003E3EE1">
              <w:rPr>
                <w:rFonts w:asciiTheme="minorEastAsia" w:hAnsiTheme="minorEastAsia" w:hint="eastAsia"/>
                <w:sz w:val="20"/>
                <w:szCs w:val="20"/>
              </w:rPr>
              <w:t>9.9</w:t>
            </w:r>
            <w:r w:rsidRPr="003E3EE1">
              <w:rPr>
                <w:rFonts w:asciiTheme="minorEastAsia" w:hAnsiTheme="minorEastAsia" w:hint="eastAsia"/>
                <w:sz w:val="20"/>
                <w:szCs w:val="20"/>
              </w:rPr>
              <w:t>％、</w:t>
            </w:r>
            <w:r w:rsidR="00B77B8D" w:rsidRPr="003E3EE1">
              <w:rPr>
                <w:rFonts w:asciiTheme="minorEastAsia" w:hAnsiTheme="minorEastAsia" w:hint="eastAsia"/>
                <w:sz w:val="20"/>
                <w:szCs w:val="20"/>
              </w:rPr>
              <w:t>8.1</w:t>
            </w:r>
            <w:r w:rsidRPr="003E3EE1">
              <w:rPr>
                <w:rFonts w:asciiTheme="minorEastAsia" w:hAnsiTheme="minorEastAsia" w:hint="eastAsia"/>
                <w:sz w:val="20"/>
                <w:szCs w:val="20"/>
              </w:rPr>
              <w:t>％である。</w:t>
            </w:r>
          </w:p>
        </w:tc>
        <w:tc>
          <w:tcPr>
            <w:tcW w:w="1084" w:type="pct"/>
            <w:tcBorders>
              <w:top w:val="single" w:sz="4" w:space="0" w:color="auto"/>
              <w:left w:val="single" w:sz="4" w:space="0" w:color="auto"/>
              <w:bottom w:val="single" w:sz="4" w:space="0" w:color="auto"/>
              <w:right w:val="single" w:sz="4" w:space="0" w:color="auto"/>
            </w:tcBorders>
          </w:tcPr>
          <w:p w:rsidR="0026213B" w:rsidRPr="00740315" w:rsidRDefault="00740315" w:rsidP="00B6405B">
            <w:pPr>
              <w:snapToGrid w:val="0"/>
              <w:rPr>
                <w:rFonts w:asciiTheme="minorEastAsia" w:hAnsiTheme="minorEastAsia"/>
                <w:sz w:val="20"/>
                <w:szCs w:val="20"/>
              </w:rPr>
            </w:pPr>
            <w:r w:rsidRPr="00740315">
              <w:rPr>
                <w:rFonts w:asciiTheme="minorEastAsia" w:hAnsiTheme="minorEastAsia" w:hint="eastAsia"/>
                <w:sz w:val="20"/>
                <w:szCs w:val="20"/>
              </w:rPr>
              <w:t>27</w:t>
            </w:r>
            <w:r w:rsidR="009F052C" w:rsidRPr="00740315">
              <w:rPr>
                <w:rFonts w:asciiTheme="minorEastAsia" w:hAnsiTheme="minorEastAsia" w:hint="eastAsia"/>
                <w:sz w:val="20"/>
                <w:szCs w:val="20"/>
              </w:rPr>
              <w:t>年の</w:t>
            </w:r>
            <w:r w:rsidRPr="00740315">
              <w:rPr>
                <w:rFonts w:asciiTheme="minorEastAsia" w:hAnsiTheme="minorEastAsia" w:hint="eastAsia"/>
                <w:sz w:val="20"/>
                <w:szCs w:val="20"/>
              </w:rPr>
              <w:t>事業所数(970)、従業者数(13,106人)、年間売上高(854,379百万円)の対</w:t>
            </w:r>
            <w:r w:rsidR="009F052C" w:rsidRPr="00740315">
              <w:rPr>
                <w:rFonts w:asciiTheme="minorEastAsia" w:hAnsiTheme="minorEastAsia" w:hint="eastAsia"/>
                <w:sz w:val="20"/>
                <w:szCs w:val="20"/>
              </w:rPr>
              <w:t>全国比は</w:t>
            </w:r>
            <w:r w:rsidRPr="00740315">
              <w:rPr>
                <w:rFonts w:asciiTheme="minorEastAsia" w:hAnsiTheme="minorEastAsia" w:hint="eastAsia"/>
                <w:sz w:val="20"/>
                <w:szCs w:val="20"/>
              </w:rPr>
              <w:t>、</w:t>
            </w:r>
            <w:r w:rsidR="009F052C" w:rsidRPr="00740315">
              <w:rPr>
                <w:rFonts w:asciiTheme="minorEastAsia" w:hAnsiTheme="minorEastAsia" w:hint="eastAsia"/>
                <w:sz w:val="20"/>
                <w:szCs w:val="20"/>
              </w:rPr>
              <w:t>それぞれ</w:t>
            </w:r>
            <w:r w:rsidRPr="00740315">
              <w:rPr>
                <w:rFonts w:asciiTheme="minorEastAsia" w:hAnsiTheme="minorEastAsia" w:hint="eastAsia"/>
                <w:sz w:val="20"/>
                <w:szCs w:val="20"/>
              </w:rPr>
              <w:t>10.6</w:t>
            </w:r>
            <w:r w:rsidR="009F052C" w:rsidRPr="00740315">
              <w:rPr>
                <w:rFonts w:asciiTheme="minorEastAsia" w:hAnsiTheme="minorEastAsia" w:hint="eastAsia"/>
                <w:sz w:val="20"/>
                <w:szCs w:val="20"/>
              </w:rPr>
              <w:t>％、</w:t>
            </w:r>
            <w:r w:rsidRPr="00740315">
              <w:rPr>
                <w:rFonts w:asciiTheme="minorEastAsia" w:hAnsiTheme="minorEastAsia" w:hint="eastAsia"/>
                <w:sz w:val="20"/>
                <w:szCs w:val="20"/>
              </w:rPr>
              <w:t>10.9</w:t>
            </w:r>
            <w:r w:rsidR="009F052C" w:rsidRPr="00740315">
              <w:rPr>
                <w:rFonts w:asciiTheme="minorEastAsia" w:hAnsiTheme="minorEastAsia" w:hint="eastAsia"/>
                <w:sz w:val="20"/>
                <w:szCs w:val="20"/>
              </w:rPr>
              <w:t>％、</w:t>
            </w:r>
            <w:r w:rsidRPr="00740315">
              <w:rPr>
                <w:rFonts w:asciiTheme="minorEastAsia" w:hAnsiTheme="minorEastAsia" w:hint="eastAsia"/>
                <w:sz w:val="20"/>
                <w:szCs w:val="20"/>
              </w:rPr>
              <w:t>10.9</w:t>
            </w:r>
            <w:r w:rsidR="009F052C" w:rsidRPr="00740315">
              <w:rPr>
                <w:rFonts w:asciiTheme="minorEastAsia" w:hAnsiTheme="minorEastAsia" w:hint="eastAsia"/>
                <w:sz w:val="20"/>
                <w:szCs w:val="20"/>
              </w:rPr>
              <w:t>％</w:t>
            </w:r>
            <w:r w:rsidR="003D29BD" w:rsidRPr="00740315">
              <w:rPr>
                <w:rFonts w:asciiTheme="minorEastAsia" w:hAnsiTheme="minorEastAsia" w:hint="eastAsia"/>
                <w:sz w:val="20"/>
                <w:szCs w:val="20"/>
              </w:rPr>
              <w:t>で</w:t>
            </w:r>
            <w:r w:rsidRPr="00740315">
              <w:rPr>
                <w:rFonts w:asciiTheme="minorEastAsia" w:hAnsiTheme="minorEastAsia" w:hint="eastAsia"/>
                <w:sz w:val="20"/>
                <w:szCs w:val="20"/>
              </w:rPr>
              <w:t>、東京に</w:t>
            </w:r>
            <w:r w:rsidR="00B6405B">
              <w:rPr>
                <w:rFonts w:asciiTheme="minorEastAsia" w:hAnsiTheme="minorEastAsia" w:hint="eastAsia"/>
                <w:sz w:val="20"/>
                <w:szCs w:val="20"/>
              </w:rPr>
              <w:t>次いで</w:t>
            </w:r>
            <w:r w:rsidRPr="00740315">
              <w:rPr>
                <w:rFonts w:asciiTheme="minorEastAsia" w:hAnsiTheme="minorEastAsia" w:hint="eastAsia"/>
                <w:sz w:val="20"/>
                <w:szCs w:val="20"/>
              </w:rPr>
              <w:t>業界の規模が大きい。</w:t>
            </w:r>
          </w:p>
        </w:tc>
      </w:tr>
      <w:tr w:rsidR="0026213B" w:rsidTr="0064203F">
        <w:trPr>
          <w:trHeight w:val="500"/>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概況</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280BFF" w:rsidP="000B3BB8">
            <w:pPr>
              <w:snapToGrid w:val="0"/>
              <w:rPr>
                <w:rFonts w:asciiTheme="minorEastAsia" w:hAnsiTheme="minorEastAsia"/>
                <w:sz w:val="20"/>
                <w:szCs w:val="20"/>
              </w:rPr>
            </w:pPr>
            <w:r w:rsidRPr="003E3EE1">
              <w:rPr>
                <w:rFonts w:asciiTheme="minorEastAsia" w:hAnsiTheme="minorEastAsia" w:hint="eastAsia"/>
                <w:sz w:val="20"/>
                <w:szCs w:val="20"/>
              </w:rPr>
              <w:t>28年は年間を通じて全般に低調に推移</w:t>
            </w:r>
            <w:r w:rsidR="000B3BB8" w:rsidRPr="003E3EE1">
              <w:rPr>
                <w:rFonts w:asciiTheme="minorEastAsia" w:hAnsiTheme="minorEastAsia" w:hint="eastAsia"/>
                <w:sz w:val="20"/>
                <w:szCs w:val="20"/>
              </w:rPr>
              <w:t>する中で</w:t>
            </w:r>
            <w:r w:rsidRPr="003E3EE1">
              <w:rPr>
                <w:rFonts w:asciiTheme="minorEastAsia" w:hAnsiTheme="minorEastAsia" w:hint="eastAsia"/>
                <w:sz w:val="20"/>
                <w:szCs w:val="20"/>
              </w:rPr>
              <w:t>、秋冬物の一部に動きがみられた</w:t>
            </w:r>
            <w:r w:rsidR="000B3BB8" w:rsidRPr="003E3EE1">
              <w:rPr>
                <w:rFonts w:asciiTheme="minorEastAsia" w:hAnsiTheme="minorEastAsia" w:hint="eastAsia"/>
                <w:sz w:val="20"/>
                <w:szCs w:val="20"/>
              </w:rPr>
              <w:t>が、</w:t>
            </w:r>
            <w:r w:rsidRPr="003E3EE1">
              <w:rPr>
                <w:rFonts w:asciiTheme="minorEastAsia" w:hAnsiTheme="minorEastAsia" w:hint="eastAsia"/>
                <w:sz w:val="20"/>
                <w:szCs w:val="20"/>
              </w:rPr>
              <w:t>29年に入って以降は、厳しい傾向が続いている。</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11640C" w:rsidP="006157CC">
            <w:pPr>
              <w:snapToGrid w:val="0"/>
              <w:rPr>
                <w:rFonts w:asciiTheme="minorEastAsia" w:hAnsiTheme="minorEastAsia"/>
                <w:color w:val="FF0000"/>
                <w:sz w:val="20"/>
                <w:szCs w:val="20"/>
              </w:rPr>
            </w:pPr>
            <w:r w:rsidRPr="003E3EE1">
              <w:rPr>
                <w:rFonts w:asciiTheme="minorEastAsia" w:hAnsiTheme="minorEastAsia" w:hint="eastAsia"/>
                <w:sz w:val="20"/>
                <w:szCs w:val="20"/>
              </w:rPr>
              <w:t>受注が低迷した27年に対し、28年は</w:t>
            </w:r>
            <w:r w:rsidR="006157CC" w:rsidRPr="003E3EE1">
              <w:rPr>
                <w:rFonts w:asciiTheme="minorEastAsia" w:hAnsiTheme="minorEastAsia" w:hint="eastAsia"/>
                <w:sz w:val="20"/>
                <w:szCs w:val="20"/>
              </w:rPr>
              <w:t>、</w:t>
            </w:r>
            <w:r w:rsidRPr="003E3EE1">
              <w:rPr>
                <w:rFonts w:asciiTheme="minorEastAsia" w:hAnsiTheme="minorEastAsia" w:hint="eastAsia"/>
                <w:sz w:val="20"/>
                <w:szCs w:val="20"/>
              </w:rPr>
              <w:t>力強さは</w:t>
            </w:r>
            <w:r w:rsidR="006157CC" w:rsidRPr="003E3EE1">
              <w:rPr>
                <w:rFonts w:asciiTheme="minorEastAsia" w:hAnsiTheme="minorEastAsia" w:hint="eastAsia"/>
                <w:sz w:val="20"/>
                <w:szCs w:val="20"/>
              </w:rPr>
              <w:t>ないものの</w:t>
            </w:r>
            <w:r w:rsidRPr="003E3EE1">
              <w:rPr>
                <w:rFonts w:asciiTheme="minorEastAsia" w:hAnsiTheme="minorEastAsia" w:hint="eastAsia"/>
                <w:sz w:val="20"/>
                <w:szCs w:val="20"/>
              </w:rPr>
              <w:t>持ち直しの動きがみられ、29年も同様の傾向で推移する見通しである。</w:t>
            </w:r>
          </w:p>
        </w:tc>
        <w:tc>
          <w:tcPr>
            <w:tcW w:w="1086" w:type="pct"/>
            <w:tcBorders>
              <w:top w:val="single" w:sz="4" w:space="0" w:color="auto"/>
              <w:left w:val="single" w:sz="4" w:space="0" w:color="auto"/>
              <w:bottom w:val="single" w:sz="4" w:space="0" w:color="auto"/>
              <w:right w:val="single" w:sz="4" w:space="0" w:color="auto"/>
            </w:tcBorders>
          </w:tcPr>
          <w:p w:rsidR="0026213B" w:rsidRPr="003E3EE1" w:rsidRDefault="00B77B8D" w:rsidP="00467368">
            <w:pPr>
              <w:snapToGrid w:val="0"/>
              <w:rPr>
                <w:rFonts w:asciiTheme="minorEastAsia" w:hAnsiTheme="minorEastAsia"/>
                <w:sz w:val="20"/>
                <w:szCs w:val="20"/>
              </w:rPr>
            </w:pPr>
            <w:r w:rsidRPr="003E3EE1">
              <w:rPr>
                <w:rFonts w:asciiTheme="minorEastAsia" w:hAnsiTheme="minorEastAsia" w:hint="eastAsia"/>
                <w:sz w:val="20"/>
                <w:szCs w:val="20"/>
              </w:rPr>
              <w:t>食料品全般の物価が上昇し消費者の節約志向が続いたため</w:t>
            </w:r>
            <w:r w:rsidR="003E3EE1">
              <w:rPr>
                <w:rFonts w:asciiTheme="minorEastAsia" w:hAnsiTheme="minorEastAsia" w:hint="eastAsia"/>
                <w:sz w:val="20"/>
                <w:szCs w:val="20"/>
              </w:rPr>
              <w:t>、</w:t>
            </w:r>
            <w:r w:rsidRPr="003E3EE1">
              <w:rPr>
                <w:rFonts w:asciiTheme="minorEastAsia" w:hAnsiTheme="minorEastAsia" w:hint="eastAsia"/>
                <w:sz w:val="20"/>
                <w:szCs w:val="20"/>
              </w:rPr>
              <w:t>販売数量</w:t>
            </w:r>
            <w:r w:rsidR="003E3EE1">
              <w:rPr>
                <w:rFonts w:asciiTheme="minorEastAsia" w:hAnsiTheme="minorEastAsia" w:hint="eastAsia"/>
                <w:sz w:val="20"/>
                <w:szCs w:val="20"/>
              </w:rPr>
              <w:t>は</w:t>
            </w:r>
            <w:r w:rsidRPr="003E3EE1">
              <w:rPr>
                <w:rFonts w:asciiTheme="minorEastAsia" w:hAnsiTheme="minorEastAsia" w:hint="eastAsia"/>
                <w:sz w:val="20"/>
                <w:szCs w:val="20"/>
              </w:rPr>
              <w:t>減少した</w:t>
            </w:r>
            <w:r w:rsidR="00467368">
              <w:rPr>
                <w:rFonts w:asciiTheme="minorEastAsia" w:hAnsiTheme="minorEastAsia" w:hint="eastAsia"/>
                <w:sz w:val="20"/>
                <w:szCs w:val="20"/>
              </w:rPr>
              <w:t>が、</w:t>
            </w:r>
            <w:r w:rsidRPr="003E3EE1">
              <w:rPr>
                <w:rFonts w:asciiTheme="minorEastAsia" w:hAnsiTheme="minorEastAsia" w:hint="eastAsia"/>
                <w:sz w:val="20"/>
                <w:szCs w:val="20"/>
              </w:rPr>
              <w:t>イベントやハレの日の需要は好調であった。</w:t>
            </w:r>
          </w:p>
        </w:tc>
        <w:tc>
          <w:tcPr>
            <w:tcW w:w="1084" w:type="pct"/>
            <w:tcBorders>
              <w:top w:val="single" w:sz="4" w:space="0" w:color="auto"/>
              <w:left w:val="single" w:sz="4" w:space="0" w:color="auto"/>
              <w:bottom w:val="single" w:sz="4" w:space="0" w:color="auto"/>
              <w:right w:val="single" w:sz="4" w:space="0" w:color="auto"/>
            </w:tcBorders>
          </w:tcPr>
          <w:p w:rsidR="0026213B" w:rsidRPr="00740315" w:rsidRDefault="009D4469" w:rsidP="009D4469">
            <w:pPr>
              <w:snapToGrid w:val="0"/>
              <w:rPr>
                <w:rFonts w:asciiTheme="minorEastAsia" w:hAnsiTheme="minorEastAsia"/>
                <w:sz w:val="20"/>
                <w:szCs w:val="20"/>
              </w:rPr>
            </w:pPr>
            <w:r w:rsidRPr="00740315">
              <w:rPr>
                <w:rFonts w:asciiTheme="minorEastAsia" w:hAnsiTheme="minorEastAsia" w:hint="eastAsia"/>
                <w:sz w:val="20"/>
                <w:szCs w:val="20"/>
              </w:rPr>
              <w:t>売上や利益は、大手企業は好調で、中小企業は横ばいで推移した。大手企業は、本社機能の移転などにより、受注は減少している。</w:t>
            </w:r>
          </w:p>
        </w:tc>
      </w:tr>
      <w:tr w:rsidR="0026213B" w:rsidTr="0064203F">
        <w:trPr>
          <w:trHeight w:val="586"/>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売上高、売上単価</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280BFF" w:rsidP="003E3EE1">
            <w:pPr>
              <w:snapToGrid w:val="0"/>
              <w:rPr>
                <w:rFonts w:asciiTheme="minorEastAsia" w:hAnsiTheme="minorEastAsia"/>
                <w:color w:val="FF0000"/>
                <w:sz w:val="20"/>
                <w:szCs w:val="20"/>
              </w:rPr>
            </w:pPr>
            <w:r w:rsidRPr="003E3EE1">
              <w:rPr>
                <w:rFonts w:asciiTheme="minorEastAsia" w:hAnsiTheme="minorEastAsia" w:hint="eastAsia"/>
                <w:sz w:val="20"/>
                <w:szCs w:val="20"/>
              </w:rPr>
              <w:t>ヒット商品</w:t>
            </w:r>
            <w:r w:rsidR="00F3124D" w:rsidRPr="003E3EE1">
              <w:rPr>
                <w:rFonts w:asciiTheme="minorEastAsia" w:hAnsiTheme="minorEastAsia" w:hint="eastAsia"/>
                <w:sz w:val="20"/>
                <w:szCs w:val="20"/>
              </w:rPr>
              <w:t>は</w:t>
            </w:r>
            <w:r w:rsidRPr="003E3EE1">
              <w:rPr>
                <w:rFonts w:asciiTheme="minorEastAsia" w:hAnsiTheme="minorEastAsia" w:hint="eastAsia"/>
                <w:sz w:val="20"/>
                <w:szCs w:val="20"/>
              </w:rPr>
              <w:t>限定的で</w:t>
            </w:r>
            <w:r w:rsidR="00F3124D" w:rsidRPr="003E3EE1">
              <w:rPr>
                <w:rFonts w:asciiTheme="minorEastAsia" w:hAnsiTheme="minorEastAsia" w:hint="eastAsia"/>
                <w:sz w:val="20"/>
                <w:szCs w:val="20"/>
              </w:rPr>
              <w:t>低価格</w:t>
            </w:r>
            <w:r w:rsidRPr="003E3EE1">
              <w:rPr>
                <w:rFonts w:asciiTheme="minorEastAsia" w:hAnsiTheme="minorEastAsia" w:hint="eastAsia"/>
                <w:sz w:val="20"/>
                <w:szCs w:val="20"/>
              </w:rPr>
              <w:t>志向が続い</w:t>
            </w:r>
            <w:r w:rsidR="003E3EE1">
              <w:rPr>
                <w:rFonts w:asciiTheme="minorEastAsia" w:hAnsiTheme="minorEastAsia" w:hint="eastAsia"/>
                <w:sz w:val="20"/>
                <w:szCs w:val="20"/>
              </w:rPr>
              <w:t>た</w:t>
            </w:r>
            <w:r w:rsidRPr="003E3EE1">
              <w:rPr>
                <w:rFonts w:asciiTheme="minorEastAsia" w:hAnsiTheme="minorEastAsia" w:hint="eastAsia"/>
                <w:sz w:val="20"/>
                <w:szCs w:val="20"/>
              </w:rPr>
              <w:t>。</w:t>
            </w:r>
            <w:r w:rsidR="00F3124D" w:rsidRPr="003E3EE1">
              <w:rPr>
                <w:rFonts w:asciiTheme="minorEastAsia" w:hAnsiTheme="minorEastAsia" w:hint="eastAsia"/>
                <w:sz w:val="20"/>
                <w:szCs w:val="20"/>
              </w:rPr>
              <w:t>デザインや機能性など付加価値</w:t>
            </w:r>
            <w:r w:rsidR="003E3EE1">
              <w:rPr>
                <w:rFonts w:asciiTheme="minorEastAsia" w:hAnsiTheme="minorEastAsia" w:hint="eastAsia"/>
                <w:sz w:val="20"/>
                <w:szCs w:val="20"/>
              </w:rPr>
              <w:t>向上</w:t>
            </w:r>
            <w:r w:rsidR="00F3124D" w:rsidRPr="003E3EE1">
              <w:rPr>
                <w:rFonts w:asciiTheme="minorEastAsia" w:hAnsiTheme="minorEastAsia" w:hint="eastAsia"/>
                <w:sz w:val="20"/>
                <w:szCs w:val="20"/>
              </w:rPr>
              <w:t>の一方、価格上昇、売上増、利益確保は困難である。</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6157CC" w:rsidP="003E3EE1">
            <w:pPr>
              <w:snapToGrid w:val="0"/>
              <w:rPr>
                <w:rFonts w:asciiTheme="minorEastAsia" w:hAnsiTheme="minorEastAsia"/>
                <w:color w:val="FF0000"/>
                <w:sz w:val="20"/>
                <w:szCs w:val="20"/>
              </w:rPr>
            </w:pPr>
            <w:r w:rsidRPr="003E3EE1">
              <w:rPr>
                <w:rFonts w:asciiTheme="minorEastAsia" w:hAnsiTheme="minorEastAsia" w:hint="eastAsia"/>
                <w:sz w:val="20"/>
                <w:szCs w:val="20"/>
              </w:rPr>
              <w:t>28</w:t>
            </w:r>
            <w:r w:rsidR="00290257" w:rsidRPr="003E3EE1">
              <w:rPr>
                <w:rFonts w:asciiTheme="minorEastAsia" w:hAnsiTheme="minorEastAsia" w:hint="eastAsia"/>
                <w:sz w:val="20"/>
                <w:szCs w:val="20"/>
              </w:rPr>
              <w:t>年</w:t>
            </w:r>
            <w:r w:rsidRPr="003E3EE1">
              <w:rPr>
                <w:rFonts w:asciiTheme="minorEastAsia" w:hAnsiTheme="minorEastAsia" w:hint="eastAsia"/>
                <w:sz w:val="20"/>
                <w:szCs w:val="20"/>
              </w:rPr>
              <w:t>の夏以降、</w:t>
            </w:r>
            <w:r w:rsidR="00290257" w:rsidRPr="003E3EE1">
              <w:rPr>
                <w:rFonts w:asciiTheme="minorEastAsia" w:hAnsiTheme="minorEastAsia" w:hint="eastAsia"/>
                <w:sz w:val="20"/>
                <w:szCs w:val="20"/>
              </w:rPr>
              <w:t>建設機械部品や自動車部品など輸出用の需要に回復傾向がみられるものの、製品</w:t>
            </w:r>
            <w:r w:rsidR="003E3EE1">
              <w:rPr>
                <w:rFonts w:asciiTheme="minorEastAsia" w:hAnsiTheme="minorEastAsia" w:hint="eastAsia"/>
                <w:sz w:val="20"/>
                <w:szCs w:val="20"/>
              </w:rPr>
              <w:t>毎の</w:t>
            </w:r>
            <w:r w:rsidR="00290257" w:rsidRPr="003E3EE1">
              <w:rPr>
                <w:rFonts w:asciiTheme="minorEastAsia" w:hAnsiTheme="minorEastAsia" w:hint="eastAsia"/>
                <w:sz w:val="20"/>
                <w:szCs w:val="20"/>
              </w:rPr>
              <w:t>限定的な動きにとどま</w:t>
            </w:r>
            <w:r w:rsidR="003E3EE1">
              <w:rPr>
                <w:rFonts w:asciiTheme="minorEastAsia" w:hAnsiTheme="minorEastAsia" w:hint="eastAsia"/>
                <w:sz w:val="20"/>
                <w:szCs w:val="20"/>
              </w:rPr>
              <w:t>った</w:t>
            </w:r>
            <w:r w:rsidR="00290257" w:rsidRPr="003E3EE1">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26213B" w:rsidRPr="003E3EE1" w:rsidRDefault="00B77B8D" w:rsidP="00B77B8D">
            <w:pPr>
              <w:snapToGrid w:val="0"/>
              <w:rPr>
                <w:rFonts w:asciiTheme="minorEastAsia" w:hAnsiTheme="minorEastAsia"/>
                <w:sz w:val="20"/>
                <w:szCs w:val="20"/>
              </w:rPr>
            </w:pPr>
            <w:r w:rsidRPr="003E3EE1">
              <w:rPr>
                <w:rFonts w:asciiTheme="minorEastAsia" w:hAnsiTheme="minorEastAsia" w:hint="eastAsia"/>
                <w:sz w:val="20"/>
                <w:szCs w:val="20"/>
              </w:rPr>
              <w:t>販売単価が上昇し売上高は増加基調で推移したが、原材料高騰の影響と消費者の節約志向により、販売数量は厳しい状況が続いた。</w:t>
            </w:r>
          </w:p>
        </w:tc>
        <w:tc>
          <w:tcPr>
            <w:tcW w:w="1084" w:type="pct"/>
            <w:tcBorders>
              <w:top w:val="single" w:sz="4" w:space="0" w:color="auto"/>
              <w:left w:val="single" w:sz="4" w:space="0" w:color="auto"/>
              <w:bottom w:val="single" w:sz="4" w:space="0" w:color="auto"/>
              <w:right w:val="single" w:sz="4" w:space="0" w:color="auto"/>
            </w:tcBorders>
          </w:tcPr>
          <w:p w:rsidR="0026213B" w:rsidRPr="003E3EE1" w:rsidRDefault="00B81D7F" w:rsidP="00B81D7F">
            <w:pPr>
              <w:snapToGrid w:val="0"/>
              <w:rPr>
                <w:rFonts w:asciiTheme="minorEastAsia" w:hAnsiTheme="minorEastAsia"/>
                <w:color w:val="FF0000"/>
                <w:sz w:val="20"/>
                <w:szCs w:val="20"/>
              </w:rPr>
            </w:pPr>
            <w:r w:rsidRPr="00B81D7F">
              <w:rPr>
                <w:rFonts w:asciiTheme="minorEastAsia" w:hAnsiTheme="minorEastAsia" w:hint="eastAsia"/>
                <w:sz w:val="20"/>
                <w:szCs w:val="20"/>
              </w:rPr>
              <w:t>27年の４倍体(新聞、雑誌、ラジオ、テレビ)の売上は、対前年比75.6％と減少し、インターネット広告の売上は、対前年比98％であった。</w:t>
            </w:r>
          </w:p>
        </w:tc>
      </w:tr>
      <w:tr w:rsidR="0026213B" w:rsidRPr="00D927B0" w:rsidTr="0064203F">
        <w:trPr>
          <w:trHeight w:val="279"/>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原材料・仕入価格</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2569D2" w:rsidP="003E3EE1">
            <w:pPr>
              <w:snapToGrid w:val="0"/>
              <w:rPr>
                <w:rFonts w:asciiTheme="minorEastAsia" w:hAnsiTheme="minorEastAsia"/>
                <w:color w:val="FF0000"/>
                <w:sz w:val="20"/>
                <w:szCs w:val="20"/>
              </w:rPr>
            </w:pPr>
            <w:r w:rsidRPr="003E3EE1">
              <w:rPr>
                <w:rFonts w:asciiTheme="minorEastAsia" w:hAnsiTheme="minorEastAsia" w:hint="eastAsia"/>
                <w:sz w:val="20"/>
                <w:szCs w:val="20"/>
              </w:rPr>
              <w:t>市場の成熟化</w:t>
            </w:r>
            <w:r w:rsidR="003E3EE1">
              <w:rPr>
                <w:rFonts w:asciiTheme="minorEastAsia" w:hAnsiTheme="minorEastAsia" w:hint="eastAsia"/>
                <w:sz w:val="20"/>
                <w:szCs w:val="20"/>
              </w:rPr>
              <w:t>・</w:t>
            </w:r>
            <w:r w:rsidRPr="003E3EE1">
              <w:rPr>
                <w:rFonts w:asciiTheme="minorEastAsia" w:hAnsiTheme="minorEastAsia" w:hint="eastAsia"/>
                <w:sz w:val="20"/>
                <w:szCs w:val="20"/>
              </w:rPr>
              <w:t>多様化、発注ロットの小口化や技術を要する複雑な加工への需要増に伴い、原料コストや生産コストが上昇している。</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6157CC" w:rsidP="003E3EE1">
            <w:pPr>
              <w:snapToGrid w:val="0"/>
              <w:rPr>
                <w:rFonts w:asciiTheme="minorEastAsia" w:hAnsiTheme="minorEastAsia"/>
                <w:sz w:val="20"/>
                <w:szCs w:val="20"/>
              </w:rPr>
            </w:pPr>
            <w:r w:rsidRPr="003E3EE1">
              <w:rPr>
                <w:rFonts w:asciiTheme="minorEastAsia" w:hAnsiTheme="minorEastAsia" w:hint="eastAsia"/>
                <w:sz w:val="20"/>
                <w:szCs w:val="20"/>
              </w:rPr>
              <w:t>27年秋以降、鋼材の価格が上昇傾向にある。エネルギーコストのうち、ガス代が上昇した一方、電気代を抑制できた企業がみられ</w:t>
            </w:r>
            <w:r w:rsidR="003E3EE1">
              <w:rPr>
                <w:rFonts w:asciiTheme="minorEastAsia" w:hAnsiTheme="minorEastAsia" w:hint="eastAsia"/>
                <w:sz w:val="20"/>
                <w:szCs w:val="20"/>
              </w:rPr>
              <w:t>た</w:t>
            </w:r>
            <w:r w:rsidRPr="003E3EE1">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26213B" w:rsidRPr="003E3EE1" w:rsidRDefault="00B77B8D" w:rsidP="00B77B8D">
            <w:pPr>
              <w:snapToGrid w:val="0"/>
              <w:rPr>
                <w:rFonts w:asciiTheme="minorEastAsia" w:hAnsiTheme="minorEastAsia"/>
                <w:color w:val="FF0000"/>
                <w:sz w:val="20"/>
                <w:szCs w:val="20"/>
              </w:rPr>
            </w:pPr>
            <w:r w:rsidRPr="003E3EE1">
              <w:rPr>
                <w:rFonts w:asciiTheme="minorEastAsia" w:hAnsiTheme="minorEastAsia" w:hint="eastAsia"/>
                <w:sz w:val="20"/>
                <w:szCs w:val="20"/>
              </w:rPr>
              <w:t>日照不足や台風等で、青果、国産牛肉、乳製品等が値上がりし、冷食、レトルト、インスタントの食品も原材料高騰の影響を受けた。</w:t>
            </w:r>
          </w:p>
        </w:tc>
        <w:tc>
          <w:tcPr>
            <w:tcW w:w="1084" w:type="pct"/>
            <w:tcBorders>
              <w:top w:val="single" w:sz="4" w:space="0" w:color="auto"/>
              <w:left w:val="single" w:sz="4" w:space="0" w:color="auto"/>
              <w:bottom w:val="single" w:sz="4" w:space="0" w:color="auto"/>
              <w:right w:val="single" w:sz="4" w:space="0" w:color="auto"/>
            </w:tcBorders>
          </w:tcPr>
          <w:p w:rsidR="0026213B" w:rsidRPr="003E3EE1" w:rsidRDefault="00B54066" w:rsidP="00B6405B">
            <w:pPr>
              <w:snapToGrid w:val="0"/>
              <w:rPr>
                <w:rFonts w:asciiTheme="minorEastAsia" w:hAnsiTheme="minorEastAsia"/>
                <w:color w:val="FF0000"/>
                <w:sz w:val="20"/>
                <w:szCs w:val="20"/>
              </w:rPr>
            </w:pPr>
            <w:r>
              <w:rPr>
                <w:rFonts w:asciiTheme="minorEastAsia" w:hAnsiTheme="minorEastAsia" w:hint="eastAsia"/>
                <w:sz w:val="20"/>
                <w:szCs w:val="20"/>
              </w:rPr>
              <w:t>伸長する</w:t>
            </w:r>
            <w:r w:rsidRPr="00B54066">
              <w:rPr>
                <w:rFonts w:asciiTheme="minorEastAsia" w:hAnsiTheme="minorEastAsia" w:hint="eastAsia"/>
                <w:sz w:val="20"/>
                <w:szCs w:val="20"/>
              </w:rPr>
              <w:t>インターネット広告などデジタル分野の制作に手間がかかる一方、電子送稿により、電子媒体の取次ぎ</w:t>
            </w:r>
            <w:r w:rsidR="00B6405B">
              <w:rPr>
                <w:rFonts w:asciiTheme="minorEastAsia" w:hAnsiTheme="minorEastAsia" w:hint="eastAsia"/>
                <w:sz w:val="20"/>
                <w:szCs w:val="20"/>
              </w:rPr>
              <w:t>の手間</w:t>
            </w:r>
            <w:r w:rsidRPr="00B54066">
              <w:rPr>
                <w:rFonts w:asciiTheme="minorEastAsia" w:hAnsiTheme="minorEastAsia" w:hint="eastAsia"/>
                <w:sz w:val="20"/>
                <w:szCs w:val="20"/>
              </w:rPr>
              <w:t>は減っている。</w:t>
            </w:r>
          </w:p>
        </w:tc>
      </w:tr>
      <w:tr w:rsidR="0026213B" w:rsidTr="0064203F">
        <w:trPr>
          <w:trHeight w:val="900"/>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設備投資</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BA44A2" w:rsidP="003E3EE1">
            <w:pPr>
              <w:snapToGrid w:val="0"/>
              <w:rPr>
                <w:rFonts w:asciiTheme="minorEastAsia" w:hAnsiTheme="minorEastAsia"/>
                <w:color w:val="FF0000"/>
                <w:sz w:val="20"/>
                <w:szCs w:val="20"/>
              </w:rPr>
            </w:pPr>
            <w:r w:rsidRPr="003E3EE1">
              <w:rPr>
                <w:rFonts w:asciiTheme="minorEastAsia" w:hAnsiTheme="minorEastAsia" w:hint="eastAsia"/>
                <w:sz w:val="20"/>
                <w:szCs w:val="20"/>
              </w:rPr>
              <w:t>生産の一部に国内回帰の動きがみられるものの、受注不安定な状況が続いているため、設備投資</w:t>
            </w:r>
            <w:r w:rsidR="003E3EE1">
              <w:rPr>
                <w:rFonts w:asciiTheme="minorEastAsia" w:hAnsiTheme="minorEastAsia" w:hint="eastAsia"/>
                <w:sz w:val="20"/>
                <w:szCs w:val="20"/>
              </w:rPr>
              <w:t>が</w:t>
            </w:r>
            <w:r w:rsidRPr="003E3EE1">
              <w:rPr>
                <w:rFonts w:asciiTheme="minorEastAsia" w:hAnsiTheme="minorEastAsia" w:hint="eastAsia"/>
                <w:sz w:val="20"/>
                <w:szCs w:val="20"/>
              </w:rPr>
              <w:t>遅れ、製造体制に課題が</w:t>
            </w:r>
            <w:r w:rsidR="003E3EE1">
              <w:rPr>
                <w:rFonts w:asciiTheme="minorEastAsia" w:hAnsiTheme="minorEastAsia" w:hint="eastAsia"/>
                <w:sz w:val="20"/>
                <w:szCs w:val="20"/>
              </w:rPr>
              <w:t>みられた</w:t>
            </w:r>
            <w:r w:rsidRPr="003E3EE1">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6157CC" w:rsidP="00A071CC">
            <w:pPr>
              <w:snapToGrid w:val="0"/>
              <w:rPr>
                <w:rFonts w:asciiTheme="minorEastAsia" w:hAnsiTheme="minorEastAsia"/>
                <w:color w:val="FF0000"/>
                <w:sz w:val="20"/>
                <w:szCs w:val="20"/>
              </w:rPr>
            </w:pPr>
            <w:r w:rsidRPr="003E3EE1">
              <w:rPr>
                <w:rFonts w:asciiTheme="minorEastAsia" w:hAnsiTheme="minorEastAsia" w:hint="eastAsia"/>
                <w:sz w:val="20"/>
                <w:szCs w:val="20"/>
              </w:rPr>
              <w:t>生産能力維持のための更新にとどめる企業が多</w:t>
            </w:r>
            <w:r w:rsidR="00A071CC" w:rsidRPr="003E3EE1">
              <w:rPr>
                <w:rFonts w:asciiTheme="minorEastAsia" w:hAnsiTheme="minorEastAsia" w:hint="eastAsia"/>
                <w:sz w:val="20"/>
                <w:szCs w:val="20"/>
              </w:rPr>
              <w:t>いが</w:t>
            </w:r>
            <w:r w:rsidRPr="003E3EE1">
              <w:rPr>
                <w:rFonts w:asciiTheme="minorEastAsia" w:hAnsiTheme="minorEastAsia" w:hint="eastAsia"/>
                <w:sz w:val="20"/>
                <w:szCs w:val="20"/>
              </w:rPr>
              <w:t>、炉のバーナーを省エネタイプに替えるなど、省エネ</w:t>
            </w:r>
            <w:r w:rsidR="00A071CC" w:rsidRPr="003E3EE1">
              <w:rPr>
                <w:rFonts w:asciiTheme="minorEastAsia" w:hAnsiTheme="minorEastAsia" w:hint="eastAsia"/>
                <w:sz w:val="20"/>
                <w:szCs w:val="20"/>
              </w:rPr>
              <w:t>対応の</w:t>
            </w:r>
            <w:r w:rsidRPr="003E3EE1">
              <w:rPr>
                <w:rFonts w:asciiTheme="minorEastAsia" w:hAnsiTheme="minorEastAsia" w:hint="eastAsia"/>
                <w:sz w:val="20"/>
                <w:szCs w:val="20"/>
              </w:rPr>
              <w:t>投資</w:t>
            </w:r>
            <w:r w:rsidR="00A071CC" w:rsidRPr="003E3EE1">
              <w:rPr>
                <w:rFonts w:asciiTheme="minorEastAsia" w:hAnsiTheme="minorEastAsia" w:hint="eastAsia"/>
                <w:sz w:val="20"/>
                <w:szCs w:val="20"/>
              </w:rPr>
              <w:t>に</w:t>
            </w:r>
            <w:r w:rsidRPr="003E3EE1">
              <w:rPr>
                <w:rFonts w:asciiTheme="minorEastAsia" w:hAnsiTheme="minorEastAsia" w:hint="eastAsia"/>
                <w:sz w:val="20"/>
                <w:szCs w:val="20"/>
              </w:rPr>
              <w:t>積極的である。</w:t>
            </w:r>
          </w:p>
        </w:tc>
        <w:tc>
          <w:tcPr>
            <w:tcW w:w="1086" w:type="pct"/>
            <w:tcBorders>
              <w:top w:val="single" w:sz="4" w:space="0" w:color="auto"/>
              <w:left w:val="single" w:sz="4" w:space="0" w:color="auto"/>
              <w:bottom w:val="single" w:sz="4" w:space="0" w:color="auto"/>
              <w:right w:val="single" w:sz="4" w:space="0" w:color="auto"/>
            </w:tcBorders>
          </w:tcPr>
          <w:p w:rsidR="0026213B" w:rsidRPr="000A31C0" w:rsidRDefault="000E324A" w:rsidP="00B6405B">
            <w:pPr>
              <w:snapToGrid w:val="0"/>
              <w:rPr>
                <w:rFonts w:asciiTheme="minorEastAsia" w:hAnsiTheme="minorEastAsia"/>
                <w:sz w:val="20"/>
                <w:szCs w:val="20"/>
              </w:rPr>
            </w:pPr>
            <w:r w:rsidRPr="000A31C0">
              <w:rPr>
                <w:rFonts w:asciiTheme="minorEastAsia" w:hAnsiTheme="minorEastAsia" w:hint="eastAsia"/>
                <w:sz w:val="20"/>
                <w:szCs w:val="20"/>
              </w:rPr>
              <w:t>冷蔵庫、冷凍庫、オープンケース、冷房設備などの商品保管関係に加えて、LED照明など</w:t>
            </w:r>
            <w:r w:rsidR="002743AA" w:rsidRPr="000A31C0">
              <w:rPr>
                <w:rFonts w:asciiTheme="minorEastAsia" w:hAnsiTheme="minorEastAsia" w:hint="eastAsia"/>
                <w:sz w:val="20"/>
                <w:szCs w:val="20"/>
              </w:rPr>
              <w:t>の光熱費対策の投資が積極的に行われ</w:t>
            </w:r>
            <w:r w:rsidR="00B6405B">
              <w:rPr>
                <w:rFonts w:asciiTheme="minorEastAsia" w:hAnsiTheme="minorEastAsia" w:hint="eastAsia"/>
                <w:sz w:val="20"/>
                <w:szCs w:val="20"/>
              </w:rPr>
              <w:t>て</w:t>
            </w:r>
            <w:r w:rsidR="002743AA" w:rsidRPr="000A31C0">
              <w:rPr>
                <w:rFonts w:asciiTheme="minorEastAsia" w:hAnsiTheme="minorEastAsia" w:hint="eastAsia"/>
                <w:sz w:val="20"/>
                <w:szCs w:val="20"/>
              </w:rPr>
              <w:t>いる。</w:t>
            </w:r>
          </w:p>
        </w:tc>
        <w:tc>
          <w:tcPr>
            <w:tcW w:w="1084" w:type="pct"/>
            <w:tcBorders>
              <w:top w:val="single" w:sz="4" w:space="0" w:color="auto"/>
              <w:left w:val="single" w:sz="4" w:space="0" w:color="auto"/>
              <w:bottom w:val="single" w:sz="4" w:space="0" w:color="auto"/>
              <w:right w:val="single" w:sz="4" w:space="0" w:color="auto"/>
            </w:tcBorders>
            <w:vAlign w:val="center"/>
          </w:tcPr>
          <w:p w:rsidR="0026213B" w:rsidRPr="00B54066" w:rsidRDefault="00B54066" w:rsidP="00B54066">
            <w:pPr>
              <w:snapToGrid w:val="0"/>
              <w:jc w:val="center"/>
              <w:rPr>
                <w:rFonts w:asciiTheme="minorEastAsia" w:hAnsiTheme="minorEastAsia"/>
                <w:sz w:val="20"/>
                <w:szCs w:val="20"/>
              </w:rPr>
            </w:pPr>
            <w:r w:rsidRPr="00B54066">
              <w:rPr>
                <w:rFonts w:asciiTheme="minorEastAsia" w:hAnsiTheme="minorEastAsia" w:hint="eastAsia"/>
                <w:sz w:val="20"/>
                <w:szCs w:val="20"/>
              </w:rPr>
              <w:t>－</w:t>
            </w:r>
          </w:p>
        </w:tc>
      </w:tr>
      <w:tr w:rsidR="0026213B" w:rsidTr="0064203F">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雇用、賃金</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162152" w:rsidP="00162152">
            <w:pPr>
              <w:snapToGrid w:val="0"/>
              <w:rPr>
                <w:rFonts w:asciiTheme="minorEastAsia" w:hAnsiTheme="minorEastAsia"/>
                <w:color w:val="FF0000"/>
                <w:sz w:val="20"/>
                <w:szCs w:val="20"/>
              </w:rPr>
            </w:pPr>
            <w:r w:rsidRPr="00162152">
              <w:rPr>
                <w:rFonts w:asciiTheme="minorEastAsia" w:hAnsiTheme="minorEastAsia" w:hint="eastAsia"/>
                <w:sz w:val="20"/>
                <w:szCs w:val="20"/>
              </w:rPr>
              <w:t>年齢構成の見直しや生産体制の維持に向けた</w:t>
            </w:r>
            <w:r w:rsidR="00BA44A2" w:rsidRPr="00162152">
              <w:rPr>
                <w:rFonts w:asciiTheme="minorEastAsia" w:hAnsiTheme="minorEastAsia" w:hint="eastAsia"/>
                <w:sz w:val="20"/>
                <w:szCs w:val="20"/>
              </w:rPr>
              <w:t>採用</w:t>
            </w:r>
            <w:r w:rsidRPr="00162152">
              <w:rPr>
                <w:rFonts w:asciiTheme="minorEastAsia" w:hAnsiTheme="minorEastAsia" w:hint="eastAsia"/>
                <w:sz w:val="20"/>
                <w:szCs w:val="20"/>
              </w:rPr>
              <w:t>では</w:t>
            </w:r>
            <w:r w:rsidR="00BA44A2" w:rsidRPr="00162152">
              <w:rPr>
                <w:rFonts w:asciiTheme="minorEastAsia" w:hAnsiTheme="minorEastAsia" w:hint="eastAsia"/>
                <w:sz w:val="20"/>
                <w:szCs w:val="20"/>
              </w:rPr>
              <w:t>、市場全体の求人</w:t>
            </w:r>
            <w:r w:rsidR="003E3EE1" w:rsidRPr="00162152">
              <w:rPr>
                <w:rFonts w:asciiTheme="minorEastAsia" w:hAnsiTheme="minorEastAsia" w:hint="eastAsia"/>
                <w:sz w:val="20"/>
                <w:szCs w:val="20"/>
              </w:rPr>
              <w:t>増の進展と</w:t>
            </w:r>
            <w:r w:rsidR="00BA44A2" w:rsidRPr="00162152">
              <w:rPr>
                <w:rFonts w:asciiTheme="minorEastAsia" w:hAnsiTheme="minorEastAsia" w:hint="eastAsia"/>
                <w:sz w:val="20"/>
                <w:szCs w:val="20"/>
              </w:rPr>
              <w:t>若年者の定着率の低下傾向などから、十分に人材を</w:t>
            </w:r>
            <w:r w:rsidR="00B6405B" w:rsidRPr="00162152">
              <w:rPr>
                <w:rFonts w:asciiTheme="minorEastAsia" w:hAnsiTheme="minorEastAsia" w:hint="eastAsia"/>
                <w:sz w:val="20"/>
                <w:szCs w:val="20"/>
              </w:rPr>
              <w:t>確保</w:t>
            </w:r>
            <w:r w:rsidR="00BA44A2" w:rsidRPr="00162152">
              <w:rPr>
                <w:rFonts w:asciiTheme="minorEastAsia" w:hAnsiTheme="minorEastAsia" w:hint="eastAsia"/>
                <w:sz w:val="20"/>
                <w:szCs w:val="20"/>
              </w:rPr>
              <w:t>できている企業は少ない</w:t>
            </w:r>
            <w:r w:rsidR="00BA44A2" w:rsidRPr="003E3EE1">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6157CC" w:rsidP="003E3EE1">
            <w:pPr>
              <w:snapToGrid w:val="0"/>
              <w:rPr>
                <w:rFonts w:asciiTheme="minorEastAsia" w:hAnsiTheme="minorEastAsia"/>
                <w:color w:val="FF0000"/>
                <w:sz w:val="20"/>
                <w:szCs w:val="20"/>
              </w:rPr>
            </w:pPr>
            <w:r w:rsidRPr="003E3EE1">
              <w:rPr>
                <w:rFonts w:asciiTheme="minorEastAsia" w:hAnsiTheme="minorEastAsia" w:hint="eastAsia"/>
                <w:sz w:val="20"/>
                <w:szCs w:val="20"/>
              </w:rPr>
              <w:t>退職者の補充程度の採用にとどめる企業が多いが、採用は困難化している。機械化は人材育成</w:t>
            </w:r>
            <w:r w:rsidR="003E3EE1">
              <w:rPr>
                <w:rFonts w:asciiTheme="minorEastAsia" w:hAnsiTheme="minorEastAsia" w:hint="eastAsia"/>
                <w:sz w:val="20"/>
                <w:szCs w:val="20"/>
              </w:rPr>
              <w:t>を必要都するため</w:t>
            </w:r>
            <w:r w:rsidRPr="003E3EE1">
              <w:rPr>
                <w:rFonts w:asciiTheme="minorEastAsia" w:hAnsiTheme="minorEastAsia" w:hint="eastAsia"/>
                <w:sz w:val="20"/>
                <w:szCs w:val="20"/>
              </w:rPr>
              <w:t>、人材不足で引合いに対応できないケースもみられる。</w:t>
            </w:r>
          </w:p>
        </w:tc>
        <w:tc>
          <w:tcPr>
            <w:tcW w:w="1086" w:type="pct"/>
            <w:tcBorders>
              <w:top w:val="single" w:sz="4" w:space="0" w:color="auto"/>
              <w:left w:val="single" w:sz="4" w:space="0" w:color="auto"/>
              <w:bottom w:val="single" w:sz="4" w:space="0" w:color="auto"/>
              <w:right w:val="single" w:sz="4" w:space="0" w:color="auto"/>
            </w:tcBorders>
          </w:tcPr>
          <w:p w:rsidR="0047302E" w:rsidRPr="000A31C0" w:rsidRDefault="002743AA" w:rsidP="00162152">
            <w:pPr>
              <w:snapToGrid w:val="0"/>
              <w:rPr>
                <w:rFonts w:asciiTheme="minorEastAsia" w:hAnsiTheme="minorEastAsia"/>
                <w:sz w:val="20"/>
                <w:szCs w:val="20"/>
              </w:rPr>
            </w:pPr>
            <w:r w:rsidRPr="000A31C0">
              <w:rPr>
                <w:rFonts w:asciiTheme="minorEastAsia" w:hAnsiTheme="minorEastAsia" w:hint="eastAsia"/>
                <w:sz w:val="20"/>
                <w:szCs w:val="20"/>
              </w:rPr>
              <w:t>パート等の人材の確保が困難化しているほか、最低賃金の上昇等によ</w:t>
            </w:r>
            <w:r w:rsidR="000A31C0" w:rsidRPr="000A31C0">
              <w:rPr>
                <w:rFonts w:asciiTheme="minorEastAsia" w:hAnsiTheme="minorEastAsia" w:hint="eastAsia"/>
                <w:sz w:val="20"/>
                <w:szCs w:val="20"/>
              </w:rPr>
              <w:t>る固定費の増加がみられた。人材不足のため、早朝の営業</w:t>
            </w:r>
            <w:r w:rsidR="00162152">
              <w:rPr>
                <w:rFonts w:asciiTheme="minorEastAsia" w:hAnsiTheme="minorEastAsia" w:hint="eastAsia"/>
                <w:sz w:val="20"/>
                <w:szCs w:val="20"/>
              </w:rPr>
              <w:t>を取り止める</w:t>
            </w:r>
            <w:r w:rsidR="000A31C0" w:rsidRPr="000A31C0">
              <w:rPr>
                <w:rFonts w:asciiTheme="minorEastAsia" w:hAnsiTheme="minorEastAsia" w:hint="eastAsia"/>
                <w:sz w:val="20"/>
                <w:szCs w:val="20"/>
              </w:rPr>
              <w:t>企業などもみられた。</w:t>
            </w:r>
          </w:p>
        </w:tc>
        <w:tc>
          <w:tcPr>
            <w:tcW w:w="1084" w:type="pct"/>
            <w:tcBorders>
              <w:top w:val="single" w:sz="4" w:space="0" w:color="auto"/>
              <w:left w:val="single" w:sz="4" w:space="0" w:color="auto"/>
              <w:bottom w:val="single" w:sz="4" w:space="0" w:color="auto"/>
              <w:right w:val="single" w:sz="4" w:space="0" w:color="auto"/>
            </w:tcBorders>
          </w:tcPr>
          <w:p w:rsidR="0026213B" w:rsidRPr="003E3EE1" w:rsidRDefault="00B81D7F" w:rsidP="00B81D7F">
            <w:pPr>
              <w:snapToGrid w:val="0"/>
              <w:rPr>
                <w:rFonts w:asciiTheme="minorEastAsia" w:hAnsiTheme="minorEastAsia"/>
                <w:color w:val="FF0000"/>
                <w:sz w:val="20"/>
                <w:szCs w:val="20"/>
              </w:rPr>
            </w:pPr>
            <w:r w:rsidRPr="00B81D7F">
              <w:rPr>
                <w:rFonts w:asciiTheme="minorEastAsia" w:hAnsiTheme="minorEastAsia" w:hint="eastAsia"/>
                <w:sz w:val="20"/>
                <w:szCs w:val="20"/>
              </w:rPr>
              <w:t>規模によらず、独立などによる離職率が高いため、人材を定期的に採用している。賞与を出す企業や、社員の減少に伴い、給与</w:t>
            </w:r>
            <w:r>
              <w:rPr>
                <w:rFonts w:asciiTheme="minorEastAsia" w:hAnsiTheme="minorEastAsia" w:hint="eastAsia"/>
                <w:sz w:val="20"/>
                <w:szCs w:val="20"/>
              </w:rPr>
              <w:t>の</w:t>
            </w:r>
            <w:r w:rsidRPr="00B81D7F">
              <w:rPr>
                <w:rFonts w:asciiTheme="minorEastAsia" w:hAnsiTheme="minorEastAsia" w:hint="eastAsia"/>
                <w:sz w:val="20"/>
                <w:szCs w:val="20"/>
              </w:rPr>
              <w:t>ベースアップ</w:t>
            </w:r>
            <w:r>
              <w:rPr>
                <w:rFonts w:asciiTheme="minorEastAsia" w:hAnsiTheme="minorEastAsia" w:hint="eastAsia"/>
                <w:sz w:val="20"/>
                <w:szCs w:val="20"/>
              </w:rPr>
              <w:t>を</w:t>
            </w:r>
            <w:r w:rsidRPr="00B81D7F">
              <w:rPr>
                <w:rFonts w:asciiTheme="minorEastAsia" w:hAnsiTheme="minorEastAsia" w:hint="eastAsia"/>
                <w:sz w:val="20"/>
                <w:szCs w:val="20"/>
              </w:rPr>
              <w:t>した企業もみられた。</w:t>
            </w:r>
          </w:p>
        </w:tc>
      </w:tr>
      <w:tr w:rsidR="0026213B" w:rsidTr="0064203F">
        <w:trPr>
          <w:trHeight w:val="70"/>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rsidP="00CB067F">
            <w:pPr>
              <w:rPr>
                <w:rFonts w:asciiTheme="majorEastAsia" w:eastAsiaTheme="majorEastAsia" w:hAnsiTheme="majorEastAsia"/>
                <w:szCs w:val="21"/>
              </w:rPr>
            </w:pPr>
            <w:r>
              <w:rPr>
                <w:rFonts w:asciiTheme="majorEastAsia" w:eastAsiaTheme="majorEastAsia" w:hAnsiTheme="majorEastAsia" w:hint="eastAsia"/>
                <w:szCs w:val="21"/>
              </w:rPr>
              <w:t>資金繰り</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3E3EE1" w:rsidRDefault="00E97259" w:rsidP="002A3344">
            <w:pPr>
              <w:jc w:val="center"/>
              <w:rPr>
                <w:rFonts w:asciiTheme="minorEastAsia" w:hAnsiTheme="minorEastAsia"/>
                <w:color w:val="FF0000"/>
                <w:sz w:val="20"/>
                <w:szCs w:val="20"/>
              </w:rPr>
            </w:pPr>
            <w:r w:rsidRPr="003E3EE1">
              <w:rPr>
                <w:rFonts w:asciiTheme="minorEastAsia" w:hAnsiTheme="minorEastAsia" w:hint="eastAsia"/>
                <w:sz w:val="20"/>
                <w:szCs w:val="20"/>
              </w:rPr>
              <w:t>－</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3E3EE1" w:rsidRDefault="00290257" w:rsidP="00290257">
            <w:pPr>
              <w:jc w:val="left"/>
              <w:rPr>
                <w:rFonts w:asciiTheme="minorEastAsia" w:hAnsiTheme="minorEastAsia"/>
                <w:color w:val="FF0000"/>
                <w:sz w:val="20"/>
                <w:szCs w:val="20"/>
              </w:rPr>
            </w:pPr>
            <w:r w:rsidRPr="003E3EE1">
              <w:rPr>
                <w:rFonts w:asciiTheme="minorEastAsia" w:hAnsiTheme="minorEastAsia" w:hint="eastAsia"/>
                <w:sz w:val="20"/>
                <w:szCs w:val="20"/>
              </w:rPr>
              <w:t>取引条件の変化はみられない。</w:t>
            </w:r>
          </w:p>
        </w:tc>
        <w:tc>
          <w:tcPr>
            <w:tcW w:w="1086" w:type="pct"/>
            <w:tcBorders>
              <w:top w:val="single" w:sz="4" w:space="0" w:color="auto"/>
              <w:left w:val="single" w:sz="4" w:space="0" w:color="auto"/>
              <w:bottom w:val="single" w:sz="4" w:space="0" w:color="auto"/>
              <w:right w:val="single" w:sz="4" w:space="0" w:color="auto"/>
            </w:tcBorders>
            <w:vAlign w:val="center"/>
          </w:tcPr>
          <w:p w:rsidR="0026213B" w:rsidRPr="00B81D7F" w:rsidRDefault="000A31C0" w:rsidP="00B81D7F">
            <w:pPr>
              <w:jc w:val="center"/>
              <w:rPr>
                <w:rFonts w:asciiTheme="minorEastAsia" w:hAnsiTheme="minorEastAsia"/>
                <w:sz w:val="20"/>
                <w:szCs w:val="20"/>
              </w:rPr>
            </w:pPr>
            <w:r w:rsidRPr="00B81D7F">
              <w:rPr>
                <w:rFonts w:asciiTheme="minorEastAsia" w:hAnsiTheme="minorEastAsia" w:hint="eastAsia"/>
                <w:sz w:val="20"/>
                <w:szCs w:val="20"/>
              </w:rPr>
              <w:t>－</w:t>
            </w:r>
          </w:p>
        </w:tc>
        <w:tc>
          <w:tcPr>
            <w:tcW w:w="1084" w:type="pct"/>
            <w:tcBorders>
              <w:top w:val="single" w:sz="4" w:space="0" w:color="auto"/>
              <w:left w:val="single" w:sz="4" w:space="0" w:color="auto"/>
              <w:bottom w:val="single" w:sz="4" w:space="0" w:color="auto"/>
              <w:right w:val="single" w:sz="4" w:space="0" w:color="auto"/>
            </w:tcBorders>
          </w:tcPr>
          <w:p w:rsidR="0026213B" w:rsidRPr="00B81D7F" w:rsidRDefault="00B81D7F" w:rsidP="00B81D7F">
            <w:pPr>
              <w:jc w:val="center"/>
              <w:rPr>
                <w:rFonts w:asciiTheme="minorEastAsia" w:hAnsiTheme="minorEastAsia"/>
                <w:sz w:val="20"/>
                <w:szCs w:val="20"/>
              </w:rPr>
            </w:pPr>
            <w:r w:rsidRPr="00B81D7F">
              <w:rPr>
                <w:rFonts w:asciiTheme="minorEastAsia" w:hAnsiTheme="minorEastAsia" w:hint="eastAsia"/>
                <w:sz w:val="20"/>
                <w:szCs w:val="20"/>
              </w:rPr>
              <w:t>－</w:t>
            </w:r>
          </w:p>
        </w:tc>
      </w:tr>
      <w:tr w:rsidR="0026213B" w:rsidTr="0064203F">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為替相場の影響、その他の影響など</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F3124D" w:rsidP="006E6491">
            <w:pPr>
              <w:snapToGrid w:val="0"/>
              <w:rPr>
                <w:rFonts w:asciiTheme="minorEastAsia" w:hAnsiTheme="minorEastAsia"/>
                <w:sz w:val="20"/>
                <w:szCs w:val="20"/>
              </w:rPr>
            </w:pPr>
            <w:r w:rsidRPr="003E3EE1">
              <w:rPr>
                <w:rFonts w:asciiTheme="minorEastAsia" w:hAnsiTheme="minorEastAsia" w:hint="eastAsia"/>
                <w:sz w:val="20"/>
                <w:szCs w:val="20"/>
              </w:rPr>
              <w:t>円安などで調達コストの上昇が進</w:t>
            </w:r>
            <w:r w:rsidR="006E6491" w:rsidRPr="003E3EE1">
              <w:rPr>
                <w:rFonts w:asciiTheme="minorEastAsia" w:hAnsiTheme="minorEastAsia" w:hint="eastAsia"/>
                <w:sz w:val="20"/>
                <w:szCs w:val="20"/>
              </w:rPr>
              <w:t>み、利益確保に苦慮する企業が多い。また、円安や現地労働者の賃金上昇などにより、</w:t>
            </w:r>
            <w:r w:rsidR="003E3EE1">
              <w:rPr>
                <w:rFonts w:asciiTheme="minorEastAsia" w:hAnsiTheme="minorEastAsia" w:hint="eastAsia"/>
                <w:sz w:val="20"/>
                <w:szCs w:val="20"/>
              </w:rPr>
              <w:t>海外、特に</w:t>
            </w:r>
            <w:r w:rsidR="006E6491" w:rsidRPr="003E3EE1">
              <w:rPr>
                <w:rFonts w:asciiTheme="minorEastAsia" w:hAnsiTheme="minorEastAsia" w:hint="eastAsia"/>
                <w:sz w:val="20"/>
                <w:szCs w:val="20"/>
              </w:rPr>
              <w:t>中国からの輸入は減少傾向にある。</w:t>
            </w:r>
          </w:p>
        </w:tc>
        <w:tc>
          <w:tcPr>
            <w:tcW w:w="1085" w:type="pct"/>
            <w:tcBorders>
              <w:top w:val="single" w:sz="4" w:space="0" w:color="auto"/>
              <w:left w:val="single" w:sz="4" w:space="0" w:color="auto"/>
              <w:bottom w:val="single" w:sz="4" w:space="0" w:color="auto"/>
              <w:right w:val="single" w:sz="4" w:space="0" w:color="auto"/>
            </w:tcBorders>
            <w:vAlign w:val="center"/>
          </w:tcPr>
          <w:p w:rsidR="0026213B" w:rsidRPr="003E3EE1" w:rsidRDefault="00A071CC" w:rsidP="00A071CC">
            <w:pPr>
              <w:snapToGrid w:val="0"/>
              <w:jc w:val="center"/>
              <w:rPr>
                <w:rFonts w:asciiTheme="minorEastAsia" w:hAnsiTheme="minorEastAsia"/>
                <w:color w:val="FF0000"/>
                <w:sz w:val="20"/>
                <w:szCs w:val="20"/>
              </w:rPr>
            </w:pPr>
            <w:r w:rsidRPr="003E3EE1">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26213B" w:rsidRPr="000A31C0" w:rsidRDefault="000A31C0" w:rsidP="000A31C0">
            <w:pPr>
              <w:snapToGrid w:val="0"/>
              <w:rPr>
                <w:rFonts w:asciiTheme="minorEastAsia" w:hAnsiTheme="minorEastAsia"/>
                <w:sz w:val="20"/>
                <w:szCs w:val="20"/>
              </w:rPr>
            </w:pPr>
            <w:r w:rsidRPr="000A31C0">
              <w:rPr>
                <w:rFonts w:asciiTheme="minorEastAsia" w:hAnsiTheme="minorEastAsia" w:hint="eastAsia"/>
                <w:sz w:val="20"/>
                <w:szCs w:val="20"/>
              </w:rPr>
              <w:t>消費者の節約志向の影響を受け、低価格帯の商品を提供する一方、ブランド力や品質、鮮度等を高めた値ごろ感のある商品を提供する二極的な販売戦略がみられる。</w:t>
            </w:r>
          </w:p>
        </w:tc>
        <w:tc>
          <w:tcPr>
            <w:tcW w:w="1084" w:type="pct"/>
            <w:tcBorders>
              <w:top w:val="single" w:sz="4" w:space="0" w:color="auto"/>
              <w:left w:val="single" w:sz="4" w:space="0" w:color="auto"/>
              <w:bottom w:val="single" w:sz="4" w:space="0" w:color="auto"/>
              <w:right w:val="single" w:sz="4" w:space="0" w:color="auto"/>
            </w:tcBorders>
          </w:tcPr>
          <w:p w:rsidR="0026213B" w:rsidRPr="003E3EE1" w:rsidRDefault="00B54066" w:rsidP="00193251">
            <w:pPr>
              <w:snapToGrid w:val="0"/>
              <w:rPr>
                <w:rFonts w:asciiTheme="minorEastAsia" w:hAnsiTheme="minorEastAsia"/>
                <w:color w:val="FF0000"/>
                <w:sz w:val="20"/>
                <w:szCs w:val="20"/>
              </w:rPr>
            </w:pPr>
            <w:r w:rsidRPr="00193251">
              <w:rPr>
                <w:rFonts w:asciiTheme="minorEastAsia" w:hAnsiTheme="minorEastAsia" w:hint="eastAsia"/>
                <w:sz w:val="20"/>
                <w:szCs w:val="20"/>
              </w:rPr>
              <w:t>デジタル化に伴う変化の中、人件費負担の軽減に向けて、社員の業務の外注</w:t>
            </w:r>
            <w:r w:rsidR="00193251" w:rsidRPr="00193251">
              <w:rPr>
                <w:rFonts w:asciiTheme="minorEastAsia" w:hAnsiTheme="minorEastAsia" w:hint="eastAsia"/>
                <w:sz w:val="20"/>
                <w:szCs w:val="20"/>
              </w:rPr>
              <w:t>化や安定的に受注が見込める業務を若手に任せるなどの効率化に取り組む企業がみられる。</w:t>
            </w:r>
          </w:p>
        </w:tc>
      </w:tr>
      <w:tr w:rsidR="0026213B" w:rsidRPr="003954B3" w:rsidTr="0064203F">
        <w:trPr>
          <w:trHeight w:val="1077"/>
        </w:trPr>
        <w:tc>
          <w:tcPr>
            <w:tcW w:w="66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今後の見通し、</w:t>
            </w:r>
          </w:p>
          <w:p w:rsidR="0026213B" w:rsidRDefault="0026213B">
            <w:pPr>
              <w:rPr>
                <w:rFonts w:asciiTheme="majorEastAsia" w:eastAsiaTheme="majorEastAsia" w:hAnsiTheme="majorEastAsia"/>
                <w:szCs w:val="21"/>
              </w:rPr>
            </w:pPr>
            <w:r>
              <w:rPr>
                <w:rFonts w:asciiTheme="majorEastAsia" w:eastAsiaTheme="majorEastAsia" w:hAnsiTheme="majorEastAsia" w:hint="eastAsia"/>
                <w:szCs w:val="21"/>
              </w:rPr>
              <w:t>その他</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541B09" w:rsidP="00541B09">
            <w:pPr>
              <w:snapToGrid w:val="0"/>
              <w:rPr>
                <w:rFonts w:asciiTheme="minorEastAsia" w:hAnsiTheme="minorEastAsia"/>
                <w:color w:val="FF0000"/>
                <w:sz w:val="20"/>
                <w:szCs w:val="20"/>
              </w:rPr>
            </w:pPr>
            <w:r w:rsidRPr="003E3EE1">
              <w:rPr>
                <w:rFonts w:asciiTheme="minorEastAsia" w:hAnsiTheme="minorEastAsia" w:hint="eastAsia"/>
                <w:sz w:val="20"/>
                <w:szCs w:val="20"/>
              </w:rPr>
              <w:t>26年の消費増税後、需要回復の動きが見えない中で、新商品開発や新たな取引先の開拓、web通販の取組を推進する動きがみられる。</w:t>
            </w:r>
          </w:p>
        </w:tc>
        <w:tc>
          <w:tcPr>
            <w:tcW w:w="1085" w:type="pct"/>
            <w:tcBorders>
              <w:top w:val="single" w:sz="4" w:space="0" w:color="auto"/>
              <w:left w:val="single" w:sz="4" w:space="0" w:color="auto"/>
              <w:bottom w:val="single" w:sz="4" w:space="0" w:color="auto"/>
              <w:right w:val="single" w:sz="4" w:space="0" w:color="auto"/>
            </w:tcBorders>
          </w:tcPr>
          <w:p w:rsidR="0026213B" w:rsidRPr="003E3EE1" w:rsidRDefault="00290257" w:rsidP="003E3EE1">
            <w:pPr>
              <w:snapToGrid w:val="0"/>
              <w:rPr>
                <w:rFonts w:asciiTheme="minorEastAsia" w:hAnsiTheme="minorEastAsia"/>
                <w:color w:val="FF0000"/>
                <w:sz w:val="20"/>
                <w:szCs w:val="20"/>
              </w:rPr>
            </w:pPr>
            <w:r w:rsidRPr="003E3EE1">
              <w:rPr>
                <w:rFonts w:asciiTheme="minorEastAsia" w:hAnsiTheme="minorEastAsia" w:hint="eastAsia"/>
                <w:sz w:val="20"/>
                <w:szCs w:val="20"/>
              </w:rPr>
              <w:t>海外の現地生産化の進展や国内受注量の伸びが見込みにくい状況の中で、ロボットメーカーからの受注</w:t>
            </w:r>
            <w:r w:rsidR="003E3EE1">
              <w:rPr>
                <w:rFonts w:asciiTheme="minorEastAsia" w:hAnsiTheme="minorEastAsia" w:hint="eastAsia"/>
                <w:sz w:val="20"/>
                <w:szCs w:val="20"/>
              </w:rPr>
              <w:t>に</w:t>
            </w:r>
            <w:r w:rsidRPr="003E3EE1">
              <w:rPr>
                <w:rFonts w:asciiTheme="minorEastAsia" w:hAnsiTheme="minorEastAsia" w:hint="eastAsia"/>
                <w:sz w:val="20"/>
                <w:szCs w:val="20"/>
              </w:rPr>
              <w:t>期待</w:t>
            </w:r>
            <w:r w:rsidR="003E3EE1">
              <w:rPr>
                <w:rFonts w:asciiTheme="minorEastAsia" w:hAnsiTheme="minorEastAsia" w:hint="eastAsia"/>
                <w:sz w:val="20"/>
                <w:szCs w:val="20"/>
              </w:rPr>
              <w:t>を</w:t>
            </w:r>
            <w:r w:rsidRPr="003E3EE1">
              <w:rPr>
                <w:rFonts w:asciiTheme="minorEastAsia" w:hAnsiTheme="minorEastAsia" w:hint="eastAsia"/>
                <w:sz w:val="20"/>
                <w:szCs w:val="20"/>
              </w:rPr>
              <w:t>する企業がみられ</w:t>
            </w:r>
            <w:r w:rsidR="003E3EE1">
              <w:rPr>
                <w:rFonts w:asciiTheme="minorEastAsia" w:hAnsiTheme="minorEastAsia" w:hint="eastAsia"/>
                <w:sz w:val="20"/>
                <w:szCs w:val="20"/>
              </w:rPr>
              <w:t>た</w:t>
            </w:r>
            <w:r w:rsidRPr="003E3EE1">
              <w:rPr>
                <w:rFonts w:asciiTheme="minorEastAsia" w:hAnsiTheme="minorEastAsia" w:hint="eastAsia"/>
                <w:sz w:val="20"/>
                <w:szCs w:val="20"/>
              </w:rPr>
              <w:t>。</w:t>
            </w:r>
          </w:p>
        </w:tc>
        <w:tc>
          <w:tcPr>
            <w:tcW w:w="1086" w:type="pct"/>
            <w:tcBorders>
              <w:top w:val="single" w:sz="4" w:space="0" w:color="auto"/>
              <w:left w:val="single" w:sz="4" w:space="0" w:color="auto"/>
              <w:bottom w:val="single" w:sz="4" w:space="0" w:color="auto"/>
              <w:right w:val="single" w:sz="4" w:space="0" w:color="auto"/>
            </w:tcBorders>
          </w:tcPr>
          <w:p w:rsidR="0026213B" w:rsidRPr="000A31C0" w:rsidRDefault="000A31C0" w:rsidP="000A31C0">
            <w:pPr>
              <w:snapToGrid w:val="0"/>
              <w:rPr>
                <w:rFonts w:asciiTheme="minorEastAsia" w:hAnsiTheme="minorEastAsia"/>
                <w:sz w:val="20"/>
                <w:szCs w:val="20"/>
              </w:rPr>
            </w:pPr>
            <w:r w:rsidRPr="000A31C0">
              <w:rPr>
                <w:rFonts w:asciiTheme="minorEastAsia" w:hAnsiTheme="minorEastAsia" w:hint="eastAsia"/>
                <w:sz w:val="20"/>
                <w:szCs w:val="20"/>
              </w:rPr>
              <w:t>経営環境が厳しく、経営者の代替わりを機に、他の業態への転換・廃業がみられる。設備投資や人件費等の負担が大きくなっている。</w:t>
            </w:r>
          </w:p>
        </w:tc>
        <w:tc>
          <w:tcPr>
            <w:tcW w:w="1084" w:type="pct"/>
            <w:tcBorders>
              <w:top w:val="single" w:sz="4" w:space="0" w:color="auto"/>
              <w:left w:val="single" w:sz="4" w:space="0" w:color="auto"/>
              <w:bottom w:val="single" w:sz="4" w:space="0" w:color="auto"/>
              <w:right w:val="single" w:sz="4" w:space="0" w:color="auto"/>
            </w:tcBorders>
          </w:tcPr>
          <w:p w:rsidR="0026213B" w:rsidRPr="003E3EE1" w:rsidRDefault="00B81D7F" w:rsidP="00B81D7F">
            <w:pPr>
              <w:snapToGrid w:val="0"/>
              <w:rPr>
                <w:rFonts w:asciiTheme="minorEastAsia" w:hAnsiTheme="minorEastAsia"/>
                <w:color w:val="FF0000"/>
                <w:sz w:val="20"/>
                <w:szCs w:val="20"/>
              </w:rPr>
            </w:pPr>
            <w:r w:rsidRPr="00330F43">
              <w:rPr>
                <w:rFonts w:asciiTheme="minorEastAsia" w:hAnsiTheme="minorEastAsia" w:hint="eastAsia"/>
                <w:sz w:val="20"/>
                <w:szCs w:val="20"/>
              </w:rPr>
              <w:t>インターネット広告などのデジタル分野で企業間の競争が激化し、広告の対象のローカル化や個人化への対応が課題になっている。</w:t>
            </w:r>
          </w:p>
        </w:tc>
      </w:tr>
    </w:tbl>
    <w:p w:rsidR="0026213B" w:rsidRPr="00B81D7F" w:rsidRDefault="003C059A" w:rsidP="003C059A">
      <w:pPr>
        <w:jc w:val="left"/>
        <w:rPr>
          <w:rFonts w:asciiTheme="majorEastAsia" w:eastAsiaTheme="majorEastAsia" w:hAnsiTheme="maj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0B3B5162" wp14:editId="7DADDB50">
                <wp:simplePos x="0" y="0"/>
                <wp:positionH relativeFrom="column">
                  <wp:posOffset>6063615</wp:posOffset>
                </wp:positionH>
                <wp:positionV relativeFrom="paragraph">
                  <wp:posOffset>141605</wp:posOffset>
                </wp:positionV>
                <wp:extent cx="2524125" cy="2952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524125" cy="295275"/>
                        </a:xfrm>
                        <a:prstGeom prst="rect">
                          <a:avLst/>
                        </a:prstGeom>
                        <a:solidFill>
                          <a:sysClr val="window" lastClr="FFFFFF"/>
                        </a:solidFill>
                        <a:ln w="25400" cap="flat" cmpd="sng" algn="ctr">
                          <a:noFill/>
                          <a:prstDash val="solid"/>
                        </a:ln>
                        <a:effectLst/>
                      </wps:spPr>
                      <wps:txbx>
                        <w:txbxContent>
                          <w:p w:rsidR="003C059A" w:rsidRPr="00693B8F" w:rsidRDefault="003C059A"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平成29年（2017）年１～３月期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margin-left:477.45pt;margin-top:11.15pt;width:198.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" fillcolor="window" stroked="f" strokeweight="2pt">
                <v:textbox>
                  <w:txbxContent>
                    <w:p w:rsidR="003C059A" w:rsidRPr="00693B8F" w:rsidRDefault="003C059A" w:rsidP="00FC6EC8">
                      <w:pPr>
                        <w:jc w:val="right"/>
                        <w:rPr>
                          <w:rFonts w:asciiTheme="majorEastAsia" w:eastAsiaTheme="majorEastAsia" w:hAnsiTheme="majorEastAsia"/>
                          <w:sz w:val="16"/>
                          <w:szCs w:val="16"/>
                        </w:rPr>
                      </w:pPr>
                      <w:r w:rsidRPr="00693B8F">
                        <w:rPr>
                          <w:rFonts w:asciiTheme="majorEastAsia" w:eastAsiaTheme="majorEastAsia" w:hAnsiTheme="majorEastAsia" w:hint="eastAsia"/>
                          <w:sz w:val="16"/>
                          <w:szCs w:val="16"/>
                        </w:rPr>
                        <w:t>業種別景気動向調査　平成29年（2017）年１～３月期</w:t>
                      </w:r>
                    </w:p>
                  </w:txbxContent>
                </v:textbox>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0A6A252B" wp14:editId="25209067">
                <wp:simplePos x="0" y="0"/>
                <wp:positionH relativeFrom="column">
                  <wp:posOffset>148590</wp:posOffset>
                </wp:positionH>
                <wp:positionV relativeFrom="paragraph">
                  <wp:posOffset>3189605</wp:posOffset>
                </wp:positionV>
                <wp:extent cx="1819275" cy="29527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1819275" cy="295275"/>
                        </a:xfrm>
                        <a:prstGeom prst="rect">
                          <a:avLst/>
                        </a:prstGeom>
                        <a:solidFill>
                          <a:sysClr val="window" lastClr="FFFFFF"/>
                        </a:solidFill>
                        <a:ln w="25400" cap="flat" cmpd="sng" algn="ctr">
                          <a:noFill/>
                          <a:prstDash val="solid"/>
                        </a:ln>
                        <a:effectLst/>
                      </wps:spPr>
                      <wps:txbx>
                        <w:txbxContent>
                          <w:p w:rsidR="003C059A" w:rsidRPr="003C059A" w:rsidRDefault="003C059A"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margin-left:11.7pt;margin-top:251.15pt;width:143.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" fillcolor="window" stroked="f" strokeweight="2pt">
                <v:textbox>
                  <w:txbxContent>
                    <w:p w:rsidR="003C059A" w:rsidRPr="003C059A" w:rsidRDefault="003C059A" w:rsidP="003C059A">
                      <w:pPr>
                        <w:jc w:val="left"/>
                        <w:rPr>
                          <w:rFonts w:asciiTheme="majorEastAsia" w:eastAsiaTheme="majorEastAsia" w:hAnsiTheme="majorEastAsia"/>
                          <w:sz w:val="16"/>
                          <w:szCs w:val="16"/>
                          <w:shd w:val="clear" w:color="auto" w:fill="000000"/>
                        </w:rPr>
                      </w:pPr>
                      <w:r w:rsidRPr="003C059A">
                        <w:rPr>
                          <w:rFonts w:asciiTheme="majorEastAsia" w:eastAsiaTheme="majorEastAsia" w:hAnsiTheme="majorEastAsia" w:hint="eastAsia"/>
                          <w:sz w:val="16"/>
                          <w:szCs w:val="16"/>
                          <w:shd w:val="clear" w:color="auto" w:fill="000000"/>
                        </w:rPr>
                        <w:t>大阪産業経済リサーチセンター</w:t>
                      </w:r>
                    </w:p>
                  </w:txbxContent>
                </v:textbox>
              </v:rect>
            </w:pict>
          </mc:Fallback>
        </mc:AlternateContent>
      </w:r>
      <w:r w:rsidR="0064203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2DCEA03C" wp14:editId="6AE5F71C">
                <wp:simplePos x="0" y="0"/>
                <wp:positionH relativeFrom="column">
                  <wp:posOffset>-313055</wp:posOffset>
                </wp:positionH>
                <wp:positionV relativeFrom="paragraph">
                  <wp:posOffset>3275330</wp:posOffset>
                </wp:positionV>
                <wp:extent cx="2695575"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695575" cy="295275"/>
                        </a:xfrm>
                        <a:prstGeom prst="rect">
                          <a:avLst/>
                        </a:prstGeom>
                        <a:noFill/>
                        <a:ln w="25400" cap="flat" cmpd="sng" algn="ctr">
                          <a:noFill/>
                          <a:prstDash val="solid"/>
                        </a:ln>
                        <a:effectLst/>
                      </wps:spPr>
                      <wps:txbx>
                        <w:txbxContent>
                          <w:p w:rsidR="0064203F" w:rsidRDefault="0064203F"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margin-left:-24.65pt;margin-top:257.9pt;width:212.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" filled="f" stroked="f" strokeweight="2pt">
                <v:textbox>
                  <w:txbxContent>
                    <w:p w:rsidR="0064203F" w:rsidRDefault="0064203F" w:rsidP="0064203F">
                      <w:pPr>
                        <w:jc w:val="center"/>
                        <w:rPr>
                          <w:sz w:val="16"/>
                          <w:szCs w:val="16"/>
                          <w:shd w:val="clear" w:color="auto" w:fill="000000"/>
                        </w:rPr>
                      </w:pPr>
                      <w:r>
                        <w:rPr>
                          <w:rFonts w:ascii="ＭＳ 明朝" w:hAnsi="ＭＳ 明朝" w:hint="eastAsia"/>
                          <w:sz w:val="16"/>
                          <w:szCs w:val="16"/>
                          <w:shd w:val="clear" w:color="auto" w:fill="000000"/>
                        </w:rPr>
                        <w:t>業種別景気動向調査　平成29年（2017）年１</w:t>
                      </w:r>
                      <w:r>
                        <w:rPr>
                          <w:rFonts w:hint="eastAsia"/>
                          <w:sz w:val="16"/>
                          <w:szCs w:val="16"/>
                          <w:shd w:val="clear" w:color="auto" w:fill="000000"/>
                        </w:rPr>
                        <w:t>～３月期</w:t>
                      </w:r>
                    </w:p>
                  </w:txbxContent>
                </v:textbox>
              </v:rect>
            </w:pict>
          </mc:Fallback>
        </mc:AlternateContent>
      </w:r>
    </w:p>
    <w:sectPr w:rsidR="0026213B" w:rsidRPr="00B81D7F"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08" w:rsidRDefault="004C1E08" w:rsidP="002B15B0">
      <w:r>
        <w:separator/>
      </w:r>
    </w:p>
  </w:endnote>
  <w:endnote w:type="continuationSeparator" w:id="0">
    <w:p w:rsidR="004C1E08" w:rsidRDefault="004C1E08"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08" w:rsidRDefault="004C1E08" w:rsidP="002B15B0">
      <w:r>
        <w:separator/>
      </w:r>
    </w:p>
  </w:footnote>
  <w:footnote w:type="continuationSeparator" w:id="0">
    <w:p w:rsidR="004C1E08" w:rsidRDefault="004C1E08"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15E22"/>
    <w:rsid w:val="000254F9"/>
    <w:rsid w:val="00025F0C"/>
    <w:rsid w:val="000272F6"/>
    <w:rsid w:val="0002793C"/>
    <w:rsid w:val="000315DF"/>
    <w:rsid w:val="0003423F"/>
    <w:rsid w:val="00035198"/>
    <w:rsid w:val="00041BB9"/>
    <w:rsid w:val="0004408A"/>
    <w:rsid w:val="000521EC"/>
    <w:rsid w:val="000547F5"/>
    <w:rsid w:val="00056F27"/>
    <w:rsid w:val="000577E3"/>
    <w:rsid w:val="00070044"/>
    <w:rsid w:val="00075D4C"/>
    <w:rsid w:val="000767D3"/>
    <w:rsid w:val="000854B4"/>
    <w:rsid w:val="00092A32"/>
    <w:rsid w:val="0009578E"/>
    <w:rsid w:val="000A245B"/>
    <w:rsid w:val="000A31C0"/>
    <w:rsid w:val="000A7073"/>
    <w:rsid w:val="000B3BB8"/>
    <w:rsid w:val="000C7FB0"/>
    <w:rsid w:val="000D243E"/>
    <w:rsid w:val="000D2956"/>
    <w:rsid w:val="000D38D3"/>
    <w:rsid w:val="000D6315"/>
    <w:rsid w:val="000E310E"/>
    <w:rsid w:val="000E324A"/>
    <w:rsid w:val="000F659A"/>
    <w:rsid w:val="00100896"/>
    <w:rsid w:val="001023F6"/>
    <w:rsid w:val="00103140"/>
    <w:rsid w:val="00110FFF"/>
    <w:rsid w:val="001137F4"/>
    <w:rsid w:val="0011640C"/>
    <w:rsid w:val="00117E33"/>
    <w:rsid w:val="00121998"/>
    <w:rsid w:val="00124242"/>
    <w:rsid w:val="00125F6A"/>
    <w:rsid w:val="001304A7"/>
    <w:rsid w:val="00133527"/>
    <w:rsid w:val="001366DF"/>
    <w:rsid w:val="001378B1"/>
    <w:rsid w:val="00142BEE"/>
    <w:rsid w:val="001512FD"/>
    <w:rsid w:val="00151AE0"/>
    <w:rsid w:val="00156D5E"/>
    <w:rsid w:val="00162152"/>
    <w:rsid w:val="0016371F"/>
    <w:rsid w:val="00164204"/>
    <w:rsid w:val="00165A70"/>
    <w:rsid w:val="00166B08"/>
    <w:rsid w:val="001705A2"/>
    <w:rsid w:val="00174670"/>
    <w:rsid w:val="00175D3D"/>
    <w:rsid w:val="0017622B"/>
    <w:rsid w:val="00177A1B"/>
    <w:rsid w:val="00177B13"/>
    <w:rsid w:val="00177D9E"/>
    <w:rsid w:val="001808CB"/>
    <w:rsid w:val="00180BAB"/>
    <w:rsid w:val="00181AED"/>
    <w:rsid w:val="00181EE2"/>
    <w:rsid w:val="00184D32"/>
    <w:rsid w:val="00186DE4"/>
    <w:rsid w:val="00190447"/>
    <w:rsid w:val="001931CB"/>
    <w:rsid w:val="00193251"/>
    <w:rsid w:val="00196D22"/>
    <w:rsid w:val="001A246E"/>
    <w:rsid w:val="001A34E0"/>
    <w:rsid w:val="001A53F0"/>
    <w:rsid w:val="001A6386"/>
    <w:rsid w:val="001B0488"/>
    <w:rsid w:val="001B1D2E"/>
    <w:rsid w:val="001B402F"/>
    <w:rsid w:val="001B6025"/>
    <w:rsid w:val="001B644B"/>
    <w:rsid w:val="001B6A98"/>
    <w:rsid w:val="001C0083"/>
    <w:rsid w:val="001C127F"/>
    <w:rsid w:val="001C5BB0"/>
    <w:rsid w:val="001D1FFB"/>
    <w:rsid w:val="001D62C1"/>
    <w:rsid w:val="001E2D02"/>
    <w:rsid w:val="001E5C7A"/>
    <w:rsid w:val="001E5FAC"/>
    <w:rsid w:val="001F39B2"/>
    <w:rsid w:val="001F5929"/>
    <w:rsid w:val="00203997"/>
    <w:rsid w:val="00205AE7"/>
    <w:rsid w:val="0021082A"/>
    <w:rsid w:val="00212D96"/>
    <w:rsid w:val="00223D14"/>
    <w:rsid w:val="00232C60"/>
    <w:rsid w:val="0023618D"/>
    <w:rsid w:val="00236E6C"/>
    <w:rsid w:val="00241AD8"/>
    <w:rsid w:val="00244F75"/>
    <w:rsid w:val="00252D44"/>
    <w:rsid w:val="002569D2"/>
    <w:rsid w:val="002572AA"/>
    <w:rsid w:val="00257CE4"/>
    <w:rsid w:val="002609B1"/>
    <w:rsid w:val="00260B89"/>
    <w:rsid w:val="00260FE1"/>
    <w:rsid w:val="0026213B"/>
    <w:rsid w:val="0026471A"/>
    <w:rsid w:val="0026503B"/>
    <w:rsid w:val="00266174"/>
    <w:rsid w:val="0027077E"/>
    <w:rsid w:val="00271EE3"/>
    <w:rsid w:val="002743AA"/>
    <w:rsid w:val="00280475"/>
    <w:rsid w:val="002806C5"/>
    <w:rsid w:val="00280BFF"/>
    <w:rsid w:val="00283B37"/>
    <w:rsid w:val="002846B7"/>
    <w:rsid w:val="00290257"/>
    <w:rsid w:val="00290445"/>
    <w:rsid w:val="002916F7"/>
    <w:rsid w:val="00295D3E"/>
    <w:rsid w:val="002A191F"/>
    <w:rsid w:val="002A3344"/>
    <w:rsid w:val="002A40DF"/>
    <w:rsid w:val="002B15B0"/>
    <w:rsid w:val="002B2C44"/>
    <w:rsid w:val="002B3AC4"/>
    <w:rsid w:val="002B7DBD"/>
    <w:rsid w:val="002C5ACE"/>
    <w:rsid w:val="002D6ABD"/>
    <w:rsid w:val="002D6C7A"/>
    <w:rsid w:val="002D71B8"/>
    <w:rsid w:val="002E0200"/>
    <w:rsid w:val="002E075C"/>
    <w:rsid w:val="002E1AD3"/>
    <w:rsid w:val="002E3677"/>
    <w:rsid w:val="002E545F"/>
    <w:rsid w:val="002F672F"/>
    <w:rsid w:val="002F7204"/>
    <w:rsid w:val="003030C5"/>
    <w:rsid w:val="00305009"/>
    <w:rsid w:val="003069F0"/>
    <w:rsid w:val="003073D6"/>
    <w:rsid w:val="00311E4E"/>
    <w:rsid w:val="0031479A"/>
    <w:rsid w:val="00322487"/>
    <w:rsid w:val="00323964"/>
    <w:rsid w:val="00323BB1"/>
    <w:rsid w:val="00326123"/>
    <w:rsid w:val="0032701A"/>
    <w:rsid w:val="0033028F"/>
    <w:rsid w:val="00330F43"/>
    <w:rsid w:val="00332EDE"/>
    <w:rsid w:val="003347A5"/>
    <w:rsid w:val="00340E68"/>
    <w:rsid w:val="00344E14"/>
    <w:rsid w:val="0034700A"/>
    <w:rsid w:val="00352265"/>
    <w:rsid w:val="00352610"/>
    <w:rsid w:val="003639C9"/>
    <w:rsid w:val="00363BAC"/>
    <w:rsid w:val="0036544E"/>
    <w:rsid w:val="00366627"/>
    <w:rsid w:val="00370F43"/>
    <w:rsid w:val="003740D6"/>
    <w:rsid w:val="00376D2E"/>
    <w:rsid w:val="003853C5"/>
    <w:rsid w:val="003930B2"/>
    <w:rsid w:val="003954B3"/>
    <w:rsid w:val="003977BC"/>
    <w:rsid w:val="003A2537"/>
    <w:rsid w:val="003A38B7"/>
    <w:rsid w:val="003A59FF"/>
    <w:rsid w:val="003B0CE9"/>
    <w:rsid w:val="003B31A3"/>
    <w:rsid w:val="003B3370"/>
    <w:rsid w:val="003B6324"/>
    <w:rsid w:val="003C059A"/>
    <w:rsid w:val="003C0E90"/>
    <w:rsid w:val="003C357C"/>
    <w:rsid w:val="003C52E1"/>
    <w:rsid w:val="003C74AF"/>
    <w:rsid w:val="003D29BD"/>
    <w:rsid w:val="003E0E0F"/>
    <w:rsid w:val="003E0E6B"/>
    <w:rsid w:val="003E3EE1"/>
    <w:rsid w:val="003E3EEA"/>
    <w:rsid w:val="003F397D"/>
    <w:rsid w:val="003F3BC2"/>
    <w:rsid w:val="003F6960"/>
    <w:rsid w:val="0040022D"/>
    <w:rsid w:val="00400AED"/>
    <w:rsid w:val="00404E14"/>
    <w:rsid w:val="004153C8"/>
    <w:rsid w:val="004154C9"/>
    <w:rsid w:val="00425764"/>
    <w:rsid w:val="004302F9"/>
    <w:rsid w:val="00435075"/>
    <w:rsid w:val="004363A7"/>
    <w:rsid w:val="00436637"/>
    <w:rsid w:val="00442F56"/>
    <w:rsid w:val="0044376C"/>
    <w:rsid w:val="00447D7D"/>
    <w:rsid w:val="00450D1B"/>
    <w:rsid w:val="00450F7E"/>
    <w:rsid w:val="004514A5"/>
    <w:rsid w:val="00453155"/>
    <w:rsid w:val="004545C6"/>
    <w:rsid w:val="00465B0D"/>
    <w:rsid w:val="00465F11"/>
    <w:rsid w:val="00465FD1"/>
    <w:rsid w:val="00467368"/>
    <w:rsid w:val="00472698"/>
    <w:rsid w:val="0047302E"/>
    <w:rsid w:val="00473D4B"/>
    <w:rsid w:val="004750E2"/>
    <w:rsid w:val="00477B8E"/>
    <w:rsid w:val="00480472"/>
    <w:rsid w:val="00480740"/>
    <w:rsid w:val="00482803"/>
    <w:rsid w:val="0048431E"/>
    <w:rsid w:val="0048460E"/>
    <w:rsid w:val="00493998"/>
    <w:rsid w:val="00496170"/>
    <w:rsid w:val="00496630"/>
    <w:rsid w:val="00496EBE"/>
    <w:rsid w:val="004A0902"/>
    <w:rsid w:val="004A4E51"/>
    <w:rsid w:val="004A65AD"/>
    <w:rsid w:val="004B5BB4"/>
    <w:rsid w:val="004C1E08"/>
    <w:rsid w:val="004C5B98"/>
    <w:rsid w:val="004D1D75"/>
    <w:rsid w:val="004D3A34"/>
    <w:rsid w:val="004D4A6C"/>
    <w:rsid w:val="004D53AF"/>
    <w:rsid w:val="004E077B"/>
    <w:rsid w:val="004F0FD8"/>
    <w:rsid w:val="004F4A67"/>
    <w:rsid w:val="004F7F3F"/>
    <w:rsid w:val="005023F0"/>
    <w:rsid w:val="00504106"/>
    <w:rsid w:val="00505AEF"/>
    <w:rsid w:val="00510D89"/>
    <w:rsid w:val="00516F6E"/>
    <w:rsid w:val="00522D59"/>
    <w:rsid w:val="00526EEB"/>
    <w:rsid w:val="00535A35"/>
    <w:rsid w:val="00535E32"/>
    <w:rsid w:val="00541B09"/>
    <w:rsid w:val="00543226"/>
    <w:rsid w:val="00543F66"/>
    <w:rsid w:val="0054739E"/>
    <w:rsid w:val="00547437"/>
    <w:rsid w:val="00554C2D"/>
    <w:rsid w:val="00565125"/>
    <w:rsid w:val="00566418"/>
    <w:rsid w:val="005664EA"/>
    <w:rsid w:val="005668D8"/>
    <w:rsid w:val="00571847"/>
    <w:rsid w:val="00581634"/>
    <w:rsid w:val="005829CB"/>
    <w:rsid w:val="00583C0B"/>
    <w:rsid w:val="005841BF"/>
    <w:rsid w:val="00586351"/>
    <w:rsid w:val="005916A2"/>
    <w:rsid w:val="00591E57"/>
    <w:rsid w:val="0059339A"/>
    <w:rsid w:val="00597AEB"/>
    <w:rsid w:val="005A0E09"/>
    <w:rsid w:val="005A2C58"/>
    <w:rsid w:val="005B16EE"/>
    <w:rsid w:val="005B31CC"/>
    <w:rsid w:val="005C1B2A"/>
    <w:rsid w:val="005C2115"/>
    <w:rsid w:val="005C6311"/>
    <w:rsid w:val="005D22E8"/>
    <w:rsid w:val="005D6F14"/>
    <w:rsid w:val="005F0A5F"/>
    <w:rsid w:val="005F16CA"/>
    <w:rsid w:val="005F2BEA"/>
    <w:rsid w:val="00603492"/>
    <w:rsid w:val="00604397"/>
    <w:rsid w:val="006043FE"/>
    <w:rsid w:val="00604EA5"/>
    <w:rsid w:val="00605B4A"/>
    <w:rsid w:val="00614824"/>
    <w:rsid w:val="006153E3"/>
    <w:rsid w:val="0061557A"/>
    <w:rsid w:val="006157CC"/>
    <w:rsid w:val="00615831"/>
    <w:rsid w:val="006166D9"/>
    <w:rsid w:val="00617F51"/>
    <w:rsid w:val="00620CF9"/>
    <w:rsid w:val="00624D1A"/>
    <w:rsid w:val="00625C6F"/>
    <w:rsid w:val="00630A6B"/>
    <w:rsid w:val="0063170C"/>
    <w:rsid w:val="006349C8"/>
    <w:rsid w:val="0064203F"/>
    <w:rsid w:val="00645E29"/>
    <w:rsid w:val="0064706F"/>
    <w:rsid w:val="00647ABE"/>
    <w:rsid w:val="00661442"/>
    <w:rsid w:val="00664B91"/>
    <w:rsid w:val="00670B8C"/>
    <w:rsid w:val="00671B9C"/>
    <w:rsid w:val="006727CC"/>
    <w:rsid w:val="00676783"/>
    <w:rsid w:val="00681CA8"/>
    <w:rsid w:val="006922DC"/>
    <w:rsid w:val="00693B8F"/>
    <w:rsid w:val="006951D9"/>
    <w:rsid w:val="00695769"/>
    <w:rsid w:val="00697371"/>
    <w:rsid w:val="006A2024"/>
    <w:rsid w:val="006A23D0"/>
    <w:rsid w:val="006B4265"/>
    <w:rsid w:val="006C11B5"/>
    <w:rsid w:val="006C7AFD"/>
    <w:rsid w:val="006D2FAF"/>
    <w:rsid w:val="006D3D49"/>
    <w:rsid w:val="006D60CB"/>
    <w:rsid w:val="006D6FB3"/>
    <w:rsid w:val="006E6491"/>
    <w:rsid w:val="006F29B6"/>
    <w:rsid w:val="006F6E8B"/>
    <w:rsid w:val="006F706B"/>
    <w:rsid w:val="00717D85"/>
    <w:rsid w:val="007202E3"/>
    <w:rsid w:val="00721687"/>
    <w:rsid w:val="00722734"/>
    <w:rsid w:val="00722D2B"/>
    <w:rsid w:val="00723E11"/>
    <w:rsid w:val="00726983"/>
    <w:rsid w:val="00732C07"/>
    <w:rsid w:val="007331FB"/>
    <w:rsid w:val="00740315"/>
    <w:rsid w:val="00741235"/>
    <w:rsid w:val="00742594"/>
    <w:rsid w:val="00742AD6"/>
    <w:rsid w:val="0075106D"/>
    <w:rsid w:val="007575B7"/>
    <w:rsid w:val="00770283"/>
    <w:rsid w:val="007738FA"/>
    <w:rsid w:val="007765E1"/>
    <w:rsid w:val="00780E26"/>
    <w:rsid w:val="00783D37"/>
    <w:rsid w:val="00791F61"/>
    <w:rsid w:val="00792675"/>
    <w:rsid w:val="007978FB"/>
    <w:rsid w:val="00797930"/>
    <w:rsid w:val="007A01CE"/>
    <w:rsid w:val="007B7692"/>
    <w:rsid w:val="007D08CB"/>
    <w:rsid w:val="007D640E"/>
    <w:rsid w:val="007D6CFA"/>
    <w:rsid w:val="007E522E"/>
    <w:rsid w:val="007F0FB0"/>
    <w:rsid w:val="007F3BA2"/>
    <w:rsid w:val="007F5364"/>
    <w:rsid w:val="007F7899"/>
    <w:rsid w:val="00800000"/>
    <w:rsid w:val="0080464F"/>
    <w:rsid w:val="008058DF"/>
    <w:rsid w:val="008100E0"/>
    <w:rsid w:val="0082532E"/>
    <w:rsid w:val="0082703B"/>
    <w:rsid w:val="00827C22"/>
    <w:rsid w:val="00830069"/>
    <w:rsid w:val="00833335"/>
    <w:rsid w:val="00837CA9"/>
    <w:rsid w:val="00844D50"/>
    <w:rsid w:val="00845CB0"/>
    <w:rsid w:val="008628FB"/>
    <w:rsid w:val="00862CCB"/>
    <w:rsid w:val="00863EE1"/>
    <w:rsid w:val="00866730"/>
    <w:rsid w:val="00867A61"/>
    <w:rsid w:val="008713D0"/>
    <w:rsid w:val="00875E73"/>
    <w:rsid w:val="0087683B"/>
    <w:rsid w:val="00877605"/>
    <w:rsid w:val="0088089D"/>
    <w:rsid w:val="00882321"/>
    <w:rsid w:val="00885629"/>
    <w:rsid w:val="00885DF0"/>
    <w:rsid w:val="00892FF2"/>
    <w:rsid w:val="008950EE"/>
    <w:rsid w:val="0089543C"/>
    <w:rsid w:val="008A4752"/>
    <w:rsid w:val="008A639D"/>
    <w:rsid w:val="008A6DCD"/>
    <w:rsid w:val="008A7915"/>
    <w:rsid w:val="008A7A5D"/>
    <w:rsid w:val="008B25B6"/>
    <w:rsid w:val="008B6B92"/>
    <w:rsid w:val="008C05EC"/>
    <w:rsid w:val="008C05FC"/>
    <w:rsid w:val="008C2933"/>
    <w:rsid w:val="008C2D13"/>
    <w:rsid w:val="008C465A"/>
    <w:rsid w:val="008D418B"/>
    <w:rsid w:val="008D539F"/>
    <w:rsid w:val="008E0309"/>
    <w:rsid w:val="008E0B58"/>
    <w:rsid w:val="008E483F"/>
    <w:rsid w:val="008E70CB"/>
    <w:rsid w:val="008E7E9E"/>
    <w:rsid w:val="008F17A2"/>
    <w:rsid w:val="008F1BBB"/>
    <w:rsid w:val="008F7EB0"/>
    <w:rsid w:val="00903AAE"/>
    <w:rsid w:val="00906799"/>
    <w:rsid w:val="009149F1"/>
    <w:rsid w:val="0092287C"/>
    <w:rsid w:val="00924631"/>
    <w:rsid w:val="00935951"/>
    <w:rsid w:val="009409C2"/>
    <w:rsid w:val="00940E9A"/>
    <w:rsid w:val="00941B96"/>
    <w:rsid w:val="00941D1D"/>
    <w:rsid w:val="00941D61"/>
    <w:rsid w:val="00942814"/>
    <w:rsid w:val="0094445C"/>
    <w:rsid w:val="00950DC7"/>
    <w:rsid w:val="009511B2"/>
    <w:rsid w:val="00953F6C"/>
    <w:rsid w:val="009552D6"/>
    <w:rsid w:val="00973B10"/>
    <w:rsid w:val="009749D2"/>
    <w:rsid w:val="00986F67"/>
    <w:rsid w:val="00992785"/>
    <w:rsid w:val="009958C3"/>
    <w:rsid w:val="009A4020"/>
    <w:rsid w:val="009A5859"/>
    <w:rsid w:val="009B1227"/>
    <w:rsid w:val="009B2311"/>
    <w:rsid w:val="009B389F"/>
    <w:rsid w:val="009B4790"/>
    <w:rsid w:val="009B578C"/>
    <w:rsid w:val="009B6C24"/>
    <w:rsid w:val="009C2853"/>
    <w:rsid w:val="009C64AA"/>
    <w:rsid w:val="009C67AC"/>
    <w:rsid w:val="009D1A8D"/>
    <w:rsid w:val="009D3E3F"/>
    <w:rsid w:val="009D420E"/>
    <w:rsid w:val="009D4469"/>
    <w:rsid w:val="009D51CE"/>
    <w:rsid w:val="009E0451"/>
    <w:rsid w:val="009F0273"/>
    <w:rsid w:val="009F052C"/>
    <w:rsid w:val="009F4D2F"/>
    <w:rsid w:val="00A069FC"/>
    <w:rsid w:val="00A071CC"/>
    <w:rsid w:val="00A2111E"/>
    <w:rsid w:val="00A276ED"/>
    <w:rsid w:val="00A30550"/>
    <w:rsid w:val="00A306DD"/>
    <w:rsid w:val="00A3111C"/>
    <w:rsid w:val="00A40F7F"/>
    <w:rsid w:val="00A411CC"/>
    <w:rsid w:val="00A43D85"/>
    <w:rsid w:val="00A47FCC"/>
    <w:rsid w:val="00A520F7"/>
    <w:rsid w:val="00A53D4C"/>
    <w:rsid w:val="00A5610D"/>
    <w:rsid w:val="00A579C1"/>
    <w:rsid w:val="00A57A25"/>
    <w:rsid w:val="00A60053"/>
    <w:rsid w:val="00A6350E"/>
    <w:rsid w:val="00A80A05"/>
    <w:rsid w:val="00A80A78"/>
    <w:rsid w:val="00A901CD"/>
    <w:rsid w:val="00A94597"/>
    <w:rsid w:val="00AA2041"/>
    <w:rsid w:val="00AA5F43"/>
    <w:rsid w:val="00AB2712"/>
    <w:rsid w:val="00AB4608"/>
    <w:rsid w:val="00AB4AE0"/>
    <w:rsid w:val="00AB650E"/>
    <w:rsid w:val="00AC2135"/>
    <w:rsid w:val="00AC5BA5"/>
    <w:rsid w:val="00AD0662"/>
    <w:rsid w:val="00AD12A3"/>
    <w:rsid w:val="00AD2511"/>
    <w:rsid w:val="00AD796A"/>
    <w:rsid w:val="00AE0AE8"/>
    <w:rsid w:val="00AF06E2"/>
    <w:rsid w:val="00AF3800"/>
    <w:rsid w:val="00AF3D18"/>
    <w:rsid w:val="00B10B2A"/>
    <w:rsid w:val="00B153B0"/>
    <w:rsid w:val="00B16219"/>
    <w:rsid w:val="00B1787C"/>
    <w:rsid w:val="00B20126"/>
    <w:rsid w:val="00B2110C"/>
    <w:rsid w:val="00B2238A"/>
    <w:rsid w:val="00B343D1"/>
    <w:rsid w:val="00B3666A"/>
    <w:rsid w:val="00B417F7"/>
    <w:rsid w:val="00B438EC"/>
    <w:rsid w:val="00B44881"/>
    <w:rsid w:val="00B45B46"/>
    <w:rsid w:val="00B46477"/>
    <w:rsid w:val="00B528BF"/>
    <w:rsid w:val="00B54066"/>
    <w:rsid w:val="00B54129"/>
    <w:rsid w:val="00B56765"/>
    <w:rsid w:val="00B6405B"/>
    <w:rsid w:val="00B765A4"/>
    <w:rsid w:val="00B77B8D"/>
    <w:rsid w:val="00B77D43"/>
    <w:rsid w:val="00B81AFE"/>
    <w:rsid w:val="00B81D7F"/>
    <w:rsid w:val="00B8282E"/>
    <w:rsid w:val="00B830E0"/>
    <w:rsid w:val="00B84F5E"/>
    <w:rsid w:val="00B878D3"/>
    <w:rsid w:val="00B9127B"/>
    <w:rsid w:val="00B923A9"/>
    <w:rsid w:val="00B94218"/>
    <w:rsid w:val="00B96DFA"/>
    <w:rsid w:val="00BA44A2"/>
    <w:rsid w:val="00BB09F9"/>
    <w:rsid w:val="00BB5814"/>
    <w:rsid w:val="00BB6A68"/>
    <w:rsid w:val="00BB7350"/>
    <w:rsid w:val="00BC1CB2"/>
    <w:rsid w:val="00BC4243"/>
    <w:rsid w:val="00BC4D6D"/>
    <w:rsid w:val="00BC52E0"/>
    <w:rsid w:val="00BC7A08"/>
    <w:rsid w:val="00BD00CD"/>
    <w:rsid w:val="00BD02D6"/>
    <w:rsid w:val="00BD0E46"/>
    <w:rsid w:val="00BD146D"/>
    <w:rsid w:val="00BD7663"/>
    <w:rsid w:val="00BD7E13"/>
    <w:rsid w:val="00BE331A"/>
    <w:rsid w:val="00BE3C91"/>
    <w:rsid w:val="00BF0ECA"/>
    <w:rsid w:val="00BF4DBC"/>
    <w:rsid w:val="00BF603C"/>
    <w:rsid w:val="00C01535"/>
    <w:rsid w:val="00C05168"/>
    <w:rsid w:val="00C11539"/>
    <w:rsid w:val="00C1190F"/>
    <w:rsid w:val="00C1430B"/>
    <w:rsid w:val="00C14E36"/>
    <w:rsid w:val="00C22643"/>
    <w:rsid w:val="00C229D9"/>
    <w:rsid w:val="00C23799"/>
    <w:rsid w:val="00C269A2"/>
    <w:rsid w:val="00C3073D"/>
    <w:rsid w:val="00C30A15"/>
    <w:rsid w:val="00C36D2A"/>
    <w:rsid w:val="00C41F7B"/>
    <w:rsid w:val="00C43342"/>
    <w:rsid w:val="00C45A56"/>
    <w:rsid w:val="00C4664D"/>
    <w:rsid w:val="00C47A35"/>
    <w:rsid w:val="00C52608"/>
    <w:rsid w:val="00C5423F"/>
    <w:rsid w:val="00C6165A"/>
    <w:rsid w:val="00C63BB8"/>
    <w:rsid w:val="00C657FF"/>
    <w:rsid w:val="00C66E97"/>
    <w:rsid w:val="00C67053"/>
    <w:rsid w:val="00C73224"/>
    <w:rsid w:val="00C7455C"/>
    <w:rsid w:val="00C760FC"/>
    <w:rsid w:val="00C81251"/>
    <w:rsid w:val="00C847EE"/>
    <w:rsid w:val="00C84952"/>
    <w:rsid w:val="00C856F9"/>
    <w:rsid w:val="00C85FB9"/>
    <w:rsid w:val="00C87426"/>
    <w:rsid w:val="00C924F8"/>
    <w:rsid w:val="00C9442F"/>
    <w:rsid w:val="00CA1B34"/>
    <w:rsid w:val="00CA2760"/>
    <w:rsid w:val="00CA4135"/>
    <w:rsid w:val="00CA5E87"/>
    <w:rsid w:val="00CA749E"/>
    <w:rsid w:val="00CB067F"/>
    <w:rsid w:val="00CB3841"/>
    <w:rsid w:val="00CC3690"/>
    <w:rsid w:val="00CC5BC7"/>
    <w:rsid w:val="00CC63A8"/>
    <w:rsid w:val="00CD2FD2"/>
    <w:rsid w:val="00CD3D3C"/>
    <w:rsid w:val="00CD559B"/>
    <w:rsid w:val="00CD642A"/>
    <w:rsid w:val="00CE038C"/>
    <w:rsid w:val="00CE0699"/>
    <w:rsid w:val="00CE2E8D"/>
    <w:rsid w:val="00CE5847"/>
    <w:rsid w:val="00CF37AA"/>
    <w:rsid w:val="00CF5F87"/>
    <w:rsid w:val="00CF788C"/>
    <w:rsid w:val="00D0027B"/>
    <w:rsid w:val="00D04ECD"/>
    <w:rsid w:val="00D05AF5"/>
    <w:rsid w:val="00D10CBE"/>
    <w:rsid w:val="00D118DA"/>
    <w:rsid w:val="00D1433F"/>
    <w:rsid w:val="00D1698A"/>
    <w:rsid w:val="00D2292C"/>
    <w:rsid w:val="00D27B8C"/>
    <w:rsid w:val="00D30F83"/>
    <w:rsid w:val="00D31C9D"/>
    <w:rsid w:val="00D34256"/>
    <w:rsid w:val="00D3475A"/>
    <w:rsid w:val="00D407CB"/>
    <w:rsid w:val="00D44DBB"/>
    <w:rsid w:val="00D46279"/>
    <w:rsid w:val="00D47639"/>
    <w:rsid w:val="00D54BB5"/>
    <w:rsid w:val="00D554E4"/>
    <w:rsid w:val="00D62DFD"/>
    <w:rsid w:val="00D664A7"/>
    <w:rsid w:val="00D701A9"/>
    <w:rsid w:val="00D70A82"/>
    <w:rsid w:val="00D72416"/>
    <w:rsid w:val="00D7448C"/>
    <w:rsid w:val="00D749DC"/>
    <w:rsid w:val="00D75859"/>
    <w:rsid w:val="00D77A64"/>
    <w:rsid w:val="00D81D08"/>
    <w:rsid w:val="00D838EE"/>
    <w:rsid w:val="00D85753"/>
    <w:rsid w:val="00D87045"/>
    <w:rsid w:val="00D87BB5"/>
    <w:rsid w:val="00D9023B"/>
    <w:rsid w:val="00D90895"/>
    <w:rsid w:val="00D927B0"/>
    <w:rsid w:val="00D95317"/>
    <w:rsid w:val="00D95546"/>
    <w:rsid w:val="00DA011F"/>
    <w:rsid w:val="00DA2123"/>
    <w:rsid w:val="00DA2ABA"/>
    <w:rsid w:val="00DA4A34"/>
    <w:rsid w:val="00DA50AB"/>
    <w:rsid w:val="00DA7B5E"/>
    <w:rsid w:val="00DA7F02"/>
    <w:rsid w:val="00DB1470"/>
    <w:rsid w:val="00DB3834"/>
    <w:rsid w:val="00DB3F01"/>
    <w:rsid w:val="00DB4731"/>
    <w:rsid w:val="00DC1D25"/>
    <w:rsid w:val="00DC3D37"/>
    <w:rsid w:val="00DC6C24"/>
    <w:rsid w:val="00DD01DC"/>
    <w:rsid w:val="00DD51EF"/>
    <w:rsid w:val="00DD701B"/>
    <w:rsid w:val="00DD7F97"/>
    <w:rsid w:val="00DE171E"/>
    <w:rsid w:val="00DE35AD"/>
    <w:rsid w:val="00DE74A3"/>
    <w:rsid w:val="00DF037E"/>
    <w:rsid w:val="00E00D26"/>
    <w:rsid w:val="00E030E2"/>
    <w:rsid w:val="00E06172"/>
    <w:rsid w:val="00E07E79"/>
    <w:rsid w:val="00E1226C"/>
    <w:rsid w:val="00E131D7"/>
    <w:rsid w:val="00E157ED"/>
    <w:rsid w:val="00E167CC"/>
    <w:rsid w:val="00E226C2"/>
    <w:rsid w:val="00E248AE"/>
    <w:rsid w:val="00E30BEF"/>
    <w:rsid w:val="00E33E1D"/>
    <w:rsid w:val="00E3499B"/>
    <w:rsid w:val="00E35BBF"/>
    <w:rsid w:val="00E4176F"/>
    <w:rsid w:val="00E45124"/>
    <w:rsid w:val="00E52203"/>
    <w:rsid w:val="00E550F2"/>
    <w:rsid w:val="00E55421"/>
    <w:rsid w:val="00E73B1B"/>
    <w:rsid w:val="00E92507"/>
    <w:rsid w:val="00E936A7"/>
    <w:rsid w:val="00E97259"/>
    <w:rsid w:val="00EA2F7A"/>
    <w:rsid w:val="00EA5448"/>
    <w:rsid w:val="00EA6856"/>
    <w:rsid w:val="00EB074B"/>
    <w:rsid w:val="00EB3791"/>
    <w:rsid w:val="00EB59F4"/>
    <w:rsid w:val="00EB6231"/>
    <w:rsid w:val="00EB7EAD"/>
    <w:rsid w:val="00EC01A4"/>
    <w:rsid w:val="00EC0BD0"/>
    <w:rsid w:val="00EC3FF0"/>
    <w:rsid w:val="00EC7BEE"/>
    <w:rsid w:val="00ED2FD0"/>
    <w:rsid w:val="00ED6EF7"/>
    <w:rsid w:val="00EE2BD3"/>
    <w:rsid w:val="00EE4966"/>
    <w:rsid w:val="00EE532F"/>
    <w:rsid w:val="00EF016C"/>
    <w:rsid w:val="00EF09F5"/>
    <w:rsid w:val="00EF43E9"/>
    <w:rsid w:val="00EF4F86"/>
    <w:rsid w:val="00EF7F6E"/>
    <w:rsid w:val="00F011F9"/>
    <w:rsid w:val="00F03C42"/>
    <w:rsid w:val="00F052DC"/>
    <w:rsid w:val="00F05660"/>
    <w:rsid w:val="00F153B1"/>
    <w:rsid w:val="00F165A8"/>
    <w:rsid w:val="00F21C05"/>
    <w:rsid w:val="00F252F5"/>
    <w:rsid w:val="00F3124D"/>
    <w:rsid w:val="00F319DF"/>
    <w:rsid w:val="00F34826"/>
    <w:rsid w:val="00F35BCC"/>
    <w:rsid w:val="00F40624"/>
    <w:rsid w:val="00F4193B"/>
    <w:rsid w:val="00F41C24"/>
    <w:rsid w:val="00F52F51"/>
    <w:rsid w:val="00F577F2"/>
    <w:rsid w:val="00F63566"/>
    <w:rsid w:val="00F6402D"/>
    <w:rsid w:val="00F711E9"/>
    <w:rsid w:val="00F72293"/>
    <w:rsid w:val="00F75A3C"/>
    <w:rsid w:val="00F807D5"/>
    <w:rsid w:val="00F81313"/>
    <w:rsid w:val="00F843CB"/>
    <w:rsid w:val="00F849C6"/>
    <w:rsid w:val="00F928F7"/>
    <w:rsid w:val="00FA0D9F"/>
    <w:rsid w:val="00FA18FC"/>
    <w:rsid w:val="00FA1AA0"/>
    <w:rsid w:val="00FA43FD"/>
    <w:rsid w:val="00FA5B24"/>
    <w:rsid w:val="00FA6698"/>
    <w:rsid w:val="00FB1366"/>
    <w:rsid w:val="00FB1A16"/>
    <w:rsid w:val="00FB2812"/>
    <w:rsid w:val="00FB3BDB"/>
    <w:rsid w:val="00FC1B7F"/>
    <w:rsid w:val="00FC1EEC"/>
    <w:rsid w:val="00FC6EC8"/>
    <w:rsid w:val="00FD3D25"/>
    <w:rsid w:val="00FD4CC6"/>
    <w:rsid w:val="00FD5781"/>
    <w:rsid w:val="00FD6C1B"/>
    <w:rsid w:val="00FD7012"/>
    <w:rsid w:val="00FD75D7"/>
    <w:rsid w:val="00FE0135"/>
    <w:rsid w:val="00FE1CF9"/>
    <w:rsid w:val="00FE58B0"/>
    <w:rsid w:val="00FE7B5A"/>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2790">
      <w:bodyDiv w:val="1"/>
      <w:marLeft w:val="0"/>
      <w:marRight w:val="0"/>
      <w:marTop w:val="0"/>
      <w:marBottom w:val="0"/>
      <w:divBdr>
        <w:top w:val="none" w:sz="0" w:space="0" w:color="auto"/>
        <w:left w:val="none" w:sz="0" w:space="0" w:color="auto"/>
        <w:bottom w:val="none" w:sz="0" w:space="0" w:color="auto"/>
        <w:right w:val="none" w:sz="0" w:space="0" w:color="auto"/>
      </w:divBdr>
    </w:div>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4.5112781954887216E-2"/>
          <c:w val="0.88498484201102745"/>
          <c:h val="0.60187081877923154"/>
        </c:manualLayout>
      </c:layout>
      <c:lineChart>
        <c:grouping val="standard"/>
        <c:varyColors val="0"/>
        <c:ser>
          <c:idx val="1"/>
          <c:order val="0"/>
          <c:tx>
            <c:strRef>
              <c:f>'Sheet1 (2)'!$B$3</c:f>
              <c:strCache>
                <c:ptCount val="1"/>
                <c:pt idx="0">
                  <c:v>全産業</c:v>
                </c:pt>
              </c:strCache>
            </c:strRef>
          </c:tx>
          <c:spPr>
            <a:ln w="6350">
              <a:solidFill>
                <a:schemeClr val="tx1"/>
              </a:solidFill>
            </a:ln>
          </c:spPr>
          <c:marker>
            <c:symbol val="none"/>
          </c:marker>
          <c:cat>
            <c:multiLvlStrRef>
              <c:f>'Sheet1 (2)'!$C$1:$M$2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2014年</c:v>
                  </c:pt>
                  <c:pt idx="2">
                    <c:v>2015年</c:v>
                  </c:pt>
                  <c:pt idx="6">
                    <c:v>2016年</c:v>
                  </c:pt>
                  <c:pt idx="10">
                    <c:v>2017年</c:v>
                  </c:pt>
                </c:lvl>
              </c:multiLvlStrCache>
            </c:multiLvlStrRef>
          </c:cat>
          <c:val>
            <c:numRef>
              <c:f>'Sheet1 (2)'!$C$3:$M$3</c:f>
              <c:numCache>
                <c:formatCode>General</c:formatCode>
                <c:ptCount val="11"/>
                <c:pt idx="0">
                  <c:v>-14.7</c:v>
                </c:pt>
                <c:pt idx="1">
                  <c:v>-18.2</c:v>
                </c:pt>
                <c:pt idx="2">
                  <c:v>-17.100000000000001</c:v>
                </c:pt>
                <c:pt idx="3">
                  <c:v>-17.3</c:v>
                </c:pt>
                <c:pt idx="4" formatCode="0.0">
                  <c:v>-15.2</c:v>
                </c:pt>
                <c:pt idx="5" formatCode="0.0">
                  <c:v>-15.9</c:v>
                </c:pt>
                <c:pt idx="6" formatCode="0.0">
                  <c:v>-19.399999999999999</c:v>
                </c:pt>
                <c:pt idx="7" formatCode="0.0">
                  <c:v>-19.600000000000001</c:v>
                </c:pt>
                <c:pt idx="8" formatCode="0.0">
                  <c:v>-19.8</c:v>
                </c:pt>
                <c:pt idx="9" formatCode="0.0">
                  <c:v>-20</c:v>
                </c:pt>
                <c:pt idx="10" formatCode="0.0">
                  <c:v>-16.600000000000001</c:v>
                </c:pt>
              </c:numCache>
            </c:numRef>
          </c:val>
          <c:smooth val="0"/>
        </c:ser>
        <c:ser>
          <c:idx val="2"/>
          <c:order val="1"/>
          <c:tx>
            <c:strRef>
              <c:f>'Sheet1 (2)'!$B$4</c:f>
              <c:strCache>
                <c:ptCount val="1"/>
                <c:pt idx="0">
                  <c:v>製造業</c:v>
                </c:pt>
              </c:strCache>
            </c:strRef>
          </c:tx>
          <c:spPr>
            <a:ln w="6350">
              <a:solidFill>
                <a:schemeClr val="tx1"/>
              </a:solidFill>
              <a:prstDash val="sysDash"/>
            </a:ln>
          </c:spPr>
          <c:marker>
            <c:symbol val="none"/>
          </c:marker>
          <c:cat>
            <c:multiLvlStrRef>
              <c:f>'Sheet1 (2)'!$C$1:$M$2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2014年</c:v>
                  </c:pt>
                  <c:pt idx="2">
                    <c:v>2015年</c:v>
                  </c:pt>
                  <c:pt idx="6">
                    <c:v>2016年</c:v>
                  </c:pt>
                  <c:pt idx="10">
                    <c:v>2017年</c:v>
                  </c:pt>
                </c:lvl>
              </c:multiLvlStrCache>
            </c:multiLvlStrRef>
          </c:cat>
          <c:val>
            <c:numRef>
              <c:f>'Sheet1 (2)'!$C$4:$M$4</c:f>
              <c:numCache>
                <c:formatCode>0.0</c:formatCode>
                <c:ptCount val="11"/>
                <c:pt idx="0" formatCode="General">
                  <c:v>-5.4</c:v>
                </c:pt>
                <c:pt idx="1">
                  <c:v>-10.7</c:v>
                </c:pt>
                <c:pt idx="2">
                  <c:v>-10</c:v>
                </c:pt>
                <c:pt idx="3">
                  <c:v>-13.8</c:v>
                </c:pt>
                <c:pt idx="4">
                  <c:v>-9.9</c:v>
                </c:pt>
                <c:pt idx="5">
                  <c:v>-10.3</c:v>
                </c:pt>
                <c:pt idx="6">
                  <c:v>-17.7</c:v>
                </c:pt>
                <c:pt idx="7">
                  <c:v>-10.7</c:v>
                </c:pt>
                <c:pt idx="8">
                  <c:v>-18.5</c:v>
                </c:pt>
                <c:pt idx="9">
                  <c:v>-16.5</c:v>
                </c:pt>
                <c:pt idx="10">
                  <c:v>-9.8000000000000007</c:v>
                </c:pt>
              </c:numCache>
            </c:numRef>
          </c:val>
          <c:smooth val="0"/>
        </c:ser>
        <c:ser>
          <c:idx val="3"/>
          <c:order val="2"/>
          <c:tx>
            <c:strRef>
              <c:f>'Sheet1 (2)'!$B$5</c:f>
              <c:strCache>
                <c:ptCount val="1"/>
                <c:pt idx="0">
                  <c:v>非製造業</c:v>
                </c:pt>
              </c:strCache>
            </c:strRef>
          </c:tx>
          <c:spPr>
            <a:ln w="6350">
              <a:solidFill>
                <a:schemeClr val="tx1"/>
              </a:solidFill>
              <a:prstDash val="dash"/>
            </a:ln>
          </c:spPr>
          <c:marker>
            <c:symbol val="none"/>
          </c:marker>
          <c:cat>
            <c:multiLvlStrRef>
              <c:f>'Sheet1 (2)'!$C$1:$M$2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2014年</c:v>
                  </c:pt>
                  <c:pt idx="2">
                    <c:v>2015年</c:v>
                  </c:pt>
                  <c:pt idx="6">
                    <c:v>2016年</c:v>
                  </c:pt>
                  <c:pt idx="10">
                    <c:v>2017年</c:v>
                  </c:pt>
                </c:lvl>
              </c:multiLvlStrCache>
            </c:multiLvlStrRef>
          </c:cat>
          <c:val>
            <c:numRef>
              <c:f>'Sheet1 (2)'!$C$5:$M$5</c:f>
              <c:numCache>
                <c:formatCode>0.0_ </c:formatCode>
                <c:ptCount val="11"/>
                <c:pt idx="0" formatCode="General">
                  <c:v>-18.8</c:v>
                </c:pt>
                <c:pt idx="1">
                  <c:v>-21.2</c:v>
                </c:pt>
                <c:pt idx="2">
                  <c:v>-20.2</c:v>
                </c:pt>
                <c:pt idx="3">
                  <c:v>-18.7</c:v>
                </c:pt>
                <c:pt idx="4">
                  <c:v>-17.600000000000001</c:v>
                </c:pt>
                <c:pt idx="5">
                  <c:v>-18.100000000000001</c:v>
                </c:pt>
                <c:pt idx="6">
                  <c:v>-20.100000000000001</c:v>
                </c:pt>
                <c:pt idx="7">
                  <c:v>-23.1</c:v>
                </c:pt>
                <c:pt idx="8">
                  <c:v>-20.6</c:v>
                </c:pt>
                <c:pt idx="9">
                  <c:v>-21.2</c:v>
                </c:pt>
                <c:pt idx="10">
                  <c:v>-19.7</c:v>
                </c:pt>
              </c:numCache>
            </c:numRef>
          </c:val>
          <c:smooth val="0"/>
        </c:ser>
        <c:ser>
          <c:idx val="4"/>
          <c:order val="3"/>
          <c:tx>
            <c:strRef>
              <c:f>'Sheet1 (2)'!$B$6</c:f>
              <c:strCache>
                <c:ptCount val="1"/>
                <c:pt idx="0">
                  <c:v>　</c:v>
                </c:pt>
              </c:strCache>
            </c:strRef>
          </c:tx>
          <c:spPr>
            <a:ln w="6350">
              <a:solidFill>
                <a:schemeClr val="tx1"/>
              </a:solidFill>
            </a:ln>
          </c:spPr>
          <c:marker>
            <c:symbol val="none"/>
          </c:marker>
          <c:cat>
            <c:multiLvlStrRef>
              <c:f>'Sheet1 (2)'!$C$1:$M$2</c:f>
              <c:multiLvlStrCache>
                <c:ptCount val="11"/>
                <c:lvl>
                  <c:pt idx="0">
                    <c:v>7-9月</c:v>
                  </c:pt>
                  <c:pt idx="1">
                    <c:v>10-12月</c:v>
                  </c:pt>
                  <c:pt idx="2">
                    <c:v>1-3月</c:v>
                  </c:pt>
                  <c:pt idx="3">
                    <c:v>4-6月</c:v>
                  </c:pt>
                  <c:pt idx="4">
                    <c:v>7-9月</c:v>
                  </c:pt>
                  <c:pt idx="5">
                    <c:v>10-12月</c:v>
                  </c:pt>
                  <c:pt idx="6">
                    <c:v>1-3月</c:v>
                  </c:pt>
                  <c:pt idx="7">
                    <c:v>4-6月</c:v>
                  </c:pt>
                  <c:pt idx="8">
                    <c:v>7-9月</c:v>
                  </c:pt>
                  <c:pt idx="9">
                    <c:v>10-12月</c:v>
                  </c:pt>
                  <c:pt idx="10">
                    <c:v>1-3月</c:v>
                  </c:pt>
                </c:lvl>
                <c:lvl>
                  <c:pt idx="0">
                    <c:v>2014年</c:v>
                  </c:pt>
                  <c:pt idx="2">
                    <c:v>2015年</c:v>
                  </c:pt>
                  <c:pt idx="6">
                    <c:v>2016年</c:v>
                  </c:pt>
                  <c:pt idx="10">
                    <c:v>2017年</c:v>
                  </c:pt>
                </c:lvl>
              </c:multiLvlStrCache>
            </c:multiLvlStrRef>
          </c:cat>
          <c:val>
            <c:numRef>
              <c:f>'Sheet1 (2)'!$C$6:$M$6</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77032448"/>
        <c:axId val="75581696"/>
      </c:lineChart>
      <c:catAx>
        <c:axId val="77032448"/>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75581696"/>
        <c:crossesAt val="-45"/>
        <c:auto val="1"/>
        <c:lblAlgn val="ctr"/>
        <c:lblOffset val="100"/>
        <c:noMultiLvlLbl val="0"/>
      </c:catAx>
      <c:valAx>
        <c:axId val="75581696"/>
        <c:scaling>
          <c:orientation val="minMax"/>
          <c:max val="5"/>
          <c:min val="-30"/>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77032448"/>
        <c:crosses val="autoZero"/>
        <c:crossBetween val="between"/>
      </c:valAx>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0.75309</cdr:x>
      <cdr:y>0.18797</cdr:y>
    </cdr:from>
    <cdr:to>
      <cdr:x>0.8642</cdr:x>
      <cdr:y>0.34586</cdr:y>
    </cdr:to>
    <cdr:sp macro="" textlink="">
      <cdr:nvSpPr>
        <cdr:cNvPr id="3" name="正方形/長方形 2"/>
        <cdr:cNvSpPr/>
      </cdr:nvSpPr>
      <cdr:spPr>
        <a:xfrm xmlns:a="http://schemas.openxmlformats.org/drawingml/2006/main">
          <a:off x="4067175" y="238125"/>
          <a:ext cx="600075" cy="200025"/>
        </a:xfrm>
        <a:prstGeom xmlns:a="http://schemas.openxmlformats.org/drawingml/2006/main" prst="rect">
          <a:avLst/>
        </a:prstGeom>
        <a:solidFill xmlns:a="http://schemas.openxmlformats.org/drawingml/2006/main">
          <a:schemeClr val="bg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900">
              <a:solidFill>
                <a:sysClr val="windowText" lastClr="000000"/>
              </a:solidFill>
            </a:rPr>
            <a:t>製造業</a:t>
          </a:r>
          <a:endParaRPr lang="ja-JP" sz="900">
            <a:solidFill>
              <a:sysClr val="windowText" lastClr="000000"/>
            </a:solidFill>
          </a:endParaRPr>
        </a:p>
      </cdr:txBody>
    </cdr:sp>
  </cdr:relSizeAnchor>
  <cdr:relSizeAnchor xmlns:cdr="http://schemas.openxmlformats.org/drawingml/2006/chartDrawing">
    <cdr:from>
      <cdr:x>0.76249</cdr:x>
      <cdr:y>0.22807</cdr:y>
    </cdr:from>
    <cdr:to>
      <cdr:x>0.8736</cdr:x>
      <cdr:y>0.38596</cdr:y>
    </cdr:to>
    <cdr:sp macro="" textlink="">
      <cdr:nvSpPr>
        <cdr:cNvPr id="4" name="正方形/長方形 3"/>
        <cdr:cNvSpPr/>
      </cdr:nvSpPr>
      <cdr:spPr>
        <a:xfrm xmlns:a="http://schemas.openxmlformats.org/drawingml/2006/main">
          <a:off x="4117975" y="288925"/>
          <a:ext cx="600075" cy="200025"/>
        </a:xfrm>
        <a:prstGeom xmlns:a="http://schemas.openxmlformats.org/drawingml/2006/main" prst="rect">
          <a:avLst/>
        </a:prstGeom>
        <a:solidFill xmlns:a="http://schemas.openxmlformats.org/drawingml/2006/main">
          <a:schemeClr val="bg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0.5485</cdr:x>
      <cdr:y>0.15789</cdr:y>
    </cdr:from>
    <cdr:to>
      <cdr:x>0.65608</cdr:x>
      <cdr:y>0.33083</cdr:y>
    </cdr:to>
    <cdr:sp macro="" textlink="">
      <cdr:nvSpPr>
        <cdr:cNvPr id="5" name="正方形/長方形 4"/>
        <cdr:cNvSpPr/>
      </cdr:nvSpPr>
      <cdr:spPr>
        <a:xfrm xmlns:a="http://schemas.openxmlformats.org/drawingml/2006/main">
          <a:off x="2962275" y="200025"/>
          <a:ext cx="581025" cy="219075"/>
        </a:xfrm>
        <a:prstGeom xmlns:a="http://schemas.openxmlformats.org/drawingml/2006/main" prst="rect">
          <a:avLst/>
        </a:prstGeom>
        <a:solidFill xmlns:a="http://schemas.openxmlformats.org/drawingml/2006/main">
          <a:schemeClr val="bg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900">
              <a:solidFill>
                <a:sysClr val="windowText" lastClr="000000"/>
              </a:solidFill>
            </a:rPr>
            <a:t>全産業</a:t>
          </a:r>
          <a:endParaRPr lang="ja-JP" sz="900">
            <a:solidFill>
              <a:sysClr val="windowText" lastClr="000000"/>
            </a:solidFill>
          </a:endParaRPr>
        </a:p>
      </cdr:txBody>
    </cdr:sp>
  </cdr:relSizeAnchor>
  <cdr:relSizeAnchor xmlns:cdr="http://schemas.openxmlformats.org/drawingml/2006/chartDrawing">
    <cdr:from>
      <cdr:x>0.37919</cdr:x>
      <cdr:y>0.43609</cdr:y>
    </cdr:from>
    <cdr:to>
      <cdr:x>0.5097</cdr:x>
      <cdr:y>0.60902</cdr:y>
    </cdr:to>
    <cdr:sp macro="" textlink="">
      <cdr:nvSpPr>
        <cdr:cNvPr id="6" name="正方形/長方形 5"/>
        <cdr:cNvSpPr/>
      </cdr:nvSpPr>
      <cdr:spPr>
        <a:xfrm xmlns:a="http://schemas.openxmlformats.org/drawingml/2006/main">
          <a:off x="2047875" y="552451"/>
          <a:ext cx="704850" cy="219074"/>
        </a:xfrm>
        <a:prstGeom xmlns:a="http://schemas.openxmlformats.org/drawingml/2006/main" prst="rect">
          <a:avLst/>
        </a:prstGeom>
        <a:solidFill xmlns:a="http://schemas.openxmlformats.org/drawingml/2006/main">
          <a:schemeClr val="bg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900">
              <a:solidFill>
                <a:sysClr val="windowText" lastClr="000000"/>
              </a:solidFill>
            </a:rPr>
            <a:t>非製造業</a:t>
          </a:r>
          <a:endParaRPr lang="ja-JP" sz="900">
            <a:solidFill>
              <a:sysClr val="windowText" lastClr="000000"/>
            </a:solidFill>
          </a:endParaRPr>
        </a:p>
      </cdr:txBody>
    </cdr:sp>
  </cdr:relSizeAnchor>
  <cdr:relSizeAnchor xmlns:cdr="http://schemas.openxmlformats.org/drawingml/2006/chartDrawing">
    <cdr:from>
      <cdr:x>0.28924</cdr:x>
      <cdr:y>0.48872</cdr:y>
    </cdr:from>
    <cdr:to>
      <cdr:x>0.38977</cdr:x>
      <cdr:y>0.53008</cdr:y>
    </cdr:to>
    <cdr:cxnSp macro="">
      <cdr:nvCxnSpPr>
        <cdr:cNvPr id="7" name="直線矢印コネクタ 6"/>
        <cdr:cNvCxnSpPr/>
      </cdr:nvCxnSpPr>
      <cdr:spPr>
        <a:xfrm xmlns:a="http://schemas.openxmlformats.org/drawingml/2006/main" flipH="1" flipV="1">
          <a:off x="1562101" y="619125"/>
          <a:ext cx="542924" cy="52388"/>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0.60229</cdr:x>
      <cdr:y>0.33083</cdr:y>
    </cdr:from>
    <cdr:to>
      <cdr:x>0.67019</cdr:x>
      <cdr:y>0.46617</cdr:y>
    </cdr:to>
    <cdr:cxnSp macro="">
      <cdr:nvCxnSpPr>
        <cdr:cNvPr id="11" name="直線矢印コネクタ 10"/>
        <cdr:cNvCxnSpPr>
          <a:stCxn xmlns:a="http://schemas.openxmlformats.org/drawingml/2006/main" id="5" idx="2"/>
        </cdr:cNvCxnSpPr>
      </cdr:nvCxnSpPr>
      <cdr:spPr>
        <a:xfrm xmlns:a="http://schemas.openxmlformats.org/drawingml/2006/main">
          <a:off x="3252788" y="419100"/>
          <a:ext cx="366712" cy="17145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0.83951</cdr:x>
      <cdr:y>0.30827</cdr:y>
    </cdr:from>
    <cdr:to>
      <cdr:x>0.87478</cdr:x>
      <cdr:y>0.33835</cdr:y>
    </cdr:to>
    <cdr:cxnSp macro="">
      <cdr:nvCxnSpPr>
        <cdr:cNvPr id="13" name="直線矢印コネクタ 12"/>
        <cdr:cNvCxnSpPr/>
      </cdr:nvCxnSpPr>
      <cdr:spPr>
        <a:xfrm xmlns:a="http://schemas.openxmlformats.org/drawingml/2006/main">
          <a:off x="4533900" y="390525"/>
          <a:ext cx="190500" cy="3810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2</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81</cp:revision>
  <cp:lastPrinted>2017-04-12T03:19:00Z</cp:lastPrinted>
  <dcterms:created xsi:type="dcterms:W3CDTF">2016-10-25T07:18:00Z</dcterms:created>
  <dcterms:modified xsi:type="dcterms:W3CDTF">2017-05-01T04:29:00Z</dcterms:modified>
</cp:coreProperties>
</file>