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174670">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88089D">
              <w:rPr>
                <w:rFonts w:asciiTheme="majorEastAsia" w:eastAsiaTheme="majorEastAsia" w:hAnsiTheme="majorEastAsia" w:hint="eastAsia"/>
                <w:sz w:val="28"/>
                <w:szCs w:val="28"/>
              </w:rPr>
              <w:t>8</w:t>
            </w:r>
            <w:r w:rsidRPr="00DB3834">
              <w:rPr>
                <w:rFonts w:asciiTheme="majorEastAsia" w:eastAsiaTheme="majorEastAsia" w:hAnsiTheme="majorEastAsia" w:hint="eastAsia"/>
                <w:sz w:val="28"/>
                <w:szCs w:val="28"/>
              </w:rPr>
              <w:t>年</w:t>
            </w:r>
            <w:r w:rsidR="00174670">
              <w:rPr>
                <w:rFonts w:asciiTheme="majorEastAsia" w:eastAsiaTheme="majorEastAsia" w:hAnsiTheme="majorEastAsia" w:hint="eastAsia"/>
                <w:sz w:val="28"/>
                <w:szCs w:val="28"/>
              </w:rPr>
              <w:t>10</w:t>
            </w:r>
            <w:r w:rsidRPr="00DB3834">
              <w:rPr>
                <w:rFonts w:asciiTheme="majorEastAsia" w:eastAsiaTheme="majorEastAsia" w:hAnsiTheme="majorEastAsia" w:hint="eastAsia"/>
                <w:sz w:val="28"/>
                <w:szCs w:val="28"/>
              </w:rPr>
              <w:t>～</w:t>
            </w:r>
            <w:r w:rsidR="00174670">
              <w:rPr>
                <w:rFonts w:asciiTheme="majorEastAsia" w:eastAsiaTheme="majorEastAsia" w:hAnsiTheme="majorEastAsia" w:hint="eastAsia"/>
                <w:sz w:val="28"/>
                <w:szCs w:val="28"/>
              </w:rPr>
              <w:t>12</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E00D26" w:rsidRPr="001A53F0">
        <w:rPr>
          <w:rFonts w:asciiTheme="minorEastAsia" w:hAnsiTheme="minorEastAsia" w:hint="eastAsia"/>
          <w:sz w:val="20"/>
          <w:szCs w:val="20"/>
        </w:rPr>
        <w:t>大阪府の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EF09F5">
        <w:rPr>
          <w:rFonts w:asciiTheme="minorEastAsia" w:hAnsiTheme="minorEastAsia" w:hint="eastAsia"/>
          <w:sz w:val="20"/>
          <w:szCs w:val="20"/>
        </w:rPr>
        <w:t>20.0</w:t>
      </w:r>
      <w:r w:rsidR="00D9023B" w:rsidRPr="001A53F0">
        <w:rPr>
          <w:rFonts w:asciiTheme="minorEastAsia" w:hAnsiTheme="minorEastAsia" w:hint="eastAsia"/>
          <w:sz w:val="20"/>
          <w:szCs w:val="20"/>
        </w:rPr>
        <w:t>（前期差</w:t>
      </w:r>
      <w:r w:rsidR="00FE1CF9">
        <w:rPr>
          <w:rFonts w:asciiTheme="minorEastAsia" w:hAnsiTheme="minorEastAsia" w:hint="eastAsia"/>
          <w:sz w:val="20"/>
          <w:szCs w:val="20"/>
        </w:rPr>
        <w:t>0.2</w:t>
      </w:r>
      <w:r w:rsidR="00D9023B" w:rsidRPr="001A53F0">
        <w:rPr>
          <w:rFonts w:asciiTheme="minorEastAsia" w:hAnsiTheme="minorEastAsia" w:hint="eastAsia"/>
          <w:sz w:val="20"/>
          <w:szCs w:val="20"/>
        </w:rPr>
        <w:t>ポイント</w:t>
      </w:r>
      <w:r w:rsidR="00075D4C">
        <w:rPr>
          <w:rFonts w:asciiTheme="minorEastAsia" w:hAnsiTheme="minorEastAsia" w:hint="eastAsia"/>
          <w:sz w:val="20"/>
          <w:szCs w:val="20"/>
        </w:rPr>
        <w:t>減</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63BB8" w:rsidRPr="001A53F0">
        <w:rPr>
          <w:rFonts w:asciiTheme="minorEastAsia" w:hAnsiTheme="minorEastAsia" w:hint="eastAsia"/>
          <w:sz w:val="20"/>
          <w:szCs w:val="20"/>
        </w:rPr>
        <w:t>近畿</w:t>
      </w:r>
      <w:r w:rsidR="00482803">
        <w:rPr>
          <w:rFonts w:asciiTheme="minorEastAsia" w:hAnsiTheme="minorEastAsia" w:hint="eastAsia"/>
          <w:sz w:val="20"/>
          <w:szCs w:val="20"/>
        </w:rPr>
        <w:t>よりも</w:t>
      </w:r>
      <w:r w:rsidR="00EF09F5">
        <w:rPr>
          <w:rFonts w:asciiTheme="minorEastAsia" w:hAnsiTheme="minorEastAsia" w:hint="eastAsia"/>
          <w:sz w:val="20"/>
          <w:szCs w:val="20"/>
        </w:rPr>
        <w:t>2.9</w:t>
      </w:r>
      <w:r w:rsidR="00F34826">
        <w:rPr>
          <w:rFonts w:asciiTheme="minorEastAsia" w:hAnsiTheme="minorEastAsia" w:hint="eastAsia"/>
          <w:sz w:val="20"/>
          <w:szCs w:val="20"/>
        </w:rPr>
        <w:t>ポイント</w:t>
      </w:r>
      <w:r w:rsidR="00D04ECD">
        <w:rPr>
          <w:rFonts w:asciiTheme="minorEastAsia" w:hAnsiTheme="minorEastAsia" w:hint="eastAsia"/>
          <w:sz w:val="20"/>
          <w:szCs w:val="20"/>
        </w:rPr>
        <w:t>低</w:t>
      </w:r>
      <w:r w:rsidR="00D44DBB">
        <w:rPr>
          <w:rFonts w:asciiTheme="minorEastAsia" w:hAnsiTheme="minorEastAsia" w:hint="eastAsia"/>
          <w:sz w:val="20"/>
          <w:szCs w:val="20"/>
        </w:rPr>
        <w:t>く、全国より1.</w:t>
      </w:r>
      <w:r w:rsidR="00EF09F5">
        <w:rPr>
          <w:rFonts w:asciiTheme="minorEastAsia" w:hAnsiTheme="minorEastAsia" w:hint="eastAsia"/>
          <w:sz w:val="20"/>
          <w:szCs w:val="20"/>
        </w:rPr>
        <w:t>3</w:t>
      </w:r>
      <w:r w:rsidR="00D44DBB">
        <w:rPr>
          <w:rFonts w:asciiTheme="minorEastAsia" w:hAnsiTheme="minorEastAsia" w:hint="eastAsia"/>
          <w:sz w:val="20"/>
          <w:szCs w:val="20"/>
        </w:rPr>
        <w:t>ポイント低い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4545C6">
        <w:rPr>
          <w:rFonts w:asciiTheme="minorEastAsia" w:hAnsiTheme="minorEastAsia" w:hint="eastAsia"/>
          <w:sz w:val="20"/>
          <w:szCs w:val="20"/>
        </w:rPr>
        <w:t>1</w:t>
      </w:r>
      <w:r w:rsidR="00EF09F5">
        <w:rPr>
          <w:rFonts w:asciiTheme="minorEastAsia" w:hAnsiTheme="minorEastAsia" w:hint="eastAsia"/>
          <w:sz w:val="20"/>
          <w:szCs w:val="20"/>
        </w:rPr>
        <w:t>6</w:t>
      </w:r>
      <w:r w:rsidR="00F34826">
        <w:rPr>
          <w:rFonts w:asciiTheme="minorEastAsia" w:hAnsiTheme="minorEastAsia" w:hint="eastAsia"/>
          <w:sz w:val="20"/>
          <w:szCs w:val="20"/>
        </w:rPr>
        <w:t>.5</w:t>
      </w:r>
      <w:r w:rsidR="00614824" w:rsidRPr="001A53F0">
        <w:rPr>
          <w:rFonts w:asciiTheme="minorEastAsia" w:hAnsiTheme="minorEastAsia" w:hint="eastAsia"/>
          <w:sz w:val="20"/>
          <w:szCs w:val="20"/>
        </w:rPr>
        <w:t>（前期差</w:t>
      </w:r>
      <w:r w:rsidR="00EF09F5">
        <w:rPr>
          <w:rFonts w:asciiTheme="minorEastAsia" w:hAnsiTheme="minorEastAsia" w:hint="eastAsia"/>
          <w:sz w:val="20"/>
          <w:szCs w:val="20"/>
        </w:rPr>
        <w:t>2.0</w:t>
      </w:r>
      <w:r w:rsidR="00F34826">
        <w:rPr>
          <w:rFonts w:asciiTheme="minorEastAsia" w:hAnsiTheme="minorEastAsia" w:hint="eastAsia"/>
          <w:sz w:val="20"/>
          <w:szCs w:val="20"/>
        </w:rPr>
        <w:t>ポイント</w:t>
      </w:r>
      <w:r w:rsidR="00EF09F5">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EF09F5">
        <w:rPr>
          <w:rFonts w:asciiTheme="minorEastAsia" w:hAnsiTheme="minorEastAsia" w:hint="eastAsia"/>
          <w:sz w:val="20"/>
          <w:szCs w:val="20"/>
        </w:rPr>
        <w:t>4.3</w:t>
      </w:r>
      <w:r w:rsidR="00F34826">
        <w:rPr>
          <w:rFonts w:asciiTheme="minorEastAsia" w:hAnsiTheme="minorEastAsia" w:hint="eastAsia"/>
          <w:sz w:val="20"/>
          <w:szCs w:val="20"/>
        </w:rPr>
        <w:t>ポイント低く、</w:t>
      </w:r>
      <w:r w:rsidR="00614824" w:rsidRPr="001A53F0">
        <w:rPr>
          <w:rFonts w:asciiTheme="minorEastAsia" w:hAnsiTheme="minorEastAsia" w:hint="eastAsia"/>
          <w:sz w:val="20"/>
          <w:szCs w:val="20"/>
        </w:rPr>
        <w:t>全国より</w:t>
      </w:r>
      <w:r w:rsidR="00EF09F5">
        <w:rPr>
          <w:rFonts w:asciiTheme="minorEastAsia" w:hAnsiTheme="minorEastAsia" w:hint="eastAsia"/>
          <w:sz w:val="20"/>
          <w:szCs w:val="20"/>
        </w:rPr>
        <w:t>1.0</w:t>
      </w:r>
      <w:r w:rsidR="00D9023B" w:rsidRPr="001A53F0">
        <w:rPr>
          <w:rFonts w:asciiTheme="minorEastAsia" w:hAnsiTheme="minorEastAsia" w:hint="eastAsia"/>
          <w:sz w:val="20"/>
          <w:szCs w:val="20"/>
        </w:rPr>
        <w:t>ポイント</w:t>
      </w:r>
      <w:r w:rsidR="00D44DBB">
        <w:rPr>
          <w:rFonts w:asciiTheme="minorEastAsia" w:hAnsiTheme="minorEastAsia" w:hint="eastAsia"/>
          <w:sz w:val="20"/>
          <w:szCs w:val="20"/>
        </w:rPr>
        <w:t>低い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EF09F5">
        <w:rPr>
          <w:rFonts w:asciiTheme="minorEastAsia" w:hAnsiTheme="minorEastAsia" w:hint="eastAsia"/>
          <w:sz w:val="20"/>
          <w:szCs w:val="20"/>
        </w:rPr>
        <w:t>21.2</w:t>
      </w:r>
      <w:r w:rsidR="00614824" w:rsidRPr="001A53F0">
        <w:rPr>
          <w:rFonts w:asciiTheme="minorEastAsia" w:hAnsiTheme="minorEastAsia" w:hint="eastAsia"/>
          <w:sz w:val="20"/>
          <w:szCs w:val="20"/>
        </w:rPr>
        <w:t>（前期差</w:t>
      </w:r>
      <w:r w:rsidR="00EF09F5">
        <w:rPr>
          <w:rFonts w:asciiTheme="minorEastAsia" w:hAnsiTheme="minorEastAsia" w:hint="eastAsia"/>
          <w:sz w:val="20"/>
          <w:szCs w:val="20"/>
        </w:rPr>
        <w:t>0.6ポイント減</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EF09F5">
        <w:rPr>
          <w:rFonts w:asciiTheme="minorEastAsia" w:hAnsiTheme="minorEastAsia" w:hint="eastAsia"/>
          <w:sz w:val="20"/>
          <w:szCs w:val="20"/>
        </w:rPr>
        <w:t>2.4</w:t>
      </w:r>
      <w:r w:rsidR="004545C6">
        <w:rPr>
          <w:rFonts w:asciiTheme="minorEastAsia" w:hAnsiTheme="minorEastAsia" w:hint="eastAsia"/>
          <w:sz w:val="20"/>
          <w:szCs w:val="20"/>
        </w:rPr>
        <w:t>ポイント低く、</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1023F6">
        <w:rPr>
          <w:rFonts w:asciiTheme="minorEastAsia" w:hAnsiTheme="minorEastAsia" w:hint="eastAsia"/>
          <w:sz w:val="20"/>
          <w:szCs w:val="20"/>
        </w:rPr>
        <w:t>1</w:t>
      </w:r>
      <w:r w:rsidR="00D44DBB">
        <w:rPr>
          <w:rFonts w:asciiTheme="minorEastAsia" w:hAnsiTheme="minorEastAsia" w:hint="eastAsia"/>
          <w:sz w:val="20"/>
          <w:szCs w:val="20"/>
        </w:rPr>
        <w:t>.</w:t>
      </w:r>
      <w:r w:rsidR="004545C6">
        <w:rPr>
          <w:rFonts w:asciiTheme="minorEastAsia" w:hAnsiTheme="minorEastAsia" w:hint="eastAsia"/>
          <w:sz w:val="20"/>
          <w:szCs w:val="20"/>
        </w:rPr>
        <w:t>6</w:t>
      </w:r>
      <w:r w:rsidR="00614824" w:rsidRPr="001A53F0">
        <w:rPr>
          <w:rFonts w:asciiTheme="minorEastAsia" w:hAnsiTheme="minorEastAsia" w:hint="eastAsia"/>
          <w:sz w:val="20"/>
          <w:szCs w:val="20"/>
        </w:rPr>
        <w:t>ポイント</w:t>
      </w:r>
      <w:r w:rsidR="004545C6">
        <w:rPr>
          <w:rFonts w:asciiTheme="minorEastAsia" w:hAnsiTheme="minorEastAsia" w:hint="eastAsia"/>
          <w:sz w:val="20"/>
          <w:szCs w:val="20"/>
        </w:rPr>
        <w:t>低い</w:t>
      </w:r>
      <w:r w:rsidR="00614824" w:rsidRPr="001A53F0">
        <w:rPr>
          <w:rFonts w:asciiTheme="minorEastAsia" w:hAnsiTheme="minorEastAsia" w:hint="eastAsia"/>
          <w:sz w:val="20"/>
          <w:szCs w:val="20"/>
        </w:rPr>
        <w:t>。</w:t>
      </w:r>
    </w:p>
    <w:p w:rsidR="00A5610D" w:rsidRPr="006B4265" w:rsidRDefault="00FE1CF9" w:rsidP="00D44DBB">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7B7692" w:rsidRPr="006153E3">
        <w:rPr>
          <w:rFonts w:asciiTheme="minorEastAsia" w:hAnsiTheme="minorEastAsia" w:hint="eastAsia"/>
          <w:sz w:val="20"/>
          <w:szCs w:val="20"/>
        </w:rPr>
        <w:t>全</w:t>
      </w:r>
      <w:r w:rsidR="00EF09F5">
        <w:rPr>
          <w:rFonts w:asciiTheme="minorEastAsia" w:hAnsiTheme="minorEastAsia" w:hint="eastAsia"/>
          <w:sz w:val="20"/>
          <w:szCs w:val="20"/>
        </w:rPr>
        <w:t>産業</w:t>
      </w:r>
      <w:r w:rsidR="007B7692" w:rsidRPr="006153E3">
        <w:rPr>
          <w:rFonts w:asciiTheme="minorEastAsia" w:hAnsiTheme="minorEastAsia" w:hint="eastAsia"/>
          <w:sz w:val="20"/>
          <w:szCs w:val="20"/>
        </w:rPr>
        <w:t>で</w:t>
      </w:r>
      <w:r w:rsidR="00EF09F5">
        <w:rPr>
          <w:rFonts w:asciiTheme="minorEastAsia" w:hAnsiTheme="minorEastAsia" w:hint="eastAsia"/>
          <w:sz w:val="20"/>
          <w:szCs w:val="20"/>
        </w:rPr>
        <w:t>２</w:t>
      </w:r>
      <w:r w:rsidR="000D6315" w:rsidRPr="006153E3">
        <w:rPr>
          <w:rFonts w:asciiTheme="minorEastAsia" w:hAnsiTheme="minorEastAsia" w:hint="eastAsia"/>
          <w:sz w:val="20"/>
          <w:szCs w:val="20"/>
        </w:rPr>
        <w:t>期ぶりに</w:t>
      </w:r>
      <w:r w:rsidR="00EF09F5">
        <w:rPr>
          <w:rFonts w:asciiTheme="minorEastAsia" w:hAnsiTheme="minorEastAsia" w:hint="eastAsia"/>
          <w:sz w:val="20"/>
          <w:szCs w:val="20"/>
        </w:rPr>
        <w:t>やや低下し</w:t>
      </w:r>
      <w:r w:rsidR="00C22643">
        <w:rPr>
          <w:rFonts w:asciiTheme="minorEastAsia" w:hAnsiTheme="minorEastAsia" w:hint="eastAsia"/>
          <w:sz w:val="20"/>
          <w:szCs w:val="20"/>
        </w:rPr>
        <w:t>、</w:t>
      </w:r>
      <w:r w:rsidRPr="006153E3">
        <w:rPr>
          <w:rFonts w:asciiTheme="minorEastAsia" w:hAnsiTheme="minorEastAsia" w:hint="eastAsia"/>
          <w:sz w:val="20"/>
          <w:szCs w:val="20"/>
        </w:rPr>
        <w:t>「中小企業の業況は、</w:t>
      </w:r>
      <w:r w:rsidR="00D44DBB" w:rsidRPr="006153E3">
        <w:rPr>
          <w:rFonts w:asciiTheme="minorEastAsia" w:hAnsiTheme="minorEastAsia" w:hint="eastAsia"/>
          <w:sz w:val="20"/>
          <w:szCs w:val="20"/>
        </w:rPr>
        <w:t>一部業種に足踏みが見られるものの、持ち直しの動きを示している」と</w:t>
      </w:r>
      <w:r w:rsidR="00EF09F5">
        <w:rPr>
          <w:rFonts w:asciiTheme="minorEastAsia" w:hAnsiTheme="minorEastAsia" w:hint="eastAsia"/>
          <w:sz w:val="20"/>
          <w:szCs w:val="20"/>
        </w:rPr>
        <w:t>据え置かれ</w:t>
      </w:r>
      <w:r w:rsidR="00BD00CD">
        <w:rPr>
          <w:rFonts w:asciiTheme="minorEastAsia" w:hAnsiTheme="minorEastAsia" w:hint="eastAsia"/>
          <w:sz w:val="20"/>
          <w:szCs w:val="20"/>
        </w:rPr>
        <w:t>た。</w:t>
      </w:r>
      <w:r w:rsidR="009149F1" w:rsidRPr="006B4265">
        <w:rPr>
          <w:rFonts w:asciiTheme="minorEastAsia" w:hAnsiTheme="minorEastAsia" w:hint="eastAsia"/>
          <w:sz w:val="20"/>
          <w:szCs w:val="20"/>
        </w:rPr>
        <w:t>近畿は、</w:t>
      </w:r>
      <w:r w:rsidR="006B4265" w:rsidRPr="006B4265">
        <w:rPr>
          <w:rFonts w:asciiTheme="minorEastAsia" w:hAnsiTheme="minorEastAsia" w:hint="eastAsia"/>
          <w:sz w:val="20"/>
          <w:szCs w:val="20"/>
        </w:rPr>
        <w:t>５</w:t>
      </w:r>
      <w:r w:rsidR="009149F1" w:rsidRPr="006B4265">
        <w:rPr>
          <w:rFonts w:asciiTheme="minorEastAsia" w:hAnsiTheme="minorEastAsia" w:hint="eastAsia"/>
          <w:sz w:val="20"/>
          <w:szCs w:val="20"/>
        </w:rPr>
        <w:t>期</w:t>
      </w:r>
      <w:r w:rsidR="00697371" w:rsidRPr="006B4265">
        <w:rPr>
          <w:rFonts w:asciiTheme="minorEastAsia" w:hAnsiTheme="minorEastAsia" w:hint="eastAsia"/>
          <w:sz w:val="20"/>
          <w:szCs w:val="20"/>
        </w:rPr>
        <w:t>ぶりに全産業、製造業、非製造業のいずれも</w:t>
      </w:r>
      <w:r w:rsidR="007D6CFA" w:rsidRPr="006B4265">
        <w:rPr>
          <w:rFonts w:asciiTheme="minorEastAsia" w:hAnsiTheme="minorEastAsia" w:hint="eastAsia"/>
          <w:sz w:val="20"/>
          <w:szCs w:val="20"/>
        </w:rPr>
        <w:t>上昇し</w:t>
      </w:r>
      <w:r w:rsidR="006B4265" w:rsidRPr="006B4265">
        <w:rPr>
          <w:rFonts w:asciiTheme="minorEastAsia" w:hAnsiTheme="minorEastAsia" w:hint="eastAsia"/>
          <w:sz w:val="20"/>
          <w:szCs w:val="20"/>
        </w:rPr>
        <w:t>、「中小企業の業況は、一部業種に足踏みが見られるものの、持ち直しの動きを示している」と引き上げられ</w:t>
      </w:r>
      <w:r w:rsidR="00C22643">
        <w:rPr>
          <w:rFonts w:asciiTheme="minorEastAsia" w:hAnsiTheme="minorEastAsia" w:hint="eastAsia"/>
          <w:sz w:val="20"/>
          <w:szCs w:val="20"/>
        </w:rPr>
        <w:t>た</w:t>
      </w:r>
      <w:r w:rsidR="007D6CFA" w:rsidRPr="006B4265">
        <w:rPr>
          <w:rFonts w:asciiTheme="minorEastAsia" w:hAnsiTheme="minorEastAsia" w:hint="eastAsia"/>
          <w:sz w:val="20"/>
          <w:szCs w:val="20"/>
        </w:rPr>
        <w:t>。</w:t>
      </w:r>
    </w:p>
    <w:p w:rsidR="00AD2511" w:rsidRPr="006153E3" w:rsidRDefault="006B4265" w:rsidP="00326123">
      <w:pPr>
        <w:ind w:firstLineChars="100" w:firstLine="200"/>
        <w:rPr>
          <w:rFonts w:asciiTheme="minorEastAsia" w:hAnsiTheme="minorEastAsia"/>
          <w:sz w:val="20"/>
          <w:szCs w:val="20"/>
        </w:rPr>
      </w:pPr>
      <w:r>
        <w:rPr>
          <w:rFonts w:asciiTheme="minorEastAsia" w:hAnsiTheme="minorEastAsia" w:hint="eastAsia"/>
          <w:sz w:val="20"/>
          <w:szCs w:val="20"/>
        </w:rPr>
        <w:t>近畿</w:t>
      </w:r>
      <w:r w:rsidR="009149F1" w:rsidRPr="006153E3">
        <w:rPr>
          <w:rFonts w:asciiTheme="minorEastAsia" w:hAnsiTheme="minorEastAsia" w:hint="eastAsia"/>
          <w:sz w:val="20"/>
          <w:szCs w:val="20"/>
        </w:rPr>
        <w:t>の各業種の</w:t>
      </w:r>
      <w:r w:rsidR="004363A7" w:rsidRPr="006153E3">
        <w:rPr>
          <w:rFonts w:asciiTheme="minorEastAsia" w:hAnsiTheme="minorEastAsia" w:hint="eastAsia"/>
          <w:sz w:val="20"/>
          <w:szCs w:val="20"/>
        </w:rPr>
        <w:t>業況</w:t>
      </w:r>
      <w:r w:rsidR="00AD2511" w:rsidRPr="006153E3">
        <w:rPr>
          <w:rFonts w:asciiTheme="minorEastAsia" w:hAnsiTheme="minorEastAsia" w:hint="eastAsia"/>
          <w:sz w:val="20"/>
          <w:szCs w:val="20"/>
        </w:rPr>
        <w:t>判断</w:t>
      </w:r>
      <w:r w:rsidR="00B96DFA" w:rsidRPr="006153E3">
        <w:rPr>
          <w:rFonts w:asciiTheme="minorEastAsia" w:hAnsiTheme="minorEastAsia" w:hint="eastAsia"/>
          <w:sz w:val="20"/>
          <w:szCs w:val="20"/>
        </w:rPr>
        <w:t>のうち</w:t>
      </w:r>
      <w:r w:rsidR="00D10CBE"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w:t>
      </w:r>
      <w:r w:rsidR="00257CE4" w:rsidRPr="006153E3">
        <w:rPr>
          <w:rFonts w:asciiTheme="minorEastAsia" w:hAnsiTheme="minorEastAsia" w:hint="eastAsia"/>
          <w:sz w:val="20"/>
          <w:szCs w:val="20"/>
        </w:rPr>
        <w:t>プラスの水準</w:t>
      </w:r>
      <w:r w:rsidR="00B96DFA" w:rsidRPr="006153E3">
        <w:rPr>
          <w:rFonts w:asciiTheme="minorEastAsia" w:hAnsiTheme="minorEastAsia" w:hint="eastAsia"/>
          <w:sz w:val="20"/>
          <w:szCs w:val="20"/>
        </w:rPr>
        <w:t>にある</w:t>
      </w:r>
      <w:r>
        <w:rPr>
          <w:rFonts w:asciiTheme="minorEastAsia" w:hAnsiTheme="minorEastAsia" w:hint="eastAsia"/>
          <w:sz w:val="20"/>
          <w:szCs w:val="20"/>
        </w:rPr>
        <w:t>のは、パルプ・紙・紙加工品と電気・情報通信機械・電子部品</w:t>
      </w:r>
      <w:r w:rsidR="00326123" w:rsidRPr="006153E3">
        <w:rPr>
          <w:rFonts w:asciiTheme="minorEastAsia" w:hAnsiTheme="minorEastAsia" w:hint="eastAsia"/>
          <w:sz w:val="20"/>
          <w:szCs w:val="20"/>
        </w:rPr>
        <w:t>で</w:t>
      </w:r>
      <w:r>
        <w:rPr>
          <w:rFonts w:asciiTheme="minorEastAsia" w:hAnsiTheme="minorEastAsia" w:hint="eastAsia"/>
          <w:sz w:val="20"/>
          <w:szCs w:val="20"/>
        </w:rPr>
        <w:t>、前期差で</w:t>
      </w:r>
      <w:r w:rsidR="00326123" w:rsidRPr="006153E3">
        <w:rPr>
          <w:rFonts w:asciiTheme="minorEastAsia" w:hAnsiTheme="minorEastAsia" w:hint="eastAsia"/>
          <w:sz w:val="20"/>
          <w:szCs w:val="20"/>
        </w:rPr>
        <w:t>みると、</w:t>
      </w:r>
      <w:r w:rsidR="00741235">
        <w:rPr>
          <w:rFonts w:asciiTheme="minorEastAsia" w:hAnsiTheme="minorEastAsia" w:hint="eastAsia"/>
          <w:sz w:val="20"/>
          <w:szCs w:val="20"/>
        </w:rPr>
        <w:t>上記の２業種のほか、</w:t>
      </w:r>
      <w:r>
        <w:rPr>
          <w:rFonts w:asciiTheme="minorEastAsia" w:hAnsiTheme="minorEastAsia" w:hint="eastAsia"/>
          <w:sz w:val="20"/>
          <w:szCs w:val="20"/>
        </w:rPr>
        <w:t>食料品、</w:t>
      </w:r>
      <w:r w:rsidR="00741235">
        <w:rPr>
          <w:rFonts w:asciiTheme="minorEastAsia" w:hAnsiTheme="minorEastAsia" w:hint="eastAsia"/>
          <w:sz w:val="20"/>
          <w:szCs w:val="20"/>
        </w:rPr>
        <w:t>印刷、窯業・土石製品、鉄鋼・非鉄金属、金属製品、輸送用機械器具</w:t>
      </w:r>
      <w:r w:rsidR="007D6CFA">
        <w:rPr>
          <w:rFonts w:asciiTheme="minorEastAsia" w:hAnsiTheme="minorEastAsia" w:hint="eastAsia"/>
          <w:sz w:val="20"/>
          <w:szCs w:val="20"/>
        </w:rPr>
        <w:t>の</w:t>
      </w:r>
      <w:r w:rsidR="001023F6">
        <w:rPr>
          <w:rFonts w:asciiTheme="minorEastAsia" w:hAnsiTheme="minorEastAsia" w:hint="eastAsia"/>
          <w:sz w:val="20"/>
          <w:szCs w:val="20"/>
        </w:rPr>
        <w:t>計</w:t>
      </w:r>
      <w:r w:rsidR="00741235">
        <w:rPr>
          <w:rFonts w:asciiTheme="minorEastAsia" w:hAnsiTheme="minorEastAsia" w:hint="eastAsia"/>
          <w:sz w:val="20"/>
          <w:szCs w:val="20"/>
        </w:rPr>
        <w:t>８</w:t>
      </w:r>
      <w:r w:rsidR="007D6CFA">
        <w:rPr>
          <w:rFonts w:asciiTheme="minorEastAsia" w:hAnsiTheme="minorEastAsia" w:hint="eastAsia"/>
          <w:sz w:val="20"/>
          <w:szCs w:val="20"/>
        </w:rPr>
        <w:t>業種が上昇し、</w:t>
      </w:r>
      <w:r w:rsidR="00741235">
        <w:rPr>
          <w:rFonts w:asciiTheme="minorEastAsia" w:hAnsiTheme="minorEastAsia" w:hint="eastAsia"/>
          <w:sz w:val="20"/>
          <w:szCs w:val="20"/>
        </w:rPr>
        <w:lastRenderedPageBreak/>
        <w:t>繊維工業、木材・木製品、家具・装備品、化学、機械器具、その他の製造業</w:t>
      </w:r>
      <w:r w:rsidR="007D6CFA">
        <w:rPr>
          <w:rFonts w:asciiTheme="minorEastAsia" w:hAnsiTheme="minorEastAsia" w:hint="eastAsia"/>
          <w:sz w:val="20"/>
          <w:szCs w:val="20"/>
        </w:rPr>
        <w:t>の</w:t>
      </w:r>
      <w:r w:rsidR="00741235">
        <w:rPr>
          <w:rFonts w:asciiTheme="minorEastAsia" w:hAnsiTheme="minorEastAsia" w:hint="eastAsia"/>
          <w:sz w:val="20"/>
          <w:szCs w:val="20"/>
        </w:rPr>
        <w:t>６</w:t>
      </w:r>
      <w:r w:rsidR="007D6CFA">
        <w:rPr>
          <w:rFonts w:asciiTheme="minorEastAsia" w:hAnsiTheme="minorEastAsia" w:hint="eastAsia"/>
          <w:sz w:val="20"/>
          <w:szCs w:val="20"/>
        </w:rPr>
        <w:t>業種が低下した。</w:t>
      </w:r>
      <w:r w:rsidR="00326123" w:rsidRPr="006153E3">
        <w:rPr>
          <w:rFonts w:asciiTheme="minorEastAsia" w:hAnsiTheme="minorEastAsia" w:hint="eastAsia"/>
          <w:sz w:val="20"/>
          <w:szCs w:val="20"/>
        </w:rPr>
        <w:t>非製造業でプラスの水準にある業種は</w:t>
      </w:r>
      <w:r w:rsidR="00741235">
        <w:rPr>
          <w:rFonts w:asciiTheme="minorEastAsia" w:hAnsiTheme="minorEastAsia" w:hint="eastAsia"/>
          <w:sz w:val="20"/>
          <w:szCs w:val="20"/>
        </w:rPr>
        <w:t>対事業所サービス業で</w:t>
      </w:r>
      <w:r w:rsidR="00326123" w:rsidRPr="006153E3">
        <w:rPr>
          <w:rFonts w:asciiTheme="minorEastAsia" w:hAnsiTheme="minorEastAsia" w:hint="eastAsia"/>
          <w:sz w:val="20"/>
          <w:szCs w:val="20"/>
        </w:rPr>
        <w:t>、前期差でみると、</w:t>
      </w:r>
      <w:r w:rsidR="000E310E">
        <w:rPr>
          <w:rFonts w:asciiTheme="minorEastAsia" w:hAnsiTheme="minorEastAsia" w:hint="eastAsia"/>
          <w:sz w:val="20"/>
          <w:szCs w:val="20"/>
        </w:rPr>
        <w:t>建設業</w:t>
      </w:r>
      <w:r w:rsidR="00C22643">
        <w:rPr>
          <w:rFonts w:asciiTheme="minorEastAsia" w:hAnsiTheme="minorEastAsia" w:hint="eastAsia"/>
          <w:sz w:val="20"/>
          <w:szCs w:val="20"/>
        </w:rPr>
        <w:t>、</w:t>
      </w:r>
      <w:r w:rsidR="000E310E">
        <w:rPr>
          <w:rFonts w:asciiTheme="minorEastAsia" w:hAnsiTheme="minorEastAsia" w:hint="eastAsia"/>
          <w:sz w:val="20"/>
          <w:szCs w:val="20"/>
        </w:rPr>
        <w:t>小売業</w:t>
      </w:r>
      <w:r w:rsidR="00C22643">
        <w:rPr>
          <w:rFonts w:asciiTheme="minorEastAsia" w:hAnsiTheme="minorEastAsia" w:hint="eastAsia"/>
          <w:sz w:val="20"/>
          <w:szCs w:val="20"/>
        </w:rPr>
        <w:t>、対事業所サービス業、情報通信・広告業</w:t>
      </w:r>
      <w:r w:rsidR="000E310E">
        <w:rPr>
          <w:rFonts w:asciiTheme="minorEastAsia" w:hAnsiTheme="minorEastAsia" w:hint="eastAsia"/>
          <w:sz w:val="20"/>
          <w:szCs w:val="20"/>
        </w:rPr>
        <w:t>が上昇、卸売業</w:t>
      </w:r>
      <w:r w:rsidR="00C22643">
        <w:rPr>
          <w:rFonts w:asciiTheme="minorEastAsia" w:hAnsiTheme="minorEastAsia" w:hint="eastAsia"/>
          <w:sz w:val="20"/>
          <w:szCs w:val="20"/>
        </w:rPr>
        <w:t>、飲食・宿泊業、対個人サービス業</w:t>
      </w:r>
      <w:r w:rsidR="000E310E">
        <w:rPr>
          <w:rFonts w:asciiTheme="minorEastAsia" w:hAnsiTheme="minorEastAsia" w:hint="eastAsia"/>
          <w:sz w:val="20"/>
          <w:szCs w:val="20"/>
        </w:rPr>
        <w:t>が低下となった。</w:t>
      </w:r>
    </w:p>
    <w:p w:rsidR="00133527" w:rsidRPr="006153E3" w:rsidRDefault="00E157ED" w:rsidP="00DB383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326123" w:rsidRPr="006153E3">
        <w:rPr>
          <w:rFonts w:asciiTheme="minorEastAsia" w:hAnsiTheme="minorEastAsia" w:hint="eastAsia"/>
          <w:sz w:val="20"/>
          <w:szCs w:val="20"/>
        </w:rPr>
        <w:t>全業種に共通して「</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製造業では「生産設備の不足</w:t>
      </w:r>
      <w:r w:rsidR="00697371">
        <w:rPr>
          <w:rFonts w:asciiTheme="minorEastAsia" w:hAnsiTheme="minorEastAsia" w:hint="eastAsia"/>
          <w:sz w:val="20"/>
          <w:szCs w:val="20"/>
        </w:rPr>
        <w:t>・</w:t>
      </w:r>
      <w:r w:rsidR="00326123" w:rsidRPr="006153E3">
        <w:rPr>
          <w:rFonts w:asciiTheme="minorEastAsia" w:hAnsiTheme="minorEastAsia" w:hint="eastAsia"/>
          <w:sz w:val="20"/>
          <w:szCs w:val="20"/>
        </w:rPr>
        <w:t>老朽化」、建設業</w:t>
      </w:r>
      <w:r w:rsidR="00697371">
        <w:rPr>
          <w:rFonts w:asciiTheme="minorEastAsia" w:hAnsiTheme="minorEastAsia" w:hint="eastAsia"/>
          <w:sz w:val="20"/>
          <w:szCs w:val="20"/>
        </w:rPr>
        <w:t>で</w:t>
      </w:r>
      <w:r w:rsidR="00326123" w:rsidRPr="006153E3">
        <w:rPr>
          <w:rFonts w:asciiTheme="minorEastAsia" w:hAnsiTheme="minorEastAsia" w:hint="eastAsia"/>
          <w:sz w:val="20"/>
          <w:szCs w:val="20"/>
        </w:rPr>
        <w:t>は「</w:t>
      </w:r>
      <w:r w:rsidR="00697371">
        <w:rPr>
          <w:rFonts w:asciiTheme="minorEastAsia" w:hAnsiTheme="minorEastAsia" w:hint="eastAsia"/>
          <w:sz w:val="20"/>
          <w:szCs w:val="20"/>
        </w:rPr>
        <w:t>従業員の確保</w:t>
      </w:r>
      <w:r w:rsidR="00326123" w:rsidRPr="006153E3">
        <w:rPr>
          <w:rFonts w:asciiTheme="minorEastAsia" w:hAnsiTheme="minorEastAsia" w:hint="eastAsia"/>
          <w:sz w:val="20"/>
          <w:szCs w:val="20"/>
        </w:rPr>
        <w:t>難」、</w:t>
      </w:r>
      <w:r w:rsidR="00697371">
        <w:rPr>
          <w:rFonts w:asciiTheme="minorEastAsia" w:hAnsiTheme="minorEastAsia" w:hint="eastAsia"/>
          <w:sz w:val="20"/>
          <w:szCs w:val="20"/>
        </w:rPr>
        <w:t>卸売業では「販売単価の低下・上昇難」、</w:t>
      </w:r>
      <w:r w:rsidR="00326123" w:rsidRPr="006153E3">
        <w:rPr>
          <w:rFonts w:asciiTheme="minorEastAsia" w:hAnsiTheme="minorEastAsia" w:hint="eastAsia"/>
          <w:sz w:val="20"/>
          <w:szCs w:val="20"/>
        </w:rPr>
        <w:t>小売業</w:t>
      </w:r>
      <w:r w:rsidR="00697371">
        <w:rPr>
          <w:rFonts w:asciiTheme="minorEastAsia" w:hAnsiTheme="minorEastAsia" w:hint="eastAsia"/>
          <w:sz w:val="20"/>
          <w:szCs w:val="20"/>
        </w:rPr>
        <w:t>では「競争の激化」、</w:t>
      </w:r>
      <w:r w:rsidR="00326123" w:rsidRPr="006153E3">
        <w:rPr>
          <w:rFonts w:asciiTheme="minorEastAsia" w:hAnsiTheme="minorEastAsia" w:hint="eastAsia"/>
          <w:sz w:val="20"/>
          <w:szCs w:val="20"/>
        </w:rPr>
        <w:t>サービス業では</w:t>
      </w:r>
      <w:r w:rsidR="002F7204" w:rsidRPr="006153E3">
        <w:rPr>
          <w:rFonts w:asciiTheme="minorEastAsia" w:hAnsiTheme="minorEastAsia" w:hint="eastAsia"/>
          <w:sz w:val="20"/>
          <w:szCs w:val="20"/>
        </w:rPr>
        <w:t>利用者</w:t>
      </w:r>
      <w:r w:rsidR="00326123" w:rsidRPr="006153E3">
        <w:rPr>
          <w:rFonts w:asciiTheme="minorEastAsia" w:hAnsiTheme="minorEastAsia" w:hint="eastAsia"/>
          <w:sz w:val="20"/>
          <w:szCs w:val="20"/>
        </w:rPr>
        <w:t>及び消費者の</w:t>
      </w:r>
      <w:r w:rsidR="004545C6">
        <w:rPr>
          <w:rFonts w:asciiTheme="minorEastAsia" w:hAnsiTheme="minorEastAsia" w:hint="eastAsia"/>
          <w:sz w:val="20"/>
          <w:szCs w:val="20"/>
        </w:rPr>
        <w:t>「</w:t>
      </w:r>
      <w:r w:rsidR="00D34256" w:rsidRPr="006153E3">
        <w:rPr>
          <w:rFonts w:asciiTheme="minorEastAsia" w:hAnsiTheme="minorEastAsia" w:hint="eastAsia"/>
          <w:sz w:val="20"/>
          <w:szCs w:val="20"/>
        </w:rPr>
        <w:t>ニーズの変化への対応</w:t>
      </w:r>
      <w:r w:rsidR="00326123" w:rsidRPr="006153E3">
        <w:rPr>
          <w:rFonts w:asciiTheme="minorEastAsia" w:hAnsiTheme="minorEastAsia" w:hint="eastAsia"/>
          <w:sz w:val="20"/>
          <w:szCs w:val="20"/>
        </w:rPr>
        <w:t>」</w:t>
      </w:r>
      <w:r w:rsidR="00697371">
        <w:rPr>
          <w:rFonts w:asciiTheme="minorEastAsia" w:hAnsiTheme="minorEastAsia" w:hint="eastAsia"/>
          <w:sz w:val="20"/>
          <w:szCs w:val="20"/>
        </w:rPr>
        <w:t>など</w:t>
      </w:r>
      <w:r w:rsidR="00D34256" w:rsidRPr="006153E3">
        <w:rPr>
          <w:rFonts w:asciiTheme="minorEastAsia" w:hAnsiTheme="minorEastAsia" w:hint="eastAsia"/>
          <w:sz w:val="20"/>
          <w:szCs w:val="20"/>
        </w:rPr>
        <w:t>が大きな課題となっ</w:t>
      </w:r>
      <w:r w:rsidR="002F7204" w:rsidRPr="006153E3">
        <w:rPr>
          <w:rFonts w:asciiTheme="minorEastAsia" w:hAnsiTheme="minorEastAsia" w:hint="eastAsia"/>
          <w:sz w:val="20"/>
          <w:szCs w:val="20"/>
        </w:rPr>
        <w:t>ている</w:t>
      </w:r>
      <w:r w:rsidR="000F659A" w:rsidRPr="006153E3">
        <w:rPr>
          <w:rFonts w:asciiTheme="minorEastAsia" w:hAnsiTheme="minorEastAsia" w:hint="eastAsia"/>
          <w:sz w:val="20"/>
          <w:szCs w:val="20"/>
        </w:rPr>
        <w:t>。</w:t>
      </w:r>
    </w:p>
    <w:p w:rsidR="0009578E" w:rsidRPr="007F3BA2" w:rsidRDefault="0009578E" w:rsidP="007F3BA2">
      <w:pPr>
        <w:snapToGrid w:val="0"/>
        <w:ind w:firstLineChars="100" w:firstLine="200"/>
        <w:rPr>
          <w:rFonts w:asciiTheme="minorEastAsia" w:hAnsiTheme="minorEastAsia"/>
          <w:sz w:val="20"/>
          <w:szCs w:val="20"/>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EF09F5">
        <w:rPr>
          <w:rFonts w:asciiTheme="majorEastAsia" w:eastAsiaTheme="majorEastAsia" w:hAnsiTheme="majorEastAsia" w:hint="eastAsia"/>
          <w:sz w:val="20"/>
          <w:szCs w:val="20"/>
        </w:rPr>
        <w:t>10</w:t>
      </w:r>
      <w:r w:rsidR="00283B37" w:rsidRPr="00DB3834">
        <w:rPr>
          <w:rFonts w:asciiTheme="majorEastAsia" w:eastAsiaTheme="majorEastAsia" w:hAnsiTheme="majorEastAsia" w:hint="eastAsia"/>
          <w:sz w:val="20"/>
          <w:szCs w:val="20"/>
        </w:rPr>
        <w:t>～</w:t>
      </w:r>
      <w:r w:rsidR="00EF09F5">
        <w:rPr>
          <w:rFonts w:asciiTheme="majorEastAsia" w:eastAsiaTheme="majorEastAsia" w:hAnsiTheme="majorEastAsia" w:hint="eastAsia"/>
          <w:sz w:val="20"/>
          <w:szCs w:val="20"/>
        </w:rPr>
        <w:t>12</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FE1CF9" w:rsidTr="008E7E9E">
        <w:trPr>
          <w:trHeight w:val="127"/>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18.</w:t>
            </w:r>
            <w:r w:rsidR="00EF09F5" w:rsidRPr="00EF09F5">
              <w:rPr>
                <w:rFonts w:asciiTheme="minorEastAsia" w:hAnsiTheme="minorEastAsia" w:cs="メイリオ" w:hint="eastAsia"/>
                <w:sz w:val="20"/>
                <w:szCs w:val="20"/>
              </w:rPr>
              <w:t>7</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sidRPr="00EF09F5">
              <w:rPr>
                <w:rFonts w:asciiTheme="minorEastAsia" w:hAnsiTheme="minorEastAsia" w:cs="メイリオ" w:hint="eastAsia"/>
                <w:sz w:val="20"/>
                <w:szCs w:val="20"/>
              </w:rPr>
              <w:t>▲0.5</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－1</w:t>
            </w:r>
            <w:r w:rsidR="00EF09F5">
              <w:rPr>
                <w:rFonts w:asciiTheme="minorEastAsia" w:hAnsiTheme="minorEastAsia" w:cs="メイリオ" w:hint="eastAsia"/>
                <w:sz w:val="20"/>
                <w:szCs w:val="20"/>
              </w:rPr>
              <w:t>7.1</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1.5</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20.0</w:t>
            </w:r>
          </w:p>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(▲0.2)</w:t>
            </w:r>
          </w:p>
        </w:tc>
      </w:tr>
      <w:tr w:rsidR="00FE1CF9" w:rsidTr="008E7E9E">
        <w:trPr>
          <w:trHeight w:val="150"/>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15.</w:t>
            </w:r>
            <w:r w:rsidR="00EF09F5" w:rsidRPr="00EF09F5">
              <w:rPr>
                <w:rFonts w:asciiTheme="minorEastAsia" w:hAnsiTheme="minorEastAsia" w:cs="メイリオ" w:hint="eastAsia"/>
                <w:sz w:val="20"/>
                <w:szCs w:val="20"/>
              </w:rPr>
              <w:t>5</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sidRPr="00EF09F5">
              <w:rPr>
                <w:rFonts w:asciiTheme="minorEastAsia" w:hAnsiTheme="minorEastAsia" w:cs="メイリオ" w:hint="eastAsia"/>
                <w:sz w:val="20"/>
                <w:szCs w:val="20"/>
              </w:rPr>
              <w:t>0.1</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12.2</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3.8</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－1</w:t>
            </w:r>
            <w:r w:rsidR="00EF09F5">
              <w:rPr>
                <w:rFonts w:asciiTheme="minorEastAsia" w:hAnsiTheme="minorEastAsia" w:cs="メイリオ" w:hint="eastAsia"/>
                <w:sz w:val="20"/>
                <w:szCs w:val="20"/>
              </w:rPr>
              <w:t>6</w:t>
            </w:r>
            <w:r w:rsidR="00124242" w:rsidRPr="00EF09F5">
              <w:rPr>
                <w:rFonts w:asciiTheme="minorEastAsia" w:hAnsiTheme="minorEastAsia" w:cs="メイリオ" w:hint="eastAsia"/>
                <w:sz w:val="20"/>
                <w:szCs w:val="20"/>
              </w:rPr>
              <w:t>.5</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2.0</w:t>
            </w:r>
            <w:r w:rsidRPr="00EF09F5">
              <w:rPr>
                <w:rFonts w:asciiTheme="minorEastAsia" w:hAnsiTheme="minorEastAsia" w:cs="メイリオ" w:hint="eastAsia"/>
                <w:sz w:val="20"/>
                <w:szCs w:val="20"/>
              </w:rPr>
              <w:t>)</w:t>
            </w:r>
          </w:p>
        </w:tc>
      </w:tr>
      <w:tr w:rsidR="00FE1CF9" w:rsidTr="008E7E9E">
        <w:trPr>
          <w:trHeight w:val="285"/>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19.</w:t>
            </w:r>
            <w:r w:rsidR="00EF09F5" w:rsidRPr="00EF09F5">
              <w:rPr>
                <w:rFonts w:asciiTheme="minorEastAsia" w:hAnsiTheme="minorEastAsia" w:cs="メイリオ" w:hint="eastAsia"/>
                <w:sz w:val="20"/>
                <w:szCs w:val="20"/>
              </w:rPr>
              <w:t>6</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sidRPr="00EF09F5">
              <w:rPr>
                <w:rFonts w:asciiTheme="minorEastAsia" w:hAnsiTheme="minorEastAsia" w:cs="メイリオ" w:hint="eastAsia"/>
                <w:sz w:val="20"/>
                <w:szCs w:val="20"/>
              </w:rPr>
              <w:t>▲0.6</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w:t>
            </w:r>
            <w:r w:rsidR="00EF09F5">
              <w:rPr>
                <w:rFonts w:asciiTheme="minorEastAsia" w:hAnsiTheme="minorEastAsia" w:cs="メイリオ" w:hint="eastAsia"/>
                <w:sz w:val="20"/>
                <w:szCs w:val="20"/>
              </w:rPr>
              <w:t>8.8</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0.8</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21.2</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▲0.6</w:t>
            </w:r>
            <w:r w:rsidRPr="00EF09F5">
              <w:rPr>
                <w:rFonts w:asciiTheme="minorEastAsia" w:hAnsiTheme="minorEastAsia" w:cs="メイリオ" w:hint="eastAsia"/>
                <w:sz w:val="20"/>
                <w:szCs w:val="20"/>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482803" w:rsidRDefault="005664EA" w:rsidP="00271EE3">
      <w:pPr>
        <w:snapToGrid w:val="0"/>
        <w:ind w:left="320" w:hangingChars="200" w:hanging="320"/>
        <w:rPr>
          <w:rFonts w:asciiTheme="minorEastAsia" w:hAnsiTheme="minorEastAsia"/>
          <w:sz w:val="16"/>
          <w:szCs w:val="16"/>
        </w:rPr>
        <w:sectPr w:rsidR="00482803"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1137F4" w:rsidRDefault="00F35BCC" w:rsidP="00C11539">
      <w:pPr>
        <w:jc w:val="center"/>
        <w:rPr>
          <w:rFonts w:asciiTheme="majorEastAsia" w:eastAsiaTheme="majorEastAsia" w:hAnsiTheme="majorEastAsia"/>
          <w:sz w:val="20"/>
          <w:szCs w:val="20"/>
        </w:rPr>
      </w:pPr>
      <w:r>
        <w:rPr>
          <w:noProof/>
        </w:rPr>
        <w:drawing>
          <wp:inline distT="0" distB="0" distL="0" distR="0" wp14:anchorId="7DB7A1B3" wp14:editId="08C348AA">
            <wp:extent cx="5400675" cy="124777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FD6C1B">
      <w:pPr>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697371">
        <w:rPr>
          <w:rFonts w:asciiTheme="minorEastAsia" w:hAnsiTheme="minorEastAsia" w:hint="eastAsia"/>
          <w:sz w:val="16"/>
          <w:szCs w:val="16"/>
        </w:rPr>
        <w:t>6</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16</w:t>
      </w:r>
      <w:r w:rsidRPr="00D34256">
        <w:rPr>
          <w:rFonts w:asciiTheme="minorEastAsia" w:hAnsiTheme="minorEastAsia" w:hint="eastAsia"/>
          <w:sz w:val="16"/>
          <w:szCs w:val="16"/>
        </w:rPr>
        <w:t>年</w:t>
      </w:r>
      <w:r w:rsidR="00697371">
        <w:rPr>
          <w:rFonts w:asciiTheme="minorEastAsia" w:hAnsiTheme="minorEastAsia" w:hint="eastAsia"/>
          <w:sz w:val="16"/>
          <w:szCs w:val="16"/>
        </w:rPr>
        <w:t>10</w:t>
      </w:r>
      <w:r w:rsidRPr="00D34256">
        <w:rPr>
          <w:rFonts w:asciiTheme="minorEastAsia" w:hAnsiTheme="minorEastAsia" w:hint="eastAsia"/>
          <w:sz w:val="16"/>
          <w:szCs w:val="16"/>
        </w:rPr>
        <w:t>-</w:t>
      </w:r>
      <w:r w:rsidR="00697371">
        <w:rPr>
          <w:rFonts w:asciiTheme="minorEastAsia" w:hAnsiTheme="minorEastAsia" w:hint="eastAsia"/>
          <w:sz w:val="16"/>
          <w:szCs w:val="16"/>
        </w:rPr>
        <w:t>12</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CF5F87" w:rsidRPr="0087683B" w:rsidRDefault="00B343D1" w:rsidP="00B343D1">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8F1BBB" w:rsidRPr="0087683B">
        <w:rPr>
          <w:rFonts w:asciiTheme="majorEastAsia" w:eastAsiaTheme="majorEastAsia" w:hAnsiTheme="majorEastAsia" w:hint="eastAsia"/>
          <w:sz w:val="20"/>
          <w:szCs w:val="20"/>
        </w:rPr>
        <w:t>２</w:t>
      </w:r>
      <w:r w:rsidRPr="0087683B">
        <w:rPr>
          <w:rFonts w:asciiTheme="majorEastAsia" w:eastAsiaTheme="majorEastAsia" w:hAnsiTheme="majorEastAsia" w:hint="eastAsia"/>
          <w:sz w:val="20"/>
          <w:szCs w:val="20"/>
        </w:rPr>
        <w:t xml:space="preserve">　</w:t>
      </w:r>
      <w:r w:rsidR="00E06172">
        <w:rPr>
          <w:rFonts w:asciiTheme="majorEastAsia" w:eastAsiaTheme="majorEastAsia" w:hAnsiTheme="majorEastAsia" w:hint="eastAsia"/>
          <w:sz w:val="20"/>
          <w:szCs w:val="20"/>
        </w:rPr>
        <w:t>10</w:t>
      </w:r>
      <w:r w:rsidR="00697371">
        <w:rPr>
          <w:rFonts w:asciiTheme="majorEastAsia" w:eastAsiaTheme="majorEastAsia" w:hAnsiTheme="majorEastAsia" w:hint="eastAsia"/>
          <w:sz w:val="20"/>
          <w:szCs w:val="20"/>
        </w:rPr>
        <w:t>～</w:t>
      </w:r>
      <w:r w:rsidR="00E06172">
        <w:rPr>
          <w:rFonts w:asciiTheme="majorEastAsia" w:eastAsiaTheme="majorEastAsia" w:hAnsiTheme="majorEastAsia" w:hint="eastAsia"/>
          <w:sz w:val="20"/>
          <w:szCs w:val="20"/>
        </w:rPr>
        <w:t>12</w:t>
      </w:r>
      <w:r w:rsidR="00697371">
        <w:rPr>
          <w:rFonts w:asciiTheme="majorEastAsia" w:eastAsiaTheme="majorEastAsia" w:hAnsiTheme="majorEastAsia" w:hint="eastAsia"/>
          <w:sz w:val="20"/>
          <w:szCs w:val="20"/>
        </w:rPr>
        <w:t>月期の大阪府</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2551"/>
        <w:gridCol w:w="2552"/>
      </w:tblGrid>
      <w:tr w:rsidR="003347A5" w:rsidTr="00244F75">
        <w:trPr>
          <w:trHeight w:val="7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244F75">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410"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551" w:type="dxa"/>
            <w:tcBorders>
              <w:bottom w:val="dotted" w:sz="4" w:space="0" w:color="auto"/>
            </w:tcBorders>
            <w:vAlign w:val="center"/>
          </w:tcPr>
          <w:p w:rsidR="008F1BBB" w:rsidRPr="006153E3" w:rsidRDefault="007F3BA2" w:rsidP="007F3BA2">
            <w:pPr>
              <w:snapToGrid w:val="0"/>
              <w:rPr>
                <w:rFonts w:asciiTheme="minorEastAsia" w:hAnsiTheme="minorEastAsia"/>
                <w:sz w:val="18"/>
                <w:szCs w:val="18"/>
              </w:rPr>
            </w:pPr>
            <w:r w:rsidRPr="006153E3">
              <w:rPr>
                <w:rFonts w:asciiTheme="minorEastAsia" w:hAnsiTheme="minorEastAsia" w:hint="eastAsia"/>
                <w:sz w:val="18"/>
                <w:szCs w:val="18"/>
              </w:rPr>
              <w:t>生産設備の不足･老朽化</w:t>
            </w:r>
          </w:p>
        </w:tc>
        <w:tc>
          <w:tcPr>
            <w:tcW w:w="2552" w:type="dxa"/>
            <w:tcBorders>
              <w:bottom w:val="dotted" w:sz="4" w:space="0" w:color="auto"/>
            </w:tcBorders>
            <w:vAlign w:val="center"/>
          </w:tcPr>
          <w:p w:rsidR="008F1BBB" w:rsidRPr="006153E3" w:rsidRDefault="007F3BA2" w:rsidP="00482803">
            <w:pPr>
              <w:snapToGrid w:val="0"/>
              <w:rPr>
                <w:rFonts w:asciiTheme="minorEastAsia" w:hAnsiTheme="minorEastAsia"/>
                <w:sz w:val="18"/>
                <w:szCs w:val="18"/>
              </w:rPr>
            </w:pPr>
            <w:r w:rsidRPr="007F3BA2">
              <w:rPr>
                <w:rFonts w:asciiTheme="minorEastAsia" w:hAnsiTheme="minorEastAsia" w:hint="eastAsia"/>
                <w:sz w:val="18"/>
                <w:szCs w:val="18"/>
              </w:rPr>
              <w:t>製品ニーズの変化への対応</w:t>
            </w:r>
          </w:p>
        </w:tc>
      </w:tr>
      <w:tr w:rsidR="008F1BBB" w:rsidTr="00244F75">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6153E3" w:rsidRDefault="007F3BA2" w:rsidP="007F3BA2">
            <w:pPr>
              <w:snapToGrid w:val="0"/>
              <w:jc w:val="right"/>
              <w:rPr>
                <w:rFonts w:asciiTheme="minorEastAsia" w:hAnsiTheme="minorEastAsia"/>
                <w:sz w:val="20"/>
                <w:szCs w:val="20"/>
              </w:rPr>
            </w:pPr>
            <w:r>
              <w:rPr>
                <w:rFonts w:asciiTheme="minorEastAsia" w:hAnsiTheme="minorEastAsia" w:hint="eastAsia"/>
                <w:sz w:val="20"/>
                <w:szCs w:val="20"/>
              </w:rPr>
              <w:t>27.7（</w:t>
            </w:r>
            <w:r w:rsidR="00482803" w:rsidRPr="006153E3">
              <w:rPr>
                <w:rFonts w:asciiTheme="minorEastAsia" w:hAnsiTheme="minorEastAsia" w:hint="eastAsia"/>
                <w:sz w:val="20"/>
                <w:szCs w:val="20"/>
              </w:rPr>
              <w:t>2</w:t>
            </w:r>
            <w:r w:rsidR="006153E3" w:rsidRPr="006153E3">
              <w:rPr>
                <w:rFonts w:asciiTheme="minorEastAsia" w:hAnsiTheme="minorEastAsia" w:hint="eastAsia"/>
                <w:sz w:val="20"/>
                <w:szCs w:val="20"/>
              </w:rPr>
              <w:t>9</w:t>
            </w:r>
            <w:r w:rsidR="00177A1B" w:rsidRPr="006153E3">
              <w:rPr>
                <w:rFonts w:asciiTheme="minorEastAsia" w:hAnsiTheme="minorEastAsia" w:hint="eastAsia"/>
                <w:sz w:val="20"/>
                <w:szCs w:val="20"/>
              </w:rPr>
              <w:t>.9</w:t>
            </w:r>
            <w:r>
              <w:rPr>
                <w:rFonts w:asciiTheme="minorEastAsia" w:hAnsiTheme="minorEastAsia" w:hint="eastAsia"/>
                <w:sz w:val="20"/>
                <w:szCs w:val="20"/>
              </w:rPr>
              <w:t>）</w:t>
            </w:r>
          </w:p>
        </w:tc>
        <w:tc>
          <w:tcPr>
            <w:tcW w:w="2551" w:type="dxa"/>
            <w:tcBorders>
              <w:top w:val="dotted" w:sz="4" w:space="0" w:color="auto"/>
            </w:tcBorders>
            <w:vAlign w:val="center"/>
          </w:tcPr>
          <w:p w:rsidR="008F1BBB" w:rsidRPr="006153E3" w:rsidRDefault="007F3BA2" w:rsidP="007F3BA2">
            <w:pPr>
              <w:snapToGrid w:val="0"/>
              <w:jc w:val="right"/>
              <w:rPr>
                <w:rFonts w:asciiTheme="minorEastAsia" w:hAnsiTheme="minorEastAsia"/>
                <w:sz w:val="20"/>
                <w:szCs w:val="20"/>
              </w:rPr>
            </w:pPr>
            <w:r>
              <w:rPr>
                <w:rFonts w:asciiTheme="minorEastAsia" w:hAnsiTheme="minorEastAsia" w:hint="eastAsia"/>
                <w:sz w:val="20"/>
                <w:szCs w:val="20"/>
              </w:rPr>
              <w:t>13.3</w:t>
            </w:r>
            <w:r w:rsidR="00482803" w:rsidRPr="006153E3">
              <w:rPr>
                <w:rFonts w:asciiTheme="minorEastAsia" w:hAnsiTheme="minorEastAsia" w:hint="eastAsia"/>
                <w:sz w:val="20"/>
                <w:szCs w:val="20"/>
              </w:rPr>
              <w:t>（</w:t>
            </w:r>
            <w:r>
              <w:rPr>
                <w:rFonts w:asciiTheme="minorEastAsia" w:hAnsiTheme="minorEastAsia" w:hint="eastAsia"/>
                <w:sz w:val="20"/>
                <w:szCs w:val="20"/>
              </w:rPr>
              <w:t>11.1</w:t>
            </w:r>
            <w:r w:rsidR="006D3D49" w:rsidRPr="006153E3">
              <w:rPr>
                <w:rFonts w:asciiTheme="minorEastAsia" w:hAnsiTheme="minorEastAsia" w:hint="eastAsia"/>
                <w:sz w:val="20"/>
                <w:szCs w:val="20"/>
              </w:rPr>
              <w:t>）</w:t>
            </w:r>
          </w:p>
        </w:tc>
        <w:tc>
          <w:tcPr>
            <w:tcW w:w="2552" w:type="dxa"/>
            <w:tcBorders>
              <w:top w:val="dotted" w:sz="4" w:space="0" w:color="auto"/>
            </w:tcBorders>
            <w:vAlign w:val="center"/>
          </w:tcPr>
          <w:p w:rsidR="008F1BBB" w:rsidRPr="006153E3" w:rsidRDefault="007F3BA2" w:rsidP="007F3BA2">
            <w:pPr>
              <w:snapToGrid w:val="0"/>
              <w:jc w:val="right"/>
              <w:rPr>
                <w:rFonts w:asciiTheme="minorEastAsia" w:hAnsiTheme="minorEastAsia"/>
                <w:sz w:val="20"/>
                <w:szCs w:val="20"/>
              </w:rPr>
            </w:pPr>
            <w:r>
              <w:rPr>
                <w:rFonts w:asciiTheme="minorEastAsia" w:hAnsiTheme="minorEastAsia" w:hint="eastAsia"/>
                <w:sz w:val="20"/>
                <w:szCs w:val="20"/>
              </w:rPr>
              <w:t>11.6</w:t>
            </w:r>
            <w:r w:rsidR="00482803" w:rsidRPr="006153E3">
              <w:rPr>
                <w:rFonts w:asciiTheme="minorEastAsia" w:hAnsiTheme="minorEastAsia" w:hint="eastAsia"/>
                <w:sz w:val="20"/>
                <w:szCs w:val="20"/>
              </w:rPr>
              <w:t>（</w:t>
            </w:r>
            <w:r>
              <w:rPr>
                <w:rFonts w:asciiTheme="minorEastAsia" w:hAnsiTheme="minorEastAsia" w:hint="eastAsia"/>
                <w:sz w:val="20"/>
                <w:szCs w:val="20"/>
              </w:rPr>
              <w:t>14.5</w:t>
            </w:r>
            <w:r w:rsidR="006D3D49" w:rsidRPr="006153E3">
              <w:rPr>
                <w:rFonts w:asciiTheme="minorEastAsia" w:hAnsiTheme="minorEastAsia" w:hint="eastAsia"/>
                <w:sz w:val="20"/>
                <w:szCs w:val="20"/>
              </w:rPr>
              <w:t>）</w:t>
            </w:r>
          </w:p>
        </w:tc>
      </w:tr>
      <w:tr w:rsidR="008F1BBB" w:rsidTr="00244F75">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410" w:type="dxa"/>
            <w:tcBorders>
              <w:bottom w:val="dotted" w:sz="4" w:space="0" w:color="auto"/>
            </w:tcBorders>
            <w:vAlign w:val="center"/>
          </w:tcPr>
          <w:p w:rsidR="008F1BBB" w:rsidRPr="006153E3" w:rsidRDefault="00015E22" w:rsidP="0092287C">
            <w:pPr>
              <w:snapToGrid w:val="0"/>
              <w:rPr>
                <w:rFonts w:asciiTheme="minorEastAsia" w:hAnsiTheme="minorEastAsia"/>
                <w:sz w:val="18"/>
                <w:szCs w:val="18"/>
              </w:rPr>
            </w:pPr>
            <w:r w:rsidRPr="006153E3">
              <w:rPr>
                <w:rFonts w:asciiTheme="minorEastAsia" w:hAnsiTheme="minorEastAsia" w:hint="eastAsia"/>
                <w:sz w:val="18"/>
                <w:szCs w:val="18"/>
              </w:rPr>
              <w:t>官公需</w:t>
            </w:r>
            <w:r w:rsidR="002D6ABD" w:rsidRPr="006153E3">
              <w:rPr>
                <w:rFonts w:asciiTheme="minorEastAsia" w:hAnsiTheme="minorEastAsia" w:hint="eastAsia"/>
                <w:sz w:val="18"/>
                <w:szCs w:val="18"/>
              </w:rPr>
              <w:t>要の停滞</w:t>
            </w:r>
          </w:p>
        </w:tc>
        <w:tc>
          <w:tcPr>
            <w:tcW w:w="2551" w:type="dxa"/>
            <w:tcBorders>
              <w:bottom w:val="dotted" w:sz="4" w:space="0" w:color="auto"/>
            </w:tcBorders>
            <w:vAlign w:val="center"/>
          </w:tcPr>
          <w:p w:rsidR="008F1BBB" w:rsidRPr="006153E3" w:rsidRDefault="00015E22" w:rsidP="0092287C">
            <w:pPr>
              <w:snapToGrid w:val="0"/>
              <w:rPr>
                <w:rFonts w:asciiTheme="minorEastAsia" w:hAnsiTheme="minorEastAsia"/>
                <w:sz w:val="18"/>
                <w:szCs w:val="18"/>
              </w:rPr>
            </w:pPr>
            <w:r w:rsidRPr="006153E3">
              <w:rPr>
                <w:rFonts w:asciiTheme="minorEastAsia" w:hAnsiTheme="minorEastAsia" w:hint="eastAsia"/>
                <w:sz w:val="18"/>
                <w:szCs w:val="18"/>
              </w:rPr>
              <w:t>民間</w:t>
            </w:r>
            <w:r w:rsidR="008F1BBB" w:rsidRPr="006153E3">
              <w:rPr>
                <w:rFonts w:asciiTheme="minorEastAsia" w:hAnsiTheme="minorEastAsia" w:hint="eastAsia"/>
                <w:sz w:val="18"/>
                <w:szCs w:val="18"/>
              </w:rPr>
              <w:t>需要の停滞</w:t>
            </w:r>
          </w:p>
        </w:tc>
        <w:tc>
          <w:tcPr>
            <w:tcW w:w="2552" w:type="dxa"/>
            <w:tcBorders>
              <w:bottom w:val="dotted" w:sz="4" w:space="0" w:color="auto"/>
            </w:tcBorders>
            <w:vAlign w:val="center"/>
          </w:tcPr>
          <w:p w:rsidR="008F1BBB" w:rsidRPr="006153E3" w:rsidRDefault="00FB1A16" w:rsidP="00FB1A16">
            <w:pPr>
              <w:snapToGrid w:val="0"/>
              <w:rPr>
                <w:rFonts w:asciiTheme="minorEastAsia" w:hAnsiTheme="minorEastAsia"/>
                <w:sz w:val="18"/>
                <w:szCs w:val="18"/>
              </w:rPr>
            </w:pPr>
            <w:r>
              <w:rPr>
                <w:rFonts w:asciiTheme="minorEastAsia" w:hAnsiTheme="minorEastAsia" w:hint="eastAsia"/>
                <w:sz w:val="18"/>
                <w:szCs w:val="18"/>
              </w:rPr>
              <w:t>請負単価の低下・上昇難</w:t>
            </w:r>
          </w:p>
        </w:tc>
      </w:tr>
      <w:tr w:rsidR="008F1BBB" w:rsidTr="00244F75">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6153E3" w:rsidRDefault="007F3BA2" w:rsidP="007F3BA2">
            <w:pPr>
              <w:snapToGrid w:val="0"/>
              <w:jc w:val="right"/>
              <w:rPr>
                <w:rFonts w:asciiTheme="minorEastAsia" w:hAnsiTheme="minorEastAsia"/>
                <w:sz w:val="20"/>
                <w:szCs w:val="20"/>
              </w:rPr>
            </w:pPr>
            <w:r>
              <w:rPr>
                <w:rFonts w:asciiTheme="minorEastAsia" w:hAnsiTheme="minorEastAsia" w:hint="eastAsia"/>
                <w:sz w:val="20"/>
                <w:szCs w:val="20"/>
              </w:rPr>
              <w:t>18.2</w:t>
            </w:r>
            <w:r w:rsidR="00482803" w:rsidRPr="006153E3">
              <w:rPr>
                <w:rFonts w:asciiTheme="minorEastAsia" w:hAnsiTheme="minorEastAsia" w:hint="eastAsia"/>
                <w:sz w:val="20"/>
                <w:szCs w:val="20"/>
              </w:rPr>
              <w:t>（</w:t>
            </w:r>
            <w:r>
              <w:rPr>
                <w:rFonts w:asciiTheme="minorEastAsia" w:hAnsiTheme="minorEastAsia" w:hint="eastAsia"/>
                <w:sz w:val="20"/>
                <w:szCs w:val="20"/>
              </w:rPr>
              <w:t>20.8</w:t>
            </w:r>
            <w:r w:rsidR="006D3D49" w:rsidRPr="006153E3">
              <w:rPr>
                <w:rFonts w:asciiTheme="minorEastAsia" w:hAnsiTheme="minorEastAsia" w:hint="eastAsia"/>
                <w:sz w:val="20"/>
                <w:szCs w:val="20"/>
              </w:rPr>
              <w:t>）</w:t>
            </w:r>
          </w:p>
        </w:tc>
        <w:tc>
          <w:tcPr>
            <w:tcW w:w="2551" w:type="dxa"/>
            <w:tcBorders>
              <w:top w:val="dotted" w:sz="4" w:space="0" w:color="auto"/>
            </w:tcBorders>
            <w:vAlign w:val="center"/>
          </w:tcPr>
          <w:p w:rsidR="008F1BBB" w:rsidRPr="006153E3" w:rsidRDefault="00FB1A16" w:rsidP="00FB1A16">
            <w:pPr>
              <w:snapToGrid w:val="0"/>
              <w:jc w:val="right"/>
              <w:rPr>
                <w:rFonts w:asciiTheme="minorEastAsia" w:hAnsiTheme="minorEastAsia"/>
                <w:sz w:val="20"/>
                <w:szCs w:val="20"/>
              </w:rPr>
            </w:pPr>
            <w:r>
              <w:rPr>
                <w:rFonts w:asciiTheme="minorEastAsia" w:hAnsiTheme="minorEastAsia" w:hint="eastAsia"/>
                <w:sz w:val="20"/>
                <w:szCs w:val="20"/>
              </w:rPr>
              <w:t>16.1（</w:t>
            </w:r>
            <w:r w:rsidR="006153E3" w:rsidRPr="006153E3">
              <w:rPr>
                <w:rFonts w:asciiTheme="minorEastAsia" w:hAnsiTheme="minorEastAsia" w:hint="eastAsia"/>
                <w:sz w:val="20"/>
                <w:szCs w:val="20"/>
              </w:rPr>
              <w:t>18.1</w:t>
            </w:r>
            <w:r w:rsidR="00482803" w:rsidRPr="006153E3">
              <w:rPr>
                <w:rFonts w:asciiTheme="minorEastAsia" w:hAnsiTheme="minorEastAsia" w:hint="eastAsia"/>
                <w:sz w:val="20"/>
                <w:szCs w:val="20"/>
              </w:rPr>
              <w:t>）</w:t>
            </w:r>
          </w:p>
        </w:tc>
        <w:tc>
          <w:tcPr>
            <w:tcW w:w="2552" w:type="dxa"/>
            <w:tcBorders>
              <w:top w:val="dotted" w:sz="4" w:space="0" w:color="auto"/>
            </w:tcBorders>
            <w:vAlign w:val="center"/>
          </w:tcPr>
          <w:p w:rsidR="008F1BBB" w:rsidRPr="006153E3" w:rsidRDefault="00FB1A16" w:rsidP="00FB1A16">
            <w:pPr>
              <w:snapToGrid w:val="0"/>
              <w:jc w:val="right"/>
              <w:rPr>
                <w:rFonts w:asciiTheme="minorEastAsia" w:hAnsiTheme="minorEastAsia"/>
                <w:sz w:val="20"/>
                <w:szCs w:val="20"/>
              </w:rPr>
            </w:pPr>
            <w:r>
              <w:rPr>
                <w:rFonts w:asciiTheme="minorEastAsia" w:hAnsiTheme="minorEastAsia" w:hint="eastAsia"/>
                <w:sz w:val="20"/>
                <w:szCs w:val="20"/>
              </w:rPr>
              <w:t>12.3</w:t>
            </w:r>
            <w:r w:rsidR="00482803" w:rsidRPr="006153E3">
              <w:rPr>
                <w:rFonts w:asciiTheme="minorEastAsia" w:hAnsiTheme="minorEastAsia" w:hint="eastAsia"/>
                <w:sz w:val="20"/>
                <w:szCs w:val="20"/>
              </w:rPr>
              <w:t>（</w:t>
            </w:r>
            <w:r>
              <w:rPr>
                <w:rFonts w:asciiTheme="minorEastAsia" w:hAnsiTheme="minorEastAsia" w:hint="eastAsia"/>
                <w:sz w:val="20"/>
                <w:szCs w:val="20"/>
              </w:rPr>
              <w:t>10.6</w:t>
            </w:r>
            <w:r w:rsidR="00482803" w:rsidRPr="006153E3">
              <w:rPr>
                <w:rFonts w:asciiTheme="minorEastAsia" w:hAnsiTheme="minorEastAsia" w:hint="eastAsia"/>
                <w:sz w:val="20"/>
                <w:szCs w:val="20"/>
              </w:rPr>
              <w:t>）</w:t>
            </w:r>
          </w:p>
        </w:tc>
      </w:tr>
      <w:tr w:rsidR="008F1BBB" w:rsidTr="00244F75">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410"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1" w:type="dxa"/>
            <w:tcBorders>
              <w:bottom w:val="dotted" w:sz="4" w:space="0" w:color="auto"/>
            </w:tcBorders>
            <w:vAlign w:val="center"/>
          </w:tcPr>
          <w:p w:rsidR="008F1BBB" w:rsidRPr="00CC63A8" w:rsidRDefault="00177A1B" w:rsidP="00177A1B">
            <w:pPr>
              <w:snapToGrid w:val="0"/>
              <w:rPr>
                <w:rFonts w:asciiTheme="minorEastAsia" w:hAnsiTheme="minorEastAsia"/>
                <w:sz w:val="18"/>
                <w:szCs w:val="18"/>
              </w:rPr>
            </w:pPr>
            <w:r w:rsidRPr="00CC63A8">
              <w:rPr>
                <w:rFonts w:asciiTheme="minorEastAsia" w:hAnsiTheme="minorEastAsia" w:hint="eastAsia"/>
                <w:sz w:val="18"/>
                <w:szCs w:val="18"/>
              </w:rPr>
              <w:t>販売単価の低下･上昇難</w:t>
            </w:r>
          </w:p>
        </w:tc>
        <w:tc>
          <w:tcPr>
            <w:tcW w:w="2552" w:type="dxa"/>
            <w:tcBorders>
              <w:bottom w:val="dotted" w:sz="4" w:space="0" w:color="auto"/>
            </w:tcBorders>
            <w:vAlign w:val="center"/>
          </w:tcPr>
          <w:p w:rsidR="008F1BBB" w:rsidRPr="00CC63A8" w:rsidRDefault="00244F75" w:rsidP="00244F75">
            <w:pPr>
              <w:snapToGrid w:val="0"/>
              <w:rPr>
                <w:rFonts w:asciiTheme="minorEastAsia" w:hAnsiTheme="minorEastAsia"/>
                <w:sz w:val="16"/>
                <w:szCs w:val="16"/>
              </w:rPr>
            </w:pPr>
            <w:r>
              <w:rPr>
                <w:rFonts w:asciiTheme="minorEastAsia" w:hAnsiTheme="minorEastAsia" w:hint="eastAsia"/>
                <w:sz w:val="16"/>
                <w:szCs w:val="16"/>
              </w:rPr>
              <w:t>メーカーの</w:t>
            </w:r>
            <w:r w:rsidR="001A246E" w:rsidRPr="00CC63A8">
              <w:rPr>
                <w:rFonts w:asciiTheme="minorEastAsia" w:hAnsiTheme="minorEastAsia" w:hint="eastAsia"/>
                <w:sz w:val="16"/>
                <w:szCs w:val="16"/>
              </w:rPr>
              <w:t>進出による競争激化</w:t>
            </w:r>
          </w:p>
        </w:tc>
      </w:tr>
      <w:tr w:rsidR="008F1BBB" w:rsidTr="00244F75">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CC63A8" w:rsidRDefault="00FB1A16" w:rsidP="00FB1A16">
            <w:pPr>
              <w:snapToGrid w:val="0"/>
              <w:jc w:val="right"/>
              <w:rPr>
                <w:rFonts w:asciiTheme="minorEastAsia" w:hAnsiTheme="minorEastAsia"/>
                <w:sz w:val="20"/>
                <w:szCs w:val="20"/>
              </w:rPr>
            </w:pPr>
            <w:r>
              <w:rPr>
                <w:rFonts w:asciiTheme="minorEastAsia" w:hAnsiTheme="minorEastAsia" w:hint="eastAsia"/>
                <w:sz w:val="20"/>
                <w:szCs w:val="20"/>
              </w:rPr>
              <w:t>35.9（</w:t>
            </w:r>
            <w:r w:rsidR="006153E3" w:rsidRPr="00CC63A8">
              <w:rPr>
                <w:rFonts w:asciiTheme="minorEastAsia" w:hAnsiTheme="minorEastAsia" w:hint="eastAsia"/>
                <w:sz w:val="20"/>
                <w:szCs w:val="20"/>
              </w:rPr>
              <w:t>38.1</w:t>
            </w:r>
            <w:r w:rsidR="00482803" w:rsidRPr="00CC63A8">
              <w:rPr>
                <w:rFonts w:asciiTheme="minorEastAsia" w:hAnsiTheme="minorEastAsia" w:hint="eastAsia"/>
                <w:sz w:val="20"/>
                <w:szCs w:val="20"/>
              </w:rPr>
              <w:t>）</w:t>
            </w:r>
          </w:p>
        </w:tc>
        <w:tc>
          <w:tcPr>
            <w:tcW w:w="2551" w:type="dxa"/>
            <w:tcBorders>
              <w:top w:val="dotted" w:sz="4" w:space="0" w:color="auto"/>
            </w:tcBorders>
            <w:vAlign w:val="center"/>
          </w:tcPr>
          <w:p w:rsidR="008F1BBB" w:rsidRPr="00CC63A8" w:rsidRDefault="00FB1A16" w:rsidP="00FB1A16">
            <w:pPr>
              <w:snapToGrid w:val="0"/>
              <w:jc w:val="right"/>
              <w:rPr>
                <w:rFonts w:asciiTheme="minorEastAsia" w:hAnsiTheme="minorEastAsia"/>
                <w:sz w:val="20"/>
                <w:szCs w:val="20"/>
              </w:rPr>
            </w:pPr>
            <w:r>
              <w:rPr>
                <w:rFonts w:asciiTheme="minorEastAsia" w:hAnsiTheme="minorEastAsia" w:hint="eastAsia"/>
                <w:sz w:val="20"/>
                <w:szCs w:val="20"/>
              </w:rPr>
              <w:t>11.3（</w:t>
            </w:r>
            <w:r w:rsidR="006153E3" w:rsidRPr="00CC63A8">
              <w:rPr>
                <w:rFonts w:asciiTheme="minorEastAsia" w:hAnsiTheme="minorEastAsia" w:hint="eastAsia"/>
                <w:sz w:val="20"/>
                <w:szCs w:val="20"/>
              </w:rPr>
              <w:t>12.7</w:t>
            </w:r>
            <w:r>
              <w:rPr>
                <w:rFonts w:asciiTheme="minorEastAsia" w:hAnsiTheme="minorEastAsia" w:hint="eastAsia"/>
                <w:sz w:val="20"/>
                <w:szCs w:val="20"/>
              </w:rPr>
              <w:t>）</w:t>
            </w:r>
          </w:p>
        </w:tc>
        <w:tc>
          <w:tcPr>
            <w:tcW w:w="2552" w:type="dxa"/>
            <w:tcBorders>
              <w:top w:val="dotted" w:sz="4" w:space="0" w:color="auto"/>
            </w:tcBorders>
            <w:vAlign w:val="center"/>
          </w:tcPr>
          <w:p w:rsidR="008F1BBB" w:rsidRPr="00CC63A8" w:rsidRDefault="00FB1A16" w:rsidP="00FB1A16">
            <w:pPr>
              <w:wordWrap w:val="0"/>
              <w:snapToGrid w:val="0"/>
              <w:jc w:val="right"/>
              <w:rPr>
                <w:rFonts w:asciiTheme="minorEastAsia" w:hAnsiTheme="minorEastAsia"/>
                <w:sz w:val="20"/>
                <w:szCs w:val="20"/>
              </w:rPr>
            </w:pPr>
            <w:r>
              <w:rPr>
                <w:rFonts w:asciiTheme="minorEastAsia" w:hAnsiTheme="minorEastAsia" w:hint="eastAsia"/>
                <w:sz w:val="20"/>
                <w:szCs w:val="20"/>
              </w:rPr>
              <w:t>8.7</w:t>
            </w:r>
            <w:r w:rsidR="00E92507" w:rsidRPr="00CC63A8">
              <w:rPr>
                <w:rFonts w:asciiTheme="minorEastAsia" w:hAnsiTheme="minorEastAsia" w:hint="eastAsia"/>
                <w:sz w:val="20"/>
                <w:szCs w:val="20"/>
              </w:rPr>
              <w:t>（</w:t>
            </w:r>
            <w:r>
              <w:rPr>
                <w:rFonts w:asciiTheme="minorEastAsia" w:hAnsiTheme="minorEastAsia" w:hint="eastAsia"/>
                <w:sz w:val="20"/>
                <w:szCs w:val="20"/>
              </w:rPr>
              <w:t>8.1</w:t>
            </w:r>
            <w:r w:rsidR="002F7204" w:rsidRPr="00CC63A8">
              <w:rPr>
                <w:rFonts w:asciiTheme="minorEastAsia" w:hAnsiTheme="minorEastAsia" w:hint="eastAsia"/>
                <w:sz w:val="20"/>
                <w:szCs w:val="20"/>
              </w:rPr>
              <w:t>）</w:t>
            </w:r>
          </w:p>
        </w:tc>
      </w:tr>
      <w:tr w:rsidR="00056F27" w:rsidTr="00244F75">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410" w:type="dxa"/>
            <w:tcBorders>
              <w:bottom w:val="dotted" w:sz="4" w:space="0" w:color="auto"/>
            </w:tcBorders>
            <w:vAlign w:val="center"/>
          </w:tcPr>
          <w:p w:rsidR="00056F27" w:rsidRPr="00CC63A8" w:rsidRDefault="008A639D" w:rsidP="008A639D">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1" w:type="dxa"/>
            <w:tcBorders>
              <w:bottom w:val="dotted" w:sz="4" w:space="0" w:color="auto"/>
            </w:tcBorders>
            <w:vAlign w:val="center"/>
          </w:tcPr>
          <w:p w:rsidR="00056F27" w:rsidRPr="00CC63A8" w:rsidRDefault="008A639D" w:rsidP="0087683B">
            <w:pPr>
              <w:snapToGrid w:val="0"/>
              <w:rPr>
                <w:rFonts w:asciiTheme="minorEastAsia" w:hAnsiTheme="minorEastAsia"/>
                <w:sz w:val="16"/>
                <w:szCs w:val="16"/>
              </w:rPr>
            </w:pPr>
            <w:r w:rsidRPr="00CC63A8">
              <w:rPr>
                <w:rFonts w:asciiTheme="minorEastAsia" w:hAnsiTheme="minorEastAsia" w:hint="eastAsia"/>
                <w:sz w:val="16"/>
                <w:szCs w:val="16"/>
              </w:rPr>
              <w:t>大</w:t>
            </w:r>
            <w:r w:rsidR="001A246E" w:rsidRPr="00CC63A8">
              <w:rPr>
                <w:rFonts w:asciiTheme="minorEastAsia" w:hAnsiTheme="minorEastAsia" w:hint="eastAsia"/>
                <w:sz w:val="16"/>
                <w:szCs w:val="16"/>
              </w:rPr>
              <w:t>･</w:t>
            </w:r>
            <w:r w:rsidRPr="00CC63A8">
              <w:rPr>
                <w:rFonts w:asciiTheme="minorEastAsia" w:hAnsiTheme="minorEastAsia" w:hint="eastAsia"/>
                <w:sz w:val="16"/>
                <w:szCs w:val="16"/>
              </w:rPr>
              <w:t>中型店の進出による競争激化</w:t>
            </w:r>
          </w:p>
        </w:tc>
        <w:tc>
          <w:tcPr>
            <w:tcW w:w="2552" w:type="dxa"/>
            <w:tcBorders>
              <w:bottom w:val="dotted" w:sz="4" w:space="0" w:color="auto"/>
            </w:tcBorders>
            <w:vAlign w:val="center"/>
          </w:tcPr>
          <w:p w:rsidR="00056F27" w:rsidRPr="00CC63A8" w:rsidRDefault="00DA7B5E" w:rsidP="0092287C">
            <w:pPr>
              <w:snapToGrid w:val="0"/>
              <w:rPr>
                <w:rFonts w:asciiTheme="minorEastAsia" w:hAnsiTheme="minorEastAsia"/>
                <w:sz w:val="16"/>
                <w:szCs w:val="16"/>
              </w:rPr>
            </w:pPr>
            <w:r w:rsidRPr="00CC63A8">
              <w:rPr>
                <w:rFonts w:asciiTheme="minorEastAsia" w:hAnsiTheme="minorEastAsia" w:hint="eastAsia"/>
                <w:sz w:val="16"/>
                <w:szCs w:val="16"/>
              </w:rPr>
              <w:t>消費者ニーズの変化への対応</w:t>
            </w:r>
          </w:p>
        </w:tc>
      </w:tr>
      <w:tr w:rsidR="00056F27" w:rsidTr="00244F75">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410" w:type="dxa"/>
            <w:tcBorders>
              <w:top w:val="dotted" w:sz="4" w:space="0" w:color="auto"/>
            </w:tcBorders>
            <w:vAlign w:val="center"/>
          </w:tcPr>
          <w:p w:rsidR="00056F27" w:rsidRPr="00CC63A8" w:rsidRDefault="00FE7B5A" w:rsidP="00FE7B5A">
            <w:pPr>
              <w:snapToGrid w:val="0"/>
              <w:jc w:val="right"/>
              <w:rPr>
                <w:rFonts w:asciiTheme="minorEastAsia" w:hAnsiTheme="minorEastAsia"/>
                <w:sz w:val="20"/>
                <w:szCs w:val="20"/>
              </w:rPr>
            </w:pPr>
            <w:r>
              <w:rPr>
                <w:rFonts w:asciiTheme="minorEastAsia" w:hAnsiTheme="minorEastAsia" w:hint="eastAsia"/>
                <w:sz w:val="20"/>
                <w:szCs w:val="20"/>
              </w:rPr>
              <w:t>17.5（18.</w:t>
            </w:r>
            <w:r w:rsidR="00E06172">
              <w:rPr>
                <w:rFonts w:asciiTheme="minorEastAsia" w:hAnsiTheme="minorEastAsia" w:hint="eastAsia"/>
                <w:sz w:val="20"/>
                <w:szCs w:val="20"/>
              </w:rPr>
              <w:t>0</w:t>
            </w:r>
            <w:r w:rsidR="00205AE7" w:rsidRPr="00CC63A8">
              <w:rPr>
                <w:rFonts w:asciiTheme="minorEastAsia" w:hAnsiTheme="minorEastAsia" w:hint="eastAsia"/>
                <w:sz w:val="20"/>
                <w:szCs w:val="20"/>
              </w:rPr>
              <w:t>）</w:t>
            </w:r>
          </w:p>
        </w:tc>
        <w:tc>
          <w:tcPr>
            <w:tcW w:w="2551" w:type="dxa"/>
            <w:tcBorders>
              <w:top w:val="dotted" w:sz="4" w:space="0" w:color="auto"/>
            </w:tcBorders>
            <w:vAlign w:val="center"/>
          </w:tcPr>
          <w:p w:rsidR="00056F27" w:rsidRPr="00CC63A8" w:rsidRDefault="001A246E" w:rsidP="00FE7B5A">
            <w:pPr>
              <w:snapToGrid w:val="0"/>
              <w:jc w:val="right"/>
              <w:rPr>
                <w:rFonts w:asciiTheme="minorEastAsia" w:hAnsiTheme="minorEastAsia"/>
                <w:sz w:val="20"/>
                <w:szCs w:val="20"/>
              </w:rPr>
            </w:pPr>
            <w:r w:rsidRPr="00CC63A8">
              <w:rPr>
                <w:rFonts w:asciiTheme="minorEastAsia" w:hAnsiTheme="minorEastAsia" w:hint="eastAsia"/>
                <w:sz w:val="20"/>
                <w:szCs w:val="20"/>
              </w:rPr>
              <w:t>17.</w:t>
            </w:r>
            <w:r w:rsidR="00FE7B5A">
              <w:rPr>
                <w:rFonts w:asciiTheme="minorEastAsia" w:hAnsiTheme="minorEastAsia" w:hint="eastAsia"/>
                <w:sz w:val="20"/>
                <w:szCs w:val="20"/>
              </w:rPr>
              <w:t>0（17.9</w:t>
            </w:r>
            <w:r w:rsidRPr="00CC63A8">
              <w:rPr>
                <w:rFonts w:asciiTheme="minorEastAsia" w:hAnsiTheme="minorEastAsia" w:hint="eastAsia"/>
                <w:sz w:val="20"/>
                <w:szCs w:val="20"/>
              </w:rPr>
              <w:t>）</w:t>
            </w:r>
          </w:p>
        </w:tc>
        <w:tc>
          <w:tcPr>
            <w:tcW w:w="2552" w:type="dxa"/>
            <w:tcBorders>
              <w:top w:val="dotted" w:sz="4" w:space="0" w:color="auto"/>
            </w:tcBorders>
            <w:vAlign w:val="center"/>
          </w:tcPr>
          <w:p w:rsidR="00056F27" w:rsidRPr="00CC63A8" w:rsidRDefault="00FE7B5A" w:rsidP="00FE7B5A">
            <w:pPr>
              <w:snapToGrid w:val="0"/>
              <w:jc w:val="right"/>
              <w:rPr>
                <w:rFonts w:asciiTheme="minorEastAsia" w:hAnsiTheme="minorEastAsia"/>
                <w:sz w:val="20"/>
                <w:szCs w:val="20"/>
              </w:rPr>
            </w:pPr>
            <w:r>
              <w:rPr>
                <w:rFonts w:asciiTheme="minorEastAsia" w:hAnsiTheme="minorEastAsia" w:hint="eastAsia"/>
                <w:sz w:val="20"/>
                <w:szCs w:val="20"/>
              </w:rPr>
              <w:t>16.0（</w:t>
            </w:r>
            <w:r w:rsidR="001A246E" w:rsidRPr="00CC63A8">
              <w:rPr>
                <w:rFonts w:asciiTheme="minorEastAsia" w:hAnsiTheme="minorEastAsia" w:hint="eastAsia"/>
                <w:sz w:val="20"/>
                <w:szCs w:val="20"/>
              </w:rPr>
              <w:t>17.4</w:t>
            </w:r>
            <w:r w:rsidR="00205AE7" w:rsidRPr="00CC63A8">
              <w:rPr>
                <w:rFonts w:asciiTheme="minorEastAsia" w:hAnsiTheme="minorEastAsia" w:hint="eastAsia"/>
                <w:sz w:val="20"/>
                <w:szCs w:val="20"/>
              </w:rPr>
              <w:t>）</w:t>
            </w:r>
          </w:p>
        </w:tc>
      </w:tr>
      <w:tr w:rsidR="00056F27" w:rsidTr="00244F75">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410"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551" w:type="dxa"/>
            <w:tcBorders>
              <w:bottom w:val="dotted" w:sz="4" w:space="0" w:color="auto"/>
            </w:tcBorders>
            <w:vAlign w:val="center"/>
          </w:tcPr>
          <w:p w:rsidR="00056F27" w:rsidRPr="00CC63A8" w:rsidRDefault="00056F27"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2" w:type="dxa"/>
            <w:tcBorders>
              <w:bottom w:val="dotted" w:sz="4" w:space="0" w:color="auto"/>
            </w:tcBorders>
            <w:vAlign w:val="center"/>
          </w:tcPr>
          <w:p w:rsidR="00056F27" w:rsidRPr="00CC63A8" w:rsidRDefault="00FE7B5A" w:rsidP="00FE7B5A">
            <w:pPr>
              <w:snapToGrid w:val="0"/>
              <w:rPr>
                <w:rFonts w:asciiTheme="minorEastAsia" w:hAnsiTheme="minorEastAsia"/>
                <w:sz w:val="18"/>
                <w:szCs w:val="18"/>
              </w:rPr>
            </w:pPr>
            <w:r>
              <w:rPr>
                <w:rFonts w:asciiTheme="minorEastAsia" w:hAnsiTheme="minorEastAsia" w:hint="eastAsia"/>
                <w:sz w:val="18"/>
                <w:szCs w:val="18"/>
              </w:rPr>
              <w:t>店舗施設の狭隘・老朽化</w:t>
            </w:r>
          </w:p>
        </w:tc>
      </w:tr>
      <w:tr w:rsidR="00056F27" w:rsidTr="00244F75">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410" w:type="dxa"/>
            <w:tcBorders>
              <w:top w:val="dotted" w:sz="4" w:space="0" w:color="auto"/>
            </w:tcBorders>
            <w:vAlign w:val="center"/>
          </w:tcPr>
          <w:p w:rsidR="00056F27" w:rsidRPr="00CC63A8" w:rsidRDefault="00FE7B5A" w:rsidP="00FE7B5A">
            <w:pPr>
              <w:snapToGrid w:val="0"/>
              <w:jc w:val="right"/>
              <w:rPr>
                <w:rFonts w:asciiTheme="minorEastAsia" w:hAnsiTheme="minorEastAsia"/>
                <w:sz w:val="20"/>
                <w:szCs w:val="20"/>
              </w:rPr>
            </w:pPr>
            <w:r>
              <w:rPr>
                <w:rFonts w:asciiTheme="minorEastAsia" w:hAnsiTheme="minorEastAsia" w:hint="eastAsia"/>
                <w:sz w:val="20"/>
                <w:szCs w:val="20"/>
              </w:rPr>
              <w:t>19.4（</w:t>
            </w:r>
            <w:r w:rsidR="0087683B" w:rsidRPr="00CC63A8">
              <w:rPr>
                <w:rFonts w:asciiTheme="minorEastAsia" w:hAnsiTheme="minorEastAsia" w:hint="eastAsia"/>
                <w:sz w:val="20"/>
                <w:szCs w:val="20"/>
              </w:rPr>
              <w:t>21.9</w:t>
            </w:r>
            <w:r w:rsidR="00205AE7" w:rsidRPr="00CC63A8">
              <w:rPr>
                <w:rFonts w:asciiTheme="minorEastAsia" w:hAnsiTheme="minorEastAsia" w:hint="eastAsia"/>
                <w:sz w:val="20"/>
                <w:szCs w:val="20"/>
              </w:rPr>
              <w:t>）</w:t>
            </w:r>
          </w:p>
        </w:tc>
        <w:tc>
          <w:tcPr>
            <w:tcW w:w="2551" w:type="dxa"/>
            <w:tcBorders>
              <w:top w:val="dotted" w:sz="4" w:space="0" w:color="auto"/>
            </w:tcBorders>
            <w:vAlign w:val="center"/>
          </w:tcPr>
          <w:p w:rsidR="00056F27" w:rsidRPr="00CC63A8" w:rsidRDefault="00FE7B5A" w:rsidP="00FE7B5A">
            <w:pPr>
              <w:snapToGrid w:val="0"/>
              <w:jc w:val="right"/>
              <w:rPr>
                <w:rFonts w:asciiTheme="minorEastAsia" w:hAnsiTheme="minorEastAsia"/>
                <w:sz w:val="20"/>
                <w:szCs w:val="20"/>
              </w:rPr>
            </w:pPr>
            <w:r>
              <w:rPr>
                <w:rFonts w:asciiTheme="minorEastAsia" w:hAnsiTheme="minorEastAsia" w:hint="eastAsia"/>
                <w:sz w:val="20"/>
                <w:szCs w:val="20"/>
              </w:rPr>
              <w:t>15.8（</w:t>
            </w:r>
            <w:r w:rsidR="00CC63A8" w:rsidRPr="00CC63A8">
              <w:rPr>
                <w:rFonts w:asciiTheme="minorEastAsia" w:hAnsiTheme="minorEastAsia" w:hint="eastAsia"/>
                <w:sz w:val="20"/>
                <w:szCs w:val="20"/>
              </w:rPr>
              <w:t>16.4</w:t>
            </w:r>
            <w:r w:rsidR="00056F27" w:rsidRPr="00CC63A8">
              <w:rPr>
                <w:rFonts w:asciiTheme="minorEastAsia" w:hAnsiTheme="minorEastAsia" w:hint="eastAsia"/>
                <w:sz w:val="20"/>
                <w:szCs w:val="20"/>
              </w:rPr>
              <w:t>）</w:t>
            </w:r>
          </w:p>
        </w:tc>
        <w:tc>
          <w:tcPr>
            <w:tcW w:w="2552" w:type="dxa"/>
            <w:tcBorders>
              <w:top w:val="dotted" w:sz="4" w:space="0" w:color="auto"/>
            </w:tcBorders>
            <w:vAlign w:val="center"/>
          </w:tcPr>
          <w:p w:rsidR="00056F27" w:rsidRPr="00CC63A8" w:rsidRDefault="00FE7B5A" w:rsidP="00FE7B5A">
            <w:pPr>
              <w:snapToGrid w:val="0"/>
              <w:jc w:val="right"/>
              <w:rPr>
                <w:rFonts w:asciiTheme="minorEastAsia" w:hAnsiTheme="minorEastAsia"/>
                <w:sz w:val="20"/>
                <w:szCs w:val="20"/>
              </w:rPr>
            </w:pPr>
            <w:r>
              <w:rPr>
                <w:rFonts w:asciiTheme="minorEastAsia" w:hAnsiTheme="minorEastAsia" w:hint="eastAsia"/>
                <w:sz w:val="20"/>
                <w:szCs w:val="20"/>
              </w:rPr>
              <w:t>9.2</w:t>
            </w:r>
            <w:r w:rsidR="00DA7B5E" w:rsidRPr="00CC63A8">
              <w:rPr>
                <w:rFonts w:asciiTheme="minorEastAsia" w:hAnsiTheme="minorEastAsia" w:hint="eastAsia"/>
                <w:sz w:val="20"/>
                <w:szCs w:val="20"/>
              </w:rPr>
              <w:t>（</w:t>
            </w:r>
            <w:r>
              <w:rPr>
                <w:rFonts w:asciiTheme="minorEastAsia" w:hAnsiTheme="minorEastAsia" w:hint="eastAsia"/>
                <w:sz w:val="20"/>
                <w:szCs w:val="20"/>
              </w:rPr>
              <w:t>9.4</w:t>
            </w:r>
            <w:r w:rsidR="008A639D" w:rsidRPr="00CC63A8">
              <w:rPr>
                <w:rFonts w:asciiTheme="minorEastAsia" w:hAnsiTheme="minorEastAsia" w:hint="eastAsia"/>
                <w:sz w:val="20"/>
                <w:szCs w:val="20"/>
              </w:rPr>
              <w:t>）</w:t>
            </w:r>
          </w:p>
        </w:tc>
      </w:tr>
    </w:tbl>
    <w:p w:rsidR="007765E1" w:rsidRPr="00D34256" w:rsidRDefault="004D1D75" w:rsidP="00DB3834">
      <w:pPr>
        <w:snapToGrid w:val="0"/>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9F1" w:rsidRPr="00E21198" w:rsidRDefault="009149F1"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xkqQIAACs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" stroked="f">
                <v:fill opacity="0"/>
                <v:textbox inset="5.85pt,.7pt,5.85pt,.7pt">
                  <w:txbxContent>
                    <w:p w:rsidR="009149F1" w:rsidRPr="00E21198" w:rsidRDefault="009149F1"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AB4AE0">
        <w:rPr>
          <w:rFonts w:asciiTheme="majorEastAsia" w:eastAsiaTheme="majorEastAsia" w:hAnsiTheme="majorEastAsia" w:hint="eastAsia"/>
          <w:szCs w:val="21"/>
        </w:rPr>
        <w:t>8</w:t>
      </w:r>
      <w:r w:rsidR="00002028">
        <w:rPr>
          <w:rFonts w:asciiTheme="majorEastAsia" w:eastAsiaTheme="majorEastAsia" w:hAnsiTheme="majorEastAsia" w:hint="eastAsia"/>
          <w:szCs w:val="21"/>
        </w:rPr>
        <w:t>年</w:t>
      </w:r>
      <w:r w:rsidR="00F35BCC">
        <w:rPr>
          <w:rFonts w:asciiTheme="majorEastAsia" w:eastAsiaTheme="majorEastAsia" w:hAnsiTheme="majorEastAsia" w:hint="eastAsia"/>
          <w:szCs w:val="21"/>
        </w:rPr>
        <w:t>10</w:t>
      </w:r>
      <w:r w:rsidR="00002028">
        <w:rPr>
          <w:rFonts w:asciiTheme="majorEastAsia" w:eastAsiaTheme="majorEastAsia" w:hAnsiTheme="majorEastAsia" w:hint="eastAsia"/>
          <w:szCs w:val="21"/>
        </w:rPr>
        <w:t>～</w:t>
      </w:r>
      <w:r w:rsidR="00F35BCC">
        <w:rPr>
          <w:rFonts w:asciiTheme="majorEastAsia" w:eastAsiaTheme="majorEastAsia" w:hAnsiTheme="majorEastAsia" w:hint="eastAsia"/>
          <w:szCs w:val="21"/>
        </w:rPr>
        <w:t>12</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26213B">
        <w:trPr>
          <w:trHeight w:val="70"/>
        </w:trPr>
        <w:tc>
          <w:tcPr>
            <w:tcW w:w="660" w:type="pct"/>
            <w:tcBorders>
              <w:top w:val="nil"/>
              <w:left w:val="nil"/>
              <w:bottom w:val="single" w:sz="4" w:space="0" w:color="auto"/>
              <w:right w:val="single" w:sz="4" w:space="0" w:color="auto"/>
            </w:tcBorders>
            <w:shd w:val="clear" w:color="auto" w:fill="FFFFFF" w:themeFill="background1"/>
            <w:vAlign w:val="center"/>
          </w:tcPr>
          <w:p w:rsidR="0026213B" w:rsidRDefault="0026213B">
            <w:pPr>
              <w:jc w:val="center"/>
              <w:rPr>
                <w:rFonts w:asciiTheme="majorEastAsia" w:eastAsiaTheme="majorEastAsia" w:hAnsiTheme="majorEastAsia"/>
                <w:szCs w:val="21"/>
              </w:rPr>
            </w:pP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D701A9" w:rsidP="009149F1">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パン製造業・パン製造小売業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D701A9" w:rsidP="00D701A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線香製造業</w:t>
            </w:r>
          </w:p>
        </w:tc>
        <w:tc>
          <w:tcPr>
            <w:tcW w:w="1086"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D701A9" w:rsidP="00D701A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非鉄金属スクラップ卸売業</w:t>
            </w:r>
          </w:p>
        </w:tc>
        <w:tc>
          <w:tcPr>
            <w:tcW w:w="1086"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26213B" w:rsidRDefault="00D701A9" w:rsidP="00EC3FF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宿泊業</w:t>
            </w:r>
          </w:p>
        </w:tc>
      </w:tr>
      <w:tr w:rsidR="0026213B" w:rsidTr="00D143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F011F9" w:rsidP="00E97259">
            <w:pPr>
              <w:snapToGrid w:val="0"/>
              <w:rPr>
                <w:rFonts w:ascii="Century" w:eastAsia="ＭＳ 明朝" w:hAnsi="Century"/>
                <w:sz w:val="20"/>
                <w:szCs w:val="20"/>
              </w:rPr>
            </w:pPr>
            <w:r w:rsidRPr="00F011F9">
              <w:rPr>
                <w:rFonts w:ascii="Century" w:eastAsia="ＭＳ 明朝" w:hAnsi="Century" w:hint="eastAsia"/>
                <w:sz w:val="20"/>
                <w:szCs w:val="20"/>
              </w:rPr>
              <w:t>事業所</w:t>
            </w:r>
            <w:r w:rsidR="004154C9">
              <w:rPr>
                <w:rFonts w:ascii="Century" w:eastAsia="ＭＳ 明朝" w:hAnsi="Century" w:hint="eastAsia"/>
                <w:sz w:val="20"/>
                <w:szCs w:val="20"/>
              </w:rPr>
              <w:t>数</w:t>
            </w:r>
            <w:r>
              <w:rPr>
                <w:rFonts w:ascii="Century" w:eastAsia="ＭＳ 明朝" w:hAnsi="Century" w:hint="eastAsia"/>
                <w:sz w:val="20"/>
                <w:szCs w:val="20"/>
              </w:rPr>
              <w:t>、</w:t>
            </w:r>
            <w:r w:rsidRPr="00F011F9">
              <w:rPr>
                <w:rFonts w:ascii="Century" w:eastAsia="ＭＳ 明朝" w:hAnsi="Century" w:hint="eastAsia"/>
                <w:sz w:val="20"/>
                <w:szCs w:val="20"/>
              </w:rPr>
              <w:t>従業者</w:t>
            </w:r>
            <w:r w:rsidR="004154C9">
              <w:rPr>
                <w:rFonts w:ascii="Century" w:eastAsia="ＭＳ 明朝" w:hAnsi="Century" w:hint="eastAsia"/>
                <w:sz w:val="20"/>
                <w:szCs w:val="20"/>
              </w:rPr>
              <w:t>数、</w:t>
            </w:r>
            <w:r w:rsidRPr="00F011F9">
              <w:rPr>
                <w:rFonts w:ascii="Century" w:eastAsia="ＭＳ 明朝" w:hAnsi="Century" w:hint="eastAsia"/>
                <w:sz w:val="20"/>
                <w:szCs w:val="20"/>
              </w:rPr>
              <w:t>製造品出荷額等</w:t>
            </w:r>
            <w:r w:rsidR="00E97259">
              <w:rPr>
                <w:rFonts w:ascii="Century" w:eastAsia="ＭＳ 明朝" w:hAnsi="Century" w:hint="eastAsia"/>
                <w:sz w:val="20"/>
                <w:szCs w:val="20"/>
              </w:rPr>
              <w:t>（年間商品販売額）</w:t>
            </w:r>
            <w:r w:rsidR="00E167CC">
              <w:rPr>
                <w:rFonts w:ascii="Century" w:eastAsia="ＭＳ 明朝" w:hAnsi="Century" w:hint="eastAsia"/>
                <w:sz w:val="20"/>
                <w:szCs w:val="20"/>
              </w:rPr>
              <w:t>の</w:t>
            </w:r>
            <w:r w:rsidRPr="00F011F9">
              <w:rPr>
                <w:rFonts w:ascii="Century" w:eastAsia="ＭＳ 明朝" w:hAnsi="Century" w:hint="eastAsia"/>
                <w:sz w:val="20"/>
                <w:szCs w:val="20"/>
              </w:rPr>
              <w:t>対全国比は</w:t>
            </w:r>
            <w:r w:rsidR="004154C9">
              <w:rPr>
                <w:rFonts w:ascii="Century" w:eastAsia="ＭＳ 明朝" w:hAnsi="Century" w:hint="eastAsia"/>
                <w:sz w:val="20"/>
                <w:szCs w:val="20"/>
              </w:rPr>
              <w:t>、製造業で</w:t>
            </w:r>
            <w:r w:rsidR="00E97259">
              <w:rPr>
                <w:rFonts w:ascii="Century" w:eastAsia="ＭＳ 明朝" w:hAnsi="Century" w:hint="eastAsia"/>
                <w:sz w:val="20"/>
                <w:szCs w:val="20"/>
              </w:rPr>
              <w:t>は、</w:t>
            </w:r>
            <w:r w:rsidR="004154C9">
              <w:rPr>
                <w:rFonts w:ascii="Century" w:eastAsia="ＭＳ 明朝" w:hAnsi="Century" w:hint="eastAsia"/>
                <w:sz w:val="20"/>
                <w:szCs w:val="20"/>
              </w:rPr>
              <w:t>4.5</w:t>
            </w:r>
            <w:r w:rsidRPr="00F011F9">
              <w:rPr>
                <w:rFonts w:ascii="Century" w:eastAsia="ＭＳ 明朝" w:hAnsi="Century" w:hint="eastAsia"/>
                <w:sz w:val="20"/>
                <w:szCs w:val="20"/>
              </w:rPr>
              <w:t>％、</w:t>
            </w:r>
            <w:r w:rsidR="004154C9">
              <w:rPr>
                <w:rFonts w:ascii="Century" w:eastAsia="ＭＳ 明朝" w:hAnsi="Century" w:hint="eastAsia"/>
                <w:sz w:val="20"/>
                <w:szCs w:val="20"/>
              </w:rPr>
              <w:t>9.1</w:t>
            </w:r>
            <w:r w:rsidRPr="00F011F9">
              <w:rPr>
                <w:rFonts w:ascii="Century" w:eastAsia="ＭＳ 明朝" w:hAnsi="Century" w:hint="eastAsia"/>
                <w:sz w:val="20"/>
                <w:szCs w:val="20"/>
              </w:rPr>
              <w:t>％、</w:t>
            </w:r>
            <w:r w:rsidRPr="00F011F9">
              <w:rPr>
                <w:rFonts w:ascii="Century" w:eastAsia="ＭＳ 明朝" w:hAnsi="Century" w:hint="eastAsia"/>
                <w:sz w:val="20"/>
                <w:szCs w:val="20"/>
              </w:rPr>
              <w:t>12.2</w:t>
            </w:r>
            <w:r w:rsidRPr="00F011F9">
              <w:rPr>
                <w:rFonts w:ascii="Century" w:eastAsia="ＭＳ 明朝" w:hAnsi="Century" w:hint="eastAsia"/>
                <w:sz w:val="20"/>
                <w:szCs w:val="20"/>
              </w:rPr>
              <w:t>％</w:t>
            </w:r>
            <w:r w:rsidR="004154C9">
              <w:rPr>
                <w:rFonts w:ascii="Century" w:eastAsia="ＭＳ 明朝" w:hAnsi="Century" w:hint="eastAsia"/>
                <w:sz w:val="20"/>
                <w:szCs w:val="20"/>
              </w:rPr>
              <w:t>、</w:t>
            </w:r>
            <w:r w:rsidRPr="00F011F9">
              <w:rPr>
                <w:rFonts w:ascii="Century" w:eastAsia="ＭＳ 明朝" w:hAnsi="Century" w:hint="eastAsia"/>
                <w:sz w:val="20"/>
                <w:szCs w:val="20"/>
              </w:rPr>
              <w:t>製造小売業</w:t>
            </w:r>
            <w:r w:rsidR="004154C9">
              <w:rPr>
                <w:rFonts w:ascii="Century" w:eastAsia="ＭＳ 明朝" w:hAnsi="Century" w:hint="eastAsia"/>
                <w:sz w:val="20"/>
                <w:szCs w:val="20"/>
              </w:rPr>
              <w:t>で</w:t>
            </w:r>
            <w:r w:rsidR="00E97259">
              <w:rPr>
                <w:rFonts w:ascii="Century" w:eastAsia="ＭＳ 明朝" w:hAnsi="Century" w:hint="eastAsia"/>
                <w:sz w:val="20"/>
                <w:szCs w:val="20"/>
              </w:rPr>
              <w:t>は、</w:t>
            </w:r>
            <w:r w:rsidR="004154C9">
              <w:rPr>
                <w:rFonts w:ascii="Century" w:eastAsia="ＭＳ 明朝" w:hAnsi="Century" w:hint="eastAsia"/>
                <w:sz w:val="20"/>
                <w:szCs w:val="20"/>
              </w:rPr>
              <w:t>7</w:t>
            </w:r>
            <w:r w:rsidR="00BC4243">
              <w:rPr>
                <w:rFonts w:ascii="Century" w:eastAsia="ＭＳ 明朝" w:hAnsi="Century" w:hint="eastAsia"/>
                <w:sz w:val="20"/>
                <w:szCs w:val="20"/>
              </w:rPr>
              <w:t>.0</w:t>
            </w:r>
            <w:r w:rsidRPr="00F011F9">
              <w:rPr>
                <w:rFonts w:ascii="Century" w:eastAsia="ＭＳ 明朝" w:hAnsi="Century" w:hint="eastAsia"/>
                <w:sz w:val="20"/>
                <w:szCs w:val="20"/>
              </w:rPr>
              <w:t>％、</w:t>
            </w:r>
            <w:r w:rsidRPr="00F011F9">
              <w:rPr>
                <w:rFonts w:ascii="Century" w:eastAsia="ＭＳ 明朝" w:hAnsi="Century" w:hint="eastAsia"/>
                <w:sz w:val="20"/>
                <w:szCs w:val="20"/>
              </w:rPr>
              <w:t>7.1</w:t>
            </w:r>
            <w:r w:rsidRPr="00F011F9">
              <w:rPr>
                <w:rFonts w:ascii="Century" w:eastAsia="ＭＳ 明朝" w:hAnsi="Century" w:hint="eastAsia"/>
                <w:sz w:val="20"/>
                <w:szCs w:val="20"/>
              </w:rPr>
              <w:t>％、</w:t>
            </w:r>
            <w:r w:rsidRPr="00F011F9">
              <w:rPr>
                <w:rFonts w:ascii="Century" w:eastAsia="ＭＳ 明朝" w:hAnsi="Century" w:hint="eastAsia"/>
                <w:sz w:val="20"/>
                <w:szCs w:val="20"/>
              </w:rPr>
              <w:t>6.9</w:t>
            </w:r>
            <w:r w:rsidRPr="00F011F9">
              <w:rPr>
                <w:rFonts w:ascii="Century" w:eastAsia="ＭＳ 明朝" w:hAnsi="Century" w:hint="eastAsia"/>
                <w:sz w:val="20"/>
                <w:szCs w:val="20"/>
              </w:rPr>
              <w:t>％</w:t>
            </w:r>
            <w:r w:rsidR="004154C9">
              <w:rPr>
                <w:rFonts w:ascii="Century" w:eastAsia="ＭＳ 明朝" w:hAnsi="Century" w:hint="eastAsia"/>
                <w:sz w:val="20"/>
                <w:szCs w:val="20"/>
              </w:rPr>
              <w:t>である</w:t>
            </w:r>
            <w:r w:rsidR="00E97259">
              <w:rPr>
                <w:rFonts w:ascii="Century" w:eastAsia="ＭＳ 明朝" w:hAnsi="Century" w:hint="eastAsia"/>
                <w:sz w:val="20"/>
                <w:szCs w:val="20"/>
              </w:rPr>
              <w:t>（</w:t>
            </w:r>
            <w:r w:rsidR="00E97259">
              <w:rPr>
                <w:rFonts w:ascii="Century" w:eastAsia="ＭＳ 明朝" w:hAnsi="Century" w:hint="eastAsia"/>
                <w:sz w:val="20"/>
                <w:szCs w:val="20"/>
              </w:rPr>
              <w:t>26</w:t>
            </w:r>
            <w:r w:rsidR="00E97259">
              <w:rPr>
                <w:rFonts w:ascii="Century" w:eastAsia="ＭＳ 明朝" w:hAnsi="Century" w:hint="eastAsia"/>
                <w:sz w:val="20"/>
                <w:szCs w:val="20"/>
              </w:rPr>
              <w:t>年統計）。</w:t>
            </w:r>
          </w:p>
        </w:tc>
        <w:tc>
          <w:tcPr>
            <w:tcW w:w="1085" w:type="pct"/>
            <w:tcBorders>
              <w:top w:val="single" w:sz="4" w:space="0" w:color="auto"/>
              <w:left w:val="single" w:sz="4" w:space="0" w:color="auto"/>
              <w:bottom w:val="single" w:sz="4" w:space="0" w:color="auto"/>
              <w:right w:val="single" w:sz="4" w:space="0" w:color="auto"/>
            </w:tcBorders>
          </w:tcPr>
          <w:p w:rsidR="0026213B" w:rsidRPr="00617F51" w:rsidRDefault="003B6324" w:rsidP="009511B2">
            <w:pPr>
              <w:snapToGrid w:val="0"/>
              <w:rPr>
                <w:rFonts w:ascii="Century" w:eastAsia="ＭＳ 明朝" w:hAnsi="Century"/>
                <w:sz w:val="20"/>
                <w:szCs w:val="20"/>
              </w:rPr>
            </w:pPr>
            <w:r w:rsidRPr="003B6324">
              <w:rPr>
                <w:rFonts w:ascii="Century" w:eastAsia="ＭＳ 明朝" w:hAnsi="Century" w:hint="eastAsia"/>
                <w:sz w:val="20"/>
                <w:szCs w:val="20"/>
              </w:rPr>
              <w:t>26</w:t>
            </w:r>
            <w:r w:rsidRPr="003B6324">
              <w:rPr>
                <w:rFonts w:ascii="Century" w:eastAsia="ＭＳ 明朝" w:hAnsi="Century" w:hint="eastAsia"/>
                <w:sz w:val="20"/>
                <w:szCs w:val="20"/>
              </w:rPr>
              <w:t>年の府内の出荷量は</w:t>
            </w:r>
            <w:r w:rsidRPr="003B6324">
              <w:rPr>
                <w:rFonts w:ascii="Century" w:eastAsia="ＭＳ 明朝" w:hAnsi="Century" w:hint="eastAsia"/>
                <w:sz w:val="20"/>
                <w:szCs w:val="20"/>
              </w:rPr>
              <w:t>558</w:t>
            </w:r>
            <w:r w:rsidRPr="003B6324">
              <w:rPr>
                <w:rFonts w:ascii="Century" w:eastAsia="ＭＳ 明朝" w:hAnsi="Century" w:hint="eastAsia"/>
                <w:sz w:val="20"/>
                <w:szCs w:val="20"/>
              </w:rPr>
              <w:t>ｔ、</w:t>
            </w:r>
            <w:r w:rsidR="00C657FF">
              <w:rPr>
                <w:rFonts w:ascii="Century" w:eastAsia="ＭＳ 明朝" w:hAnsi="Century" w:hint="eastAsia"/>
                <w:sz w:val="20"/>
                <w:szCs w:val="20"/>
              </w:rPr>
              <w:t>出荷</w:t>
            </w:r>
            <w:r w:rsidRPr="003B6324">
              <w:rPr>
                <w:rFonts w:ascii="Century" w:eastAsia="ＭＳ 明朝" w:hAnsi="Century" w:hint="eastAsia"/>
                <w:sz w:val="20"/>
                <w:szCs w:val="20"/>
              </w:rPr>
              <w:t>金額は</w:t>
            </w:r>
            <w:r w:rsidRPr="003B6324">
              <w:rPr>
                <w:rFonts w:ascii="Century" w:eastAsia="ＭＳ 明朝" w:hAnsi="Century" w:hint="eastAsia"/>
                <w:sz w:val="20"/>
                <w:szCs w:val="20"/>
              </w:rPr>
              <w:t>25</w:t>
            </w:r>
            <w:r w:rsidRPr="003B6324">
              <w:rPr>
                <w:rFonts w:ascii="Century" w:eastAsia="ＭＳ 明朝" w:hAnsi="Century" w:hint="eastAsia"/>
                <w:sz w:val="20"/>
                <w:szCs w:val="20"/>
              </w:rPr>
              <w:t>億円で、全国で４番目に多</w:t>
            </w:r>
            <w:r>
              <w:rPr>
                <w:rFonts w:ascii="Century" w:eastAsia="ＭＳ 明朝" w:hAnsi="Century" w:hint="eastAsia"/>
                <w:sz w:val="20"/>
                <w:szCs w:val="20"/>
              </w:rPr>
              <w:t>く、</w:t>
            </w:r>
            <w:r w:rsidRPr="003B6324">
              <w:rPr>
                <w:rFonts w:ascii="Century" w:eastAsia="ＭＳ 明朝" w:hAnsi="Century" w:hint="eastAsia"/>
                <w:sz w:val="20"/>
                <w:szCs w:val="20"/>
              </w:rPr>
              <w:t>国内シェアは、とも</w:t>
            </w:r>
            <w:r>
              <w:rPr>
                <w:rFonts w:ascii="Century" w:eastAsia="ＭＳ 明朝" w:hAnsi="Century" w:hint="eastAsia"/>
                <w:sz w:val="20"/>
                <w:szCs w:val="20"/>
              </w:rPr>
              <w:t>に</w:t>
            </w:r>
            <w:r w:rsidRPr="003B6324">
              <w:rPr>
                <w:rFonts w:ascii="Century" w:eastAsia="ＭＳ 明朝" w:hAnsi="Century" w:hint="eastAsia"/>
                <w:sz w:val="20"/>
                <w:szCs w:val="20"/>
              </w:rPr>
              <w:t>１割程度である。産出事業所は</w:t>
            </w:r>
            <w:r w:rsidRPr="003B6324">
              <w:rPr>
                <w:rFonts w:ascii="Century" w:eastAsia="ＭＳ 明朝" w:hAnsi="Century" w:hint="eastAsia"/>
                <w:sz w:val="20"/>
                <w:szCs w:val="20"/>
              </w:rPr>
              <w:t>13</w:t>
            </w:r>
            <w:r w:rsidR="009511B2">
              <w:rPr>
                <w:rFonts w:ascii="Century" w:eastAsia="ＭＳ 明朝" w:hAnsi="Century"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B16219" w:rsidRDefault="00B16219" w:rsidP="00B16219">
            <w:pPr>
              <w:snapToGrid w:val="0"/>
              <w:rPr>
                <w:rFonts w:ascii="Century" w:eastAsia="ＭＳ 明朝" w:hAnsi="Century"/>
                <w:sz w:val="20"/>
                <w:szCs w:val="20"/>
              </w:rPr>
            </w:pPr>
            <w:r w:rsidRPr="00B16219">
              <w:rPr>
                <w:rFonts w:ascii="Century" w:eastAsia="ＭＳ 明朝" w:hAnsi="Century" w:hint="eastAsia"/>
                <w:sz w:val="20"/>
                <w:szCs w:val="20"/>
              </w:rPr>
              <w:t>26</w:t>
            </w:r>
            <w:r w:rsidRPr="00B16219">
              <w:rPr>
                <w:rFonts w:ascii="Century" w:eastAsia="ＭＳ 明朝" w:hAnsi="Century" w:hint="eastAsia"/>
                <w:sz w:val="20"/>
                <w:szCs w:val="20"/>
              </w:rPr>
              <w:t>年の事業所数は</w:t>
            </w:r>
            <w:r w:rsidRPr="00B16219">
              <w:rPr>
                <w:rFonts w:ascii="Century" w:eastAsia="ＭＳ 明朝" w:hAnsi="Century" w:hint="eastAsia"/>
                <w:sz w:val="20"/>
                <w:szCs w:val="20"/>
              </w:rPr>
              <w:t>186</w:t>
            </w:r>
            <w:r w:rsidRPr="00B16219">
              <w:rPr>
                <w:rFonts w:ascii="Century" w:eastAsia="ＭＳ 明朝" w:hAnsi="Century" w:hint="eastAsia"/>
                <w:sz w:val="20"/>
                <w:szCs w:val="20"/>
              </w:rPr>
              <w:t>、従業者数</w:t>
            </w:r>
            <w:r w:rsidRPr="00B16219">
              <w:rPr>
                <w:rFonts w:ascii="Century" w:eastAsia="ＭＳ 明朝" w:hAnsi="Century" w:hint="eastAsia"/>
                <w:sz w:val="20"/>
                <w:szCs w:val="20"/>
              </w:rPr>
              <w:t>1,043</w:t>
            </w:r>
            <w:r w:rsidRPr="00B16219">
              <w:rPr>
                <w:rFonts w:ascii="Century" w:eastAsia="ＭＳ 明朝" w:hAnsi="Century" w:hint="eastAsia"/>
                <w:sz w:val="20"/>
                <w:szCs w:val="20"/>
              </w:rPr>
              <w:t>人、年間販売額</w:t>
            </w:r>
            <w:r w:rsidRPr="00B16219">
              <w:rPr>
                <w:rFonts w:ascii="Century" w:eastAsia="ＭＳ 明朝" w:hAnsi="Century" w:hint="eastAsia"/>
                <w:sz w:val="20"/>
                <w:szCs w:val="20"/>
              </w:rPr>
              <w:t>1,632</w:t>
            </w:r>
            <w:r w:rsidRPr="00B16219">
              <w:rPr>
                <w:rFonts w:ascii="Century" w:eastAsia="ＭＳ 明朝" w:hAnsi="Century" w:hint="eastAsia"/>
                <w:sz w:val="20"/>
                <w:szCs w:val="20"/>
              </w:rPr>
              <w:t>億</w:t>
            </w:r>
            <w:r w:rsidRPr="00B16219">
              <w:rPr>
                <w:rFonts w:ascii="Century" w:eastAsia="ＭＳ 明朝" w:hAnsi="Century" w:hint="eastAsia"/>
                <w:sz w:val="20"/>
                <w:szCs w:val="20"/>
              </w:rPr>
              <w:t>22</w:t>
            </w:r>
            <w:r w:rsidRPr="00B16219">
              <w:rPr>
                <w:rFonts w:ascii="Century" w:eastAsia="ＭＳ 明朝" w:hAnsi="Century" w:hint="eastAsia"/>
                <w:sz w:val="20"/>
                <w:szCs w:val="20"/>
              </w:rPr>
              <w:t>百万円で、対全国比は、それぞれ</w:t>
            </w:r>
            <w:r w:rsidRPr="00B16219">
              <w:rPr>
                <w:rFonts w:ascii="Century" w:eastAsia="ＭＳ 明朝" w:hAnsi="Century" w:hint="eastAsia"/>
                <w:sz w:val="20"/>
                <w:szCs w:val="20"/>
              </w:rPr>
              <w:t>12.1</w:t>
            </w:r>
            <w:r w:rsidRPr="00B16219">
              <w:rPr>
                <w:rFonts w:ascii="Century" w:eastAsia="ＭＳ 明朝" w:hAnsi="Century" w:hint="eastAsia"/>
                <w:sz w:val="20"/>
                <w:szCs w:val="20"/>
              </w:rPr>
              <w:t>％、</w:t>
            </w:r>
            <w:r w:rsidRPr="00B16219">
              <w:rPr>
                <w:rFonts w:ascii="Century" w:eastAsia="ＭＳ 明朝" w:hAnsi="Century" w:hint="eastAsia"/>
                <w:sz w:val="20"/>
                <w:szCs w:val="20"/>
              </w:rPr>
              <w:t>10.7</w:t>
            </w:r>
            <w:r w:rsidRPr="00B16219">
              <w:rPr>
                <w:rFonts w:ascii="Century" w:eastAsia="ＭＳ 明朝" w:hAnsi="Century" w:hint="eastAsia"/>
                <w:sz w:val="20"/>
                <w:szCs w:val="20"/>
              </w:rPr>
              <w:t>％、</w:t>
            </w:r>
            <w:r w:rsidRPr="00B16219">
              <w:rPr>
                <w:rFonts w:ascii="Century" w:eastAsia="ＭＳ 明朝" w:hAnsi="Century" w:hint="eastAsia"/>
                <w:sz w:val="20"/>
                <w:szCs w:val="20"/>
              </w:rPr>
              <w:t>17.3</w:t>
            </w:r>
            <w:r w:rsidRPr="00B16219">
              <w:rPr>
                <w:rFonts w:ascii="Century" w:eastAsia="ＭＳ 明朝" w:hAnsi="Century" w:hint="eastAsia"/>
                <w:sz w:val="20"/>
                <w:szCs w:val="20"/>
              </w:rPr>
              <w:t>％である。年間販売額は全国１位である。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9F052C" w:rsidP="003D29BD">
            <w:pPr>
              <w:snapToGrid w:val="0"/>
              <w:rPr>
                <w:rFonts w:ascii="Century" w:eastAsia="ＭＳ 明朝" w:hAnsi="Century"/>
                <w:sz w:val="20"/>
                <w:szCs w:val="20"/>
              </w:rPr>
            </w:pPr>
            <w:r w:rsidRPr="009F052C">
              <w:rPr>
                <w:rFonts w:ascii="Century" w:eastAsia="ＭＳ 明朝" w:hAnsi="Century" w:hint="eastAsia"/>
                <w:sz w:val="20"/>
                <w:szCs w:val="20"/>
              </w:rPr>
              <w:t>平成</w:t>
            </w:r>
            <w:r w:rsidRPr="009F052C">
              <w:rPr>
                <w:rFonts w:ascii="Century" w:eastAsia="ＭＳ 明朝" w:hAnsi="Century" w:hint="eastAsia"/>
                <w:sz w:val="20"/>
                <w:szCs w:val="20"/>
              </w:rPr>
              <w:t>27</w:t>
            </w:r>
            <w:r w:rsidRPr="009F052C">
              <w:rPr>
                <w:rFonts w:ascii="Century" w:eastAsia="ＭＳ 明朝" w:hAnsi="Century" w:hint="eastAsia"/>
                <w:sz w:val="20"/>
                <w:szCs w:val="20"/>
              </w:rPr>
              <w:t>年度末の施設数は</w:t>
            </w:r>
            <w:r w:rsidR="003D29BD">
              <w:rPr>
                <w:rFonts w:ascii="Century" w:eastAsia="ＭＳ 明朝" w:hAnsi="Century" w:hint="eastAsia"/>
                <w:sz w:val="20"/>
                <w:szCs w:val="20"/>
              </w:rPr>
              <w:t>、</w:t>
            </w:r>
            <w:r w:rsidRPr="009F052C">
              <w:rPr>
                <w:rFonts w:ascii="Century" w:eastAsia="ＭＳ 明朝" w:hAnsi="Century" w:hint="eastAsia"/>
                <w:sz w:val="20"/>
                <w:szCs w:val="20"/>
              </w:rPr>
              <w:t>ホテル</w:t>
            </w:r>
            <w:r w:rsidRPr="009F052C">
              <w:rPr>
                <w:rFonts w:ascii="Century" w:eastAsia="ＭＳ 明朝" w:hAnsi="Century" w:hint="eastAsia"/>
                <w:sz w:val="20"/>
                <w:szCs w:val="20"/>
              </w:rPr>
              <w:t>387</w:t>
            </w:r>
            <w:r w:rsidRPr="009F052C">
              <w:rPr>
                <w:rFonts w:ascii="Century" w:eastAsia="ＭＳ 明朝" w:hAnsi="Century" w:hint="eastAsia"/>
                <w:sz w:val="20"/>
                <w:szCs w:val="20"/>
              </w:rPr>
              <w:t>、旅館</w:t>
            </w:r>
            <w:r w:rsidRPr="009F052C">
              <w:rPr>
                <w:rFonts w:ascii="Century" w:eastAsia="ＭＳ 明朝" w:hAnsi="Century" w:hint="eastAsia"/>
                <w:sz w:val="20"/>
                <w:szCs w:val="20"/>
              </w:rPr>
              <w:t>750</w:t>
            </w:r>
            <w:r w:rsidRPr="009F052C">
              <w:rPr>
                <w:rFonts w:ascii="Century" w:eastAsia="ＭＳ 明朝" w:hAnsi="Century" w:hint="eastAsia"/>
                <w:sz w:val="20"/>
                <w:szCs w:val="20"/>
              </w:rPr>
              <w:t>、簡易宿所</w:t>
            </w:r>
            <w:r w:rsidRPr="009F052C">
              <w:rPr>
                <w:rFonts w:ascii="Century" w:eastAsia="ＭＳ 明朝" w:hAnsi="Century" w:hint="eastAsia"/>
                <w:sz w:val="20"/>
                <w:szCs w:val="20"/>
              </w:rPr>
              <w:t>220</w:t>
            </w:r>
            <w:r w:rsidRPr="009F052C">
              <w:rPr>
                <w:rFonts w:ascii="Century" w:eastAsia="ＭＳ 明朝" w:hAnsi="Century" w:hint="eastAsia"/>
                <w:sz w:val="20"/>
                <w:szCs w:val="20"/>
              </w:rPr>
              <w:t>で、全国比はそれぞれ</w:t>
            </w:r>
            <w:r w:rsidRPr="009F052C">
              <w:rPr>
                <w:rFonts w:ascii="Century" w:eastAsia="ＭＳ 明朝" w:hAnsi="Century" w:hint="eastAsia"/>
                <w:sz w:val="20"/>
                <w:szCs w:val="20"/>
              </w:rPr>
              <w:t>3.7</w:t>
            </w:r>
            <w:r w:rsidRPr="009F052C">
              <w:rPr>
                <w:rFonts w:ascii="Century" w:eastAsia="ＭＳ 明朝" w:hAnsi="Century" w:hint="eastAsia"/>
                <w:sz w:val="20"/>
                <w:szCs w:val="20"/>
              </w:rPr>
              <w:t>％、</w:t>
            </w:r>
            <w:r w:rsidRPr="009F052C">
              <w:rPr>
                <w:rFonts w:ascii="Century" w:eastAsia="ＭＳ 明朝" w:hAnsi="Century" w:hint="eastAsia"/>
                <w:sz w:val="20"/>
                <w:szCs w:val="20"/>
              </w:rPr>
              <w:t>1.9</w:t>
            </w:r>
            <w:r w:rsidRPr="009F052C">
              <w:rPr>
                <w:rFonts w:ascii="Century" w:eastAsia="ＭＳ 明朝" w:hAnsi="Century" w:hint="eastAsia"/>
                <w:sz w:val="20"/>
                <w:szCs w:val="20"/>
              </w:rPr>
              <w:t>％、</w:t>
            </w:r>
            <w:r w:rsidRPr="009F052C">
              <w:rPr>
                <w:rFonts w:ascii="Century" w:eastAsia="ＭＳ 明朝" w:hAnsi="Century" w:hint="eastAsia"/>
                <w:sz w:val="20"/>
                <w:szCs w:val="20"/>
              </w:rPr>
              <w:t>0.7</w:t>
            </w:r>
            <w:r w:rsidRPr="009F052C">
              <w:rPr>
                <w:rFonts w:ascii="Century" w:eastAsia="ＭＳ 明朝" w:hAnsi="Century" w:hint="eastAsia"/>
                <w:sz w:val="20"/>
                <w:szCs w:val="20"/>
              </w:rPr>
              <w:t>％</w:t>
            </w:r>
            <w:r w:rsidR="003D29BD">
              <w:rPr>
                <w:rFonts w:ascii="Century" w:eastAsia="ＭＳ 明朝" w:hAnsi="Century" w:hint="eastAsia"/>
                <w:sz w:val="20"/>
                <w:szCs w:val="20"/>
              </w:rPr>
              <w:t>である</w:t>
            </w:r>
            <w:r w:rsidRPr="009F052C">
              <w:rPr>
                <w:rFonts w:ascii="Century" w:eastAsia="ＭＳ 明朝" w:hAnsi="Century" w:hint="eastAsia"/>
                <w:sz w:val="20"/>
                <w:szCs w:val="20"/>
              </w:rPr>
              <w:t>。</w:t>
            </w:r>
            <w:r>
              <w:rPr>
                <w:rFonts w:ascii="Century" w:eastAsia="ＭＳ 明朝" w:hAnsi="Century" w:hint="eastAsia"/>
                <w:sz w:val="20"/>
                <w:szCs w:val="20"/>
              </w:rPr>
              <w:t>近年は旅館業法に規定されない民泊</w:t>
            </w:r>
            <w:r w:rsidR="003D29BD">
              <w:rPr>
                <w:rFonts w:ascii="Century" w:eastAsia="ＭＳ 明朝" w:hAnsi="Century" w:hint="eastAsia"/>
                <w:sz w:val="20"/>
                <w:szCs w:val="20"/>
              </w:rPr>
              <w:t>が増加している。</w:t>
            </w:r>
          </w:p>
        </w:tc>
      </w:tr>
      <w:tr w:rsidR="0026213B" w:rsidTr="00867A61">
        <w:trPr>
          <w:trHeight w:val="50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FD5781" w:rsidP="003B6324">
            <w:pPr>
              <w:snapToGrid w:val="0"/>
              <w:rPr>
                <w:rFonts w:ascii="Century" w:eastAsia="ＭＳ 明朝" w:hAnsi="Century"/>
                <w:sz w:val="20"/>
                <w:szCs w:val="20"/>
              </w:rPr>
            </w:pPr>
            <w:r>
              <w:rPr>
                <w:rFonts w:ascii="Century" w:eastAsia="ＭＳ 明朝" w:hAnsi="Century" w:hint="eastAsia"/>
                <w:sz w:val="20"/>
                <w:szCs w:val="20"/>
              </w:rPr>
              <w:t>関西地方はパンに対する家計支出金額が大きく、</w:t>
            </w:r>
            <w:r w:rsidR="00F011F9" w:rsidRPr="00F011F9">
              <w:rPr>
                <w:rFonts w:ascii="Century" w:eastAsia="ＭＳ 明朝" w:hAnsi="Century" w:hint="eastAsia"/>
                <w:sz w:val="20"/>
                <w:szCs w:val="20"/>
              </w:rPr>
              <w:t>安価な商品と</w:t>
            </w:r>
            <w:r>
              <w:rPr>
                <w:rFonts w:ascii="Century" w:eastAsia="ＭＳ 明朝" w:hAnsi="Century" w:hint="eastAsia"/>
                <w:sz w:val="20"/>
                <w:szCs w:val="20"/>
              </w:rPr>
              <w:t>品質にこだわる消費者向けの</w:t>
            </w:r>
            <w:r w:rsidR="00F011F9" w:rsidRPr="00F011F9">
              <w:rPr>
                <w:rFonts w:ascii="Century" w:eastAsia="ＭＳ 明朝" w:hAnsi="Century" w:hint="eastAsia"/>
                <w:sz w:val="20"/>
                <w:szCs w:val="20"/>
              </w:rPr>
              <w:t>付加価値の高い商品に二極化し</w:t>
            </w:r>
            <w:r>
              <w:rPr>
                <w:rFonts w:ascii="Century" w:eastAsia="ＭＳ 明朝" w:hAnsi="Century" w:hint="eastAsia"/>
                <w:sz w:val="20"/>
                <w:szCs w:val="20"/>
              </w:rPr>
              <w:t>ている。</w:t>
            </w:r>
          </w:p>
        </w:tc>
        <w:tc>
          <w:tcPr>
            <w:tcW w:w="1085" w:type="pct"/>
            <w:tcBorders>
              <w:top w:val="single" w:sz="4" w:space="0" w:color="auto"/>
              <w:left w:val="single" w:sz="4" w:space="0" w:color="auto"/>
              <w:bottom w:val="single" w:sz="4" w:space="0" w:color="auto"/>
              <w:right w:val="single" w:sz="4" w:space="0" w:color="auto"/>
            </w:tcBorders>
          </w:tcPr>
          <w:p w:rsidR="0026213B" w:rsidRPr="00DA7F02" w:rsidRDefault="003B6324" w:rsidP="009511B2">
            <w:pPr>
              <w:snapToGrid w:val="0"/>
              <w:rPr>
                <w:rFonts w:ascii="Century" w:eastAsia="ＭＳ 明朝" w:hAnsi="Century"/>
                <w:sz w:val="20"/>
                <w:szCs w:val="20"/>
              </w:rPr>
            </w:pPr>
            <w:r w:rsidRPr="003B6324">
              <w:rPr>
                <w:rFonts w:ascii="Century" w:eastAsia="ＭＳ 明朝" w:hAnsi="Century" w:hint="eastAsia"/>
                <w:sz w:val="20"/>
                <w:szCs w:val="20"/>
              </w:rPr>
              <w:t>国内需要は、人口減少や仏事離れ</w:t>
            </w:r>
            <w:r>
              <w:rPr>
                <w:rFonts w:ascii="Century" w:eastAsia="ＭＳ 明朝" w:hAnsi="Century" w:hint="eastAsia"/>
                <w:sz w:val="20"/>
                <w:szCs w:val="20"/>
              </w:rPr>
              <w:t>で</w:t>
            </w:r>
            <w:r w:rsidRPr="003B6324">
              <w:rPr>
                <w:rFonts w:ascii="Century" w:eastAsia="ＭＳ 明朝" w:hAnsi="Century" w:hint="eastAsia"/>
                <w:sz w:val="20"/>
                <w:szCs w:val="20"/>
              </w:rPr>
              <w:t>逓減傾向にある。嗜好</w:t>
            </w:r>
            <w:r>
              <w:rPr>
                <w:rFonts w:ascii="Century" w:eastAsia="ＭＳ 明朝" w:hAnsi="Century" w:hint="eastAsia"/>
                <w:sz w:val="20"/>
                <w:szCs w:val="20"/>
              </w:rPr>
              <w:t>性のある製品</w:t>
            </w:r>
            <w:r w:rsidRPr="003B6324">
              <w:rPr>
                <w:rFonts w:ascii="Century" w:eastAsia="ＭＳ 明朝" w:hAnsi="Century" w:hint="eastAsia"/>
                <w:sz w:val="20"/>
                <w:szCs w:val="20"/>
              </w:rPr>
              <w:t>のため、輸出は容易ではなく、</w:t>
            </w:r>
            <w:r w:rsidR="009511B2">
              <w:rPr>
                <w:rFonts w:ascii="Century" w:eastAsia="ＭＳ 明朝" w:hAnsi="Century" w:hint="eastAsia"/>
                <w:sz w:val="20"/>
                <w:szCs w:val="20"/>
              </w:rPr>
              <w:t>国内需要の掘り起こしが課題。</w:t>
            </w:r>
          </w:p>
        </w:tc>
        <w:tc>
          <w:tcPr>
            <w:tcW w:w="1086" w:type="pct"/>
            <w:tcBorders>
              <w:top w:val="single" w:sz="4" w:space="0" w:color="auto"/>
              <w:left w:val="single" w:sz="4" w:space="0" w:color="auto"/>
              <w:bottom w:val="single" w:sz="4" w:space="0" w:color="auto"/>
              <w:right w:val="single" w:sz="4" w:space="0" w:color="auto"/>
            </w:tcBorders>
          </w:tcPr>
          <w:p w:rsidR="0026213B" w:rsidRPr="00800000" w:rsidRDefault="00110FFF" w:rsidP="00B16219">
            <w:pPr>
              <w:snapToGrid w:val="0"/>
              <w:rPr>
                <w:rFonts w:ascii="Century" w:eastAsia="ＭＳ 明朝" w:hAnsi="Century"/>
                <w:color w:val="FF0000"/>
                <w:sz w:val="20"/>
                <w:szCs w:val="20"/>
              </w:rPr>
            </w:pPr>
            <w:r w:rsidRPr="00B16219">
              <w:rPr>
                <w:rFonts w:ascii="Century" w:eastAsia="ＭＳ 明朝" w:hAnsi="Century" w:hint="eastAsia"/>
                <w:sz w:val="20"/>
                <w:szCs w:val="20"/>
              </w:rPr>
              <w:t>平成</w:t>
            </w:r>
            <w:r w:rsidRPr="00B16219">
              <w:rPr>
                <w:rFonts w:ascii="Century" w:eastAsia="ＭＳ 明朝" w:hAnsi="Century" w:hint="eastAsia"/>
                <w:sz w:val="20"/>
                <w:szCs w:val="20"/>
              </w:rPr>
              <w:t>26</w:t>
            </w:r>
            <w:r w:rsidRPr="00B16219">
              <w:rPr>
                <w:rFonts w:ascii="Century" w:eastAsia="ＭＳ 明朝" w:hAnsi="Century" w:hint="eastAsia"/>
                <w:sz w:val="20"/>
                <w:szCs w:val="20"/>
              </w:rPr>
              <w:t>～</w:t>
            </w:r>
            <w:r w:rsidRPr="00B16219">
              <w:rPr>
                <w:rFonts w:ascii="Century" w:eastAsia="ＭＳ 明朝" w:hAnsi="Century" w:hint="eastAsia"/>
                <w:sz w:val="20"/>
                <w:szCs w:val="20"/>
              </w:rPr>
              <w:t>27</w:t>
            </w:r>
            <w:r w:rsidRPr="00B16219">
              <w:rPr>
                <w:rFonts w:ascii="Century" w:eastAsia="ＭＳ 明朝" w:hAnsi="Century" w:hint="eastAsia"/>
                <w:sz w:val="20"/>
                <w:szCs w:val="20"/>
              </w:rPr>
              <w:t>年頃から</w:t>
            </w:r>
            <w:r w:rsidRPr="00B16219">
              <w:rPr>
                <w:rFonts w:ascii="Century" w:eastAsia="ＭＳ 明朝" w:hAnsi="Century" w:hint="eastAsia"/>
                <w:sz w:val="20"/>
                <w:szCs w:val="20"/>
              </w:rPr>
              <w:t>28</w:t>
            </w:r>
            <w:r w:rsidRPr="00B16219">
              <w:rPr>
                <w:rFonts w:ascii="Century" w:eastAsia="ＭＳ 明朝" w:hAnsi="Century" w:hint="eastAsia"/>
                <w:sz w:val="20"/>
                <w:szCs w:val="20"/>
              </w:rPr>
              <w:t>年後半にかけてロンドン金属取引所相場の下落の影響を受け、業績を悪化させている業者が多い。</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EA2F7A" w:rsidP="00EA2F7A">
            <w:pPr>
              <w:snapToGrid w:val="0"/>
              <w:rPr>
                <w:rFonts w:ascii="Century" w:eastAsia="ＭＳ 明朝" w:hAnsi="Century"/>
                <w:sz w:val="20"/>
                <w:szCs w:val="20"/>
              </w:rPr>
            </w:pPr>
            <w:r>
              <w:rPr>
                <w:rFonts w:ascii="Century" w:eastAsia="ＭＳ 明朝" w:hAnsi="Century" w:hint="eastAsia"/>
                <w:sz w:val="20"/>
                <w:szCs w:val="20"/>
              </w:rPr>
              <w:t>28</w:t>
            </w:r>
            <w:r>
              <w:rPr>
                <w:rFonts w:ascii="Century" w:eastAsia="ＭＳ 明朝" w:hAnsi="Century" w:hint="eastAsia"/>
                <w:sz w:val="20"/>
                <w:szCs w:val="20"/>
              </w:rPr>
              <w:t>年の春以降、高水準であった客室稼働率を</w:t>
            </w:r>
            <w:r w:rsidRPr="00EA2F7A">
              <w:rPr>
                <w:rFonts w:ascii="Century" w:eastAsia="ＭＳ 明朝" w:hAnsi="Century" w:hint="eastAsia"/>
                <w:sz w:val="20"/>
                <w:szCs w:val="20"/>
              </w:rPr>
              <w:t>下げる事業者が</w:t>
            </w:r>
            <w:r>
              <w:rPr>
                <w:rFonts w:ascii="Century" w:eastAsia="ＭＳ 明朝" w:hAnsi="Century" w:hint="eastAsia"/>
                <w:sz w:val="20"/>
                <w:szCs w:val="20"/>
              </w:rPr>
              <w:t>みられ、要因は、旅行者の行動範囲の拡大、施設の新設や競合等である。</w:t>
            </w:r>
          </w:p>
        </w:tc>
      </w:tr>
      <w:tr w:rsidR="0026213B" w:rsidTr="003954B3">
        <w:trPr>
          <w:trHeight w:val="586"/>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D70A82" w:rsidP="00D70A82">
            <w:pPr>
              <w:snapToGrid w:val="0"/>
              <w:rPr>
                <w:rFonts w:ascii="Century" w:eastAsia="ＭＳ 明朝" w:hAnsi="Century"/>
                <w:sz w:val="20"/>
                <w:szCs w:val="20"/>
              </w:rPr>
            </w:pPr>
            <w:r>
              <w:rPr>
                <w:rFonts w:ascii="Century" w:eastAsia="ＭＳ 明朝" w:hAnsi="Century" w:hint="eastAsia"/>
                <w:sz w:val="20"/>
                <w:szCs w:val="20"/>
              </w:rPr>
              <w:t>客単価は概ね不変で、</w:t>
            </w:r>
            <w:r w:rsidR="00E167CC" w:rsidRPr="00E167CC">
              <w:rPr>
                <w:rFonts w:ascii="Century" w:eastAsia="ＭＳ 明朝" w:hAnsi="Century" w:hint="eastAsia"/>
                <w:sz w:val="20"/>
                <w:szCs w:val="20"/>
              </w:rPr>
              <w:t>大手は概ね前年を１桁台上回って</w:t>
            </w:r>
            <w:r>
              <w:rPr>
                <w:rFonts w:ascii="Century" w:eastAsia="ＭＳ 明朝" w:hAnsi="Century" w:hint="eastAsia"/>
                <w:sz w:val="20"/>
                <w:szCs w:val="20"/>
              </w:rPr>
              <w:t>推移し、</w:t>
            </w:r>
            <w:r w:rsidR="00E167CC" w:rsidRPr="00E167CC">
              <w:rPr>
                <w:rFonts w:ascii="Century" w:eastAsia="ＭＳ 明朝" w:hAnsi="Century" w:hint="eastAsia"/>
                <w:sz w:val="20"/>
                <w:szCs w:val="20"/>
              </w:rPr>
              <w:t>中小は前年並みかやや下回る９割台の水準で推移した企業が多</w:t>
            </w:r>
            <w:r w:rsidR="004154C9">
              <w:rPr>
                <w:rFonts w:ascii="Century" w:eastAsia="ＭＳ 明朝" w:hAnsi="Century" w:hint="eastAsia"/>
                <w:sz w:val="20"/>
                <w:szCs w:val="20"/>
              </w:rPr>
              <w:t>い。</w:t>
            </w:r>
          </w:p>
        </w:tc>
        <w:tc>
          <w:tcPr>
            <w:tcW w:w="1085" w:type="pct"/>
            <w:tcBorders>
              <w:top w:val="single" w:sz="4" w:space="0" w:color="auto"/>
              <w:left w:val="single" w:sz="4" w:space="0" w:color="auto"/>
              <w:bottom w:val="single" w:sz="4" w:space="0" w:color="auto"/>
              <w:right w:val="single" w:sz="4" w:space="0" w:color="auto"/>
            </w:tcBorders>
          </w:tcPr>
          <w:p w:rsidR="0026213B" w:rsidRPr="00DA7F02" w:rsidRDefault="009511B2" w:rsidP="009511B2">
            <w:pPr>
              <w:snapToGrid w:val="0"/>
              <w:rPr>
                <w:rFonts w:ascii="Century" w:eastAsia="ＭＳ 明朝" w:hAnsi="Century"/>
                <w:sz w:val="20"/>
                <w:szCs w:val="20"/>
              </w:rPr>
            </w:pPr>
            <w:r>
              <w:rPr>
                <w:rFonts w:ascii="Century" w:eastAsia="ＭＳ 明朝" w:hAnsi="Century" w:hint="eastAsia"/>
                <w:sz w:val="20"/>
                <w:szCs w:val="20"/>
              </w:rPr>
              <w:t>天然香料の値上がり分の商品価格への</w:t>
            </w:r>
            <w:r w:rsidR="00C657FF">
              <w:rPr>
                <w:rFonts w:ascii="Century" w:eastAsia="ＭＳ 明朝" w:hAnsi="Century" w:hint="eastAsia"/>
                <w:sz w:val="20"/>
                <w:szCs w:val="20"/>
              </w:rPr>
              <w:t>転嫁は</w:t>
            </w:r>
            <w:r>
              <w:rPr>
                <w:rFonts w:ascii="Century" w:eastAsia="ＭＳ 明朝" w:hAnsi="Century" w:hint="eastAsia"/>
                <w:sz w:val="20"/>
                <w:szCs w:val="20"/>
              </w:rPr>
              <w:t>、受け入れてもらえるものの、客離れを招く恐れがあり、容易にできない。</w:t>
            </w:r>
          </w:p>
        </w:tc>
        <w:tc>
          <w:tcPr>
            <w:tcW w:w="1086" w:type="pct"/>
            <w:tcBorders>
              <w:top w:val="single" w:sz="4" w:space="0" w:color="auto"/>
              <w:left w:val="single" w:sz="4" w:space="0" w:color="auto"/>
              <w:bottom w:val="single" w:sz="4" w:space="0" w:color="auto"/>
              <w:right w:val="single" w:sz="4" w:space="0" w:color="auto"/>
            </w:tcBorders>
          </w:tcPr>
          <w:p w:rsidR="0026213B" w:rsidRPr="00B3666A" w:rsidRDefault="00867A61" w:rsidP="00867A61">
            <w:pPr>
              <w:snapToGrid w:val="0"/>
              <w:rPr>
                <w:rFonts w:ascii="Century" w:eastAsia="ＭＳ 明朝" w:hAnsi="Century"/>
                <w:sz w:val="20"/>
                <w:szCs w:val="20"/>
              </w:rPr>
            </w:pPr>
            <w:r>
              <w:rPr>
                <w:rFonts w:ascii="Century" w:eastAsia="ＭＳ 明朝" w:hAnsi="Century" w:hint="eastAsia"/>
                <w:sz w:val="20"/>
                <w:szCs w:val="20"/>
              </w:rPr>
              <w:t>ロンドン金属取引所相場の下落と</w:t>
            </w:r>
            <w:r w:rsidRPr="00867A61">
              <w:rPr>
                <w:rFonts w:ascii="Century" w:eastAsia="ＭＳ 明朝" w:hAnsi="Century" w:hint="eastAsia"/>
                <w:sz w:val="20"/>
                <w:szCs w:val="20"/>
              </w:rPr>
              <w:t>プロダクション</w:t>
            </w:r>
            <w:r>
              <w:rPr>
                <w:rFonts w:ascii="Century" w:eastAsia="ＭＳ 明朝" w:hAnsi="Century" w:hint="eastAsia"/>
                <w:sz w:val="20"/>
                <w:szCs w:val="20"/>
              </w:rPr>
              <w:t>･</w:t>
            </w:r>
            <w:r w:rsidRPr="00867A61">
              <w:rPr>
                <w:rFonts w:ascii="Century" w:eastAsia="ＭＳ 明朝" w:hAnsi="Century" w:hint="eastAsia"/>
                <w:sz w:val="20"/>
                <w:szCs w:val="20"/>
              </w:rPr>
              <w:t>スクラップ</w:t>
            </w:r>
            <w:r>
              <w:rPr>
                <w:rFonts w:ascii="Century" w:eastAsia="ＭＳ 明朝" w:hAnsi="Century" w:hint="eastAsia"/>
                <w:sz w:val="20"/>
                <w:szCs w:val="20"/>
              </w:rPr>
              <w:t>とオールド･スクラップの発生</w:t>
            </w:r>
            <w:r w:rsidRPr="00867A61">
              <w:rPr>
                <w:rFonts w:ascii="Century" w:eastAsia="ＭＳ 明朝" w:hAnsi="Century" w:hint="eastAsia"/>
                <w:sz w:val="20"/>
                <w:szCs w:val="20"/>
              </w:rPr>
              <w:t>量</w:t>
            </w:r>
            <w:r>
              <w:rPr>
                <w:rFonts w:ascii="Century" w:eastAsia="ＭＳ 明朝" w:hAnsi="Century" w:hint="eastAsia"/>
                <w:sz w:val="20"/>
                <w:szCs w:val="20"/>
              </w:rPr>
              <w:t>が</w:t>
            </w:r>
            <w:r w:rsidRPr="00867A61">
              <w:rPr>
                <w:rFonts w:ascii="Century" w:eastAsia="ＭＳ 明朝" w:hAnsi="Century" w:hint="eastAsia"/>
                <w:sz w:val="20"/>
                <w:szCs w:val="20"/>
              </w:rPr>
              <w:t>減少</w:t>
            </w:r>
            <w:r>
              <w:rPr>
                <w:rFonts w:ascii="Century" w:eastAsia="ＭＳ 明朝" w:hAnsi="Century" w:hint="eastAsia"/>
                <w:sz w:val="20"/>
                <w:szCs w:val="20"/>
              </w:rPr>
              <w:t>し、販売価格等が低下している。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3954B3" w:rsidP="003954B3">
            <w:pPr>
              <w:snapToGrid w:val="0"/>
              <w:rPr>
                <w:rFonts w:ascii="Century" w:eastAsia="ＭＳ 明朝" w:hAnsi="Century"/>
                <w:sz w:val="20"/>
                <w:szCs w:val="20"/>
              </w:rPr>
            </w:pPr>
            <w:r w:rsidRPr="003954B3">
              <w:rPr>
                <w:rFonts w:ascii="Century" w:eastAsia="ＭＳ 明朝" w:hAnsi="Century" w:hint="eastAsia"/>
                <w:sz w:val="20"/>
                <w:szCs w:val="20"/>
              </w:rPr>
              <w:t>27</w:t>
            </w:r>
            <w:r w:rsidRPr="003954B3">
              <w:rPr>
                <w:rFonts w:ascii="Century" w:eastAsia="ＭＳ 明朝" w:hAnsi="Century" w:hint="eastAsia"/>
                <w:sz w:val="20"/>
                <w:szCs w:val="20"/>
              </w:rPr>
              <w:t>年前後に宿泊料を引き上げる事業者も多くみられたが、</w:t>
            </w:r>
            <w:r w:rsidRPr="003954B3">
              <w:rPr>
                <w:rFonts w:ascii="Century" w:eastAsia="ＭＳ 明朝" w:hAnsi="Century" w:hint="eastAsia"/>
                <w:sz w:val="20"/>
                <w:szCs w:val="20"/>
              </w:rPr>
              <w:t>28</w:t>
            </w:r>
            <w:r w:rsidRPr="003954B3">
              <w:rPr>
                <w:rFonts w:ascii="Century" w:eastAsia="ＭＳ 明朝" w:hAnsi="Century" w:hint="eastAsia"/>
                <w:sz w:val="20"/>
                <w:szCs w:val="20"/>
              </w:rPr>
              <w:t>年後半以降、稼働率維持</w:t>
            </w:r>
            <w:r>
              <w:rPr>
                <w:rFonts w:ascii="Century" w:eastAsia="ＭＳ 明朝" w:hAnsi="Century" w:hint="eastAsia"/>
                <w:sz w:val="20"/>
                <w:szCs w:val="20"/>
              </w:rPr>
              <w:t>のた</w:t>
            </w:r>
            <w:r w:rsidRPr="003954B3">
              <w:rPr>
                <w:rFonts w:ascii="Century" w:eastAsia="ＭＳ 明朝" w:hAnsi="Century" w:hint="eastAsia"/>
                <w:sz w:val="20"/>
                <w:szCs w:val="20"/>
              </w:rPr>
              <w:t>め、従来の水準に戻す事業者が増えている。</w:t>
            </w:r>
          </w:p>
        </w:tc>
      </w:tr>
      <w:tr w:rsidR="0026213B" w:rsidRPr="00D927B0" w:rsidTr="003954B3">
        <w:trPr>
          <w:trHeight w:val="279"/>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D70A82" w:rsidP="009511B2">
            <w:pPr>
              <w:snapToGrid w:val="0"/>
              <w:rPr>
                <w:rFonts w:ascii="Century" w:eastAsia="ＭＳ 明朝" w:hAnsi="Century"/>
                <w:sz w:val="20"/>
                <w:szCs w:val="20"/>
              </w:rPr>
            </w:pPr>
            <w:r w:rsidRPr="00D70A82">
              <w:rPr>
                <w:rFonts w:ascii="Century" w:eastAsia="ＭＳ 明朝" w:hAnsi="Century" w:hint="eastAsia"/>
                <w:sz w:val="20"/>
                <w:szCs w:val="20"/>
              </w:rPr>
              <w:t>基本材料や副材料の原材料費は下がった</w:t>
            </w:r>
            <w:r>
              <w:rPr>
                <w:rFonts w:ascii="Century" w:eastAsia="ＭＳ 明朝" w:hAnsi="Century" w:hint="eastAsia"/>
                <w:sz w:val="20"/>
                <w:szCs w:val="20"/>
              </w:rPr>
              <w:t>が、</w:t>
            </w:r>
            <w:r w:rsidRPr="00D70A82">
              <w:rPr>
                <w:rFonts w:ascii="Century" w:eastAsia="ＭＳ 明朝" w:hAnsi="Century" w:hint="eastAsia"/>
                <w:sz w:val="20"/>
                <w:szCs w:val="20"/>
              </w:rPr>
              <w:t>生産人材確保に向け</w:t>
            </w:r>
            <w:r w:rsidR="009511B2">
              <w:rPr>
                <w:rFonts w:ascii="Century" w:eastAsia="ＭＳ 明朝" w:hAnsi="Century" w:hint="eastAsia"/>
                <w:sz w:val="20"/>
                <w:szCs w:val="20"/>
              </w:rPr>
              <w:t>た</w:t>
            </w:r>
            <w:r w:rsidR="00E97259">
              <w:rPr>
                <w:rFonts w:ascii="Century" w:eastAsia="ＭＳ 明朝" w:hAnsi="Century" w:hint="eastAsia"/>
                <w:sz w:val="20"/>
                <w:szCs w:val="20"/>
              </w:rPr>
              <w:t>労務管理や設備改善</w:t>
            </w:r>
            <w:r w:rsidR="009511B2">
              <w:rPr>
                <w:rFonts w:ascii="Century" w:eastAsia="ＭＳ 明朝" w:hAnsi="Century" w:hint="eastAsia"/>
                <w:sz w:val="20"/>
                <w:szCs w:val="20"/>
              </w:rPr>
              <w:t>等のコスト</w:t>
            </w:r>
            <w:r w:rsidRPr="00D70A82">
              <w:rPr>
                <w:rFonts w:ascii="Century" w:eastAsia="ＭＳ 明朝" w:hAnsi="Century" w:hint="eastAsia"/>
                <w:sz w:val="20"/>
                <w:szCs w:val="20"/>
              </w:rPr>
              <w:t>増を背景に、</w:t>
            </w:r>
            <w:r w:rsidR="00E97259">
              <w:rPr>
                <w:rFonts w:ascii="Century" w:eastAsia="ＭＳ 明朝" w:hAnsi="Century" w:hint="eastAsia"/>
                <w:sz w:val="20"/>
                <w:szCs w:val="20"/>
              </w:rPr>
              <w:t>収益</w:t>
            </w:r>
            <w:r w:rsidR="009511B2">
              <w:rPr>
                <w:rFonts w:ascii="Century" w:eastAsia="ＭＳ 明朝" w:hAnsi="Century" w:hint="eastAsia"/>
                <w:sz w:val="20"/>
                <w:szCs w:val="20"/>
              </w:rPr>
              <w:t>確保が課題である。</w:t>
            </w:r>
          </w:p>
        </w:tc>
        <w:tc>
          <w:tcPr>
            <w:tcW w:w="1085" w:type="pct"/>
            <w:tcBorders>
              <w:top w:val="single" w:sz="4" w:space="0" w:color="auto"/>
              <w:left w:val="single" w:sz="4" w:space="0" w:color="auto"/>
              <w:bottom w:val="single" w:sz="4" w:space="0" w:color="auto"/>
              <w:right w:val="single" w:sz="4" w:space="0" w:color="auto"/>
            </w:tcBorders>
          </w:tcPr>
          <w:p w:rsidR="0026213B" w:rsidRPr="00366627" w:rsidRDefault="009511B2" w:rsidP="009511B2">
            <w:pPr>
              <w:snapToGrid w:val="0"/>
              <w:rPr>
                <w:rFonts w:ascii="Century" w:eastAsia="ＭＳ 明朝" w:hAnsi="Century"/>
                <w:sz w:val="20"/>
                <w:szCs w:val="20"/>
              </w:rPr>
            </w:pPr>
            <w:r>
              <w:rPr>
                <w:rFonts w:ascii="Century" w:eastAsia="ＭＳ 明朝" w:hAnsi="Century" w:hint="eastAsia"/>
                <w:sz w:val="20"/>
                <w:szCs w:val="20"/>
              </w:rPr>
              <w:t>アジアの経済成長に一服感がみられ、天然香料の価格は高止まりしているものの、今後の需給次第で再上昇する可能性がある。</w:t>
            </w:r>
          </w:p>
        </w:tc>
        <w:tc>
          <w:tcPr>
            <w:tcW w:w="1086" w:type="pct"/>
            <w:tcBorders>
              <w:top w:val="single" w:sz="4" w:space="0" w:color="auto"/>
              <w:left w:val="single" w:sz="4" w:space="0" w:color="auto"/>
              <w:bottom w:val="single" w:sz="4" w:space="0" w:color="auto"/>
              <w:right w:val="single" w:sz="4" w:space="0" w:color="auto"/>
            </w:tcBorders>
          </w:tcPr>
          <w:p w:rsidR="0026213B" w:rsidRPr="00565125" w:rsidRDefault="00867A61" w:rsidP="00867A61">
            <w:pPr>
              <w:snapToGrid w:val="0"/>
              <w:rPr>
                <w:rFonts w:ascii="Century" w:eastAsia="ＭＳ 明朝" w:hAnsi="Century"/>
                <w:sz w:val="20"/>
                <w:szCs w:val="20"/>
              </w:rPr>
            </w:pPr>
            <w:r>
              <w:rPr>
                <w:rFonts w:ascii="Century" w:eastAsia="ＭＳ 明朝" w:hAnsi="Century" w:hint="eastAsia"/>
                <w:sz w:val="20"/>
                <w:szCs w:val="20"/>
              </w:rPr>
              <w:t>量産型工場の海外移転やバーター取引の進展、製造業者の廃業や海外移転等に伴い、効率的な集荷や解体・選別等の負担が大きい。</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3954B3" w:rsidP="003954B3">
            <w:pPr>
              <w:snapToGrid w:val="0"/>
              <w:rPr>
                <w:rFonts w:ascii="Century" w:eastAsia="ＭＳ 明朝" w:hAnsi="Century"/>
                <w:sz w:val="20"/>
                <w:szCs w:val="20"/>
              </w:rPr>
            </w:pPr>
            <w:r w:rsidRPr="003954B3">
              <w:rPr>
                <w:rFonts w:ascii="Century" w:eastAsia="ＭＳ 明朝" w:hAnsi="Century" w:hint="eastAsia"/>
                <w:sz w:val="20"/>
                <w:szCs w:val="20"/>
              </w:rPr>
              <w:t>海外の旅行会社との提携を進めてきた事業者では、直接取引による高い収益性と安定した需要確保が可能となっている</w:t>
            </w:r>
            <w:r>
              <w:rPr>
                <w:rFonts w:ascii="Century" w:eastAsia="ＭＳ 明朝" w:hAnsi="Century" w:hint="eastAsia"/>
                <w:sz w:val="20"/>
                <w:szCs w:val="20"/>
              </w:rPr>
              <w:t>事業者もある。</w:t>
            </w:r>
          </w:p>
        </w:tc>
      </w:tr>
      <w:tr w:rsidR="0026213B" w:rsidTr="00866730">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E97259" w:rsidP="00E97259">
            <w:pPr>
              <w:snapToGrid w:val="0"/>
              <w:rPr>
                <w:rFonts w:ascii="Century" w:eastAsia="ＭＳ 明朝" w:hAnsi="Century"/>
                <w:sz w:val="20"/>
                <w:szCs w:val="20"/>
              </w:rPr>
            </w:pPr>
            <w:r w:rsidRPr="00E97259">
              <w:rPr>
                <w:rFonts w:ascii="Century" w:eastAsia="ＭＳ 明朝" w:hAnsi="Century" w:hint="eastAsia"/>
                <w:sz w:val="20"/>
                <w:szCs w:val="20"/>
              </w:rPr>
              <w:t>維持・補修などの更新に留める企業が多</w:t>
            </w:r>
            <w:r>
              <w:rPr>
                <w:rFonts w:ascii="Century" w:eastAsia="ＭＳ 明朝" w:hAnsi="Century" w:hint="eastAsia"/>
                <w:sz w:val="20"/>
                <w:szCs w:val="20"/>
              </w:rPr>
              <w:t>いが、</w:t>
            </w:r>
            <w:r w:rsidRPr="00E97259">
              <w:rPr>
                <w:rFonts w:ascii="Century" w:eastAsia="ＭＳ 明朝" w:hAnsi="Century" w:hint="eastAsia"/>
                <w:sz w:val="20"/>
                <w:szCs w:val="20"/>
              </w:rPr>
              <w:t>生産体制の効率化に</w:t>
            </w:r>
            <w:r>
              <w:rPr>
                <w:rFonts w:ascii="Century" w:eastAsia="ＭＳ 明朝" w:hAnsi="Century" w:hint="eastAsia"/>
                <w:sz w:val="20"/>
                <w:szCs w:val="20"/>
              </w:rPr>
              <w:t>積極的な</w:t>
            </w:r>
            <w:r w:rsidRPr="00E97259">
              <w:rPr>
                <w:rFonts w:ascii="Century" w:eastAsia="ＭＳ 明朝" w:hAnsi="Century" w:hint="eastAsia"/>
                <w:sz w:val="20"/>
                <w:szCs w:val="20"/>
              </w:rPr>
              <w:t>中小企業で</w:t>
            </w:r>
            <w:r>
              <w:rPr>
                <w:rFonts w:ascii="Century" w:eastAsia="ＭＳ 明朝" w:hAnsi="Century" w:hint="eastAsia"/>
                <w:sz w:val="20"/>
                <w:szCs w:val="20"/>
              </w:rPr>
              <w:t>は、数千</w:t>
            </w:r>
            <w:r w:rsidRPr="00E97259">
              <w:rPr>
                <w:rFonts w:ascii="Century" w:eastAsia="ＭＳ 明朝" w:hAnsi="Century" w:hint="eastAsia"/>
                <w:sz w:val="20"/>
                <w:szCs w:val="20"/>
              </w:rPr>
              <w:t>万円規模</w:t>
            </w:r>
            <w:r>
              <w:rPr>
                <w:rFonts w:ascii="Century" w:eastAsia="ＭＳ 明朝" w:hAnsi="Century" w:hint="eastAsia"/>
                <w:sz w:val="20"/>
                <w:szCs w:val="20"/>
              </w:rPr>
              <w:t>の</w:t>
            </w:r>
            <w:r w:rsidRPr="00E97259">
              <w:rPr>
                <w:rFonts w:ascii="Century" w:eastAsia="ＭＳ 明朝" w:hAnsi="Century" w:hint="eastAsia"/>
                <w:sz w:val="20"/>
                <w:szCs w:val="20"/>
              </w:rPr>
              <w:t>投資を行</w:t>
            </w:r>
            <w:r>
              <w:rPr>
                <w:rFonts w:ascii="Century" w:eastAsia="ＭＳ 明朝" w:hAnsi="Century" w:hint="eastAsia"/>
                <w:sz w:val="20"/>
                <w:szCs w:val="20"/>
              </w:rPr>
              <w:t>うところもある</w:t>
            </w:r>
            <w:r w:rsidR="009511B2">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366627" w:rsidRDefault="00C657FF" w:rsidP="00C657FF">
            <w:pPr>
              <w:snapToGrid w:val="0"/>
              <w:jc w:val="center"/>
              <w:rPr>
                <w:rFonts w:ascii="Century" w:eastAsia="ＭＳ 明朝" w:hAnsi="Century"/>
                <w:sz w:val="20"/>
                <w:szCs w:val="20"/>
              </w:rPr>
            </w:pPr>
            <w:r>
              <w:rPr>
                <w:rFonts w:ascii="Century" w:eastAsia="ＭＳ 明朝" w:hAnsi="Century" w:hint="eastAsia"/>
                <w:sz w:val="20"/>
                <w:szCs w:val="20"/>
              </w:rPr>
              <w:t>－</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565125" w:rsidRDefault="00866730" w:rsidP="00866730">
            <w:pPr>
              <w:snapToGrid w:val="0"/>
              <w:jc w:val="center"/>
              <w:rPr>
                <w:rFonts w:ascii="Century" w:eastAsia="ＭＳ 明朝" w:hAnsi="Century"/>
                <w:sz w:val="20"/>
                <w:szCs w:val="20"/>
              </w:rPr>
            </w:pPr>
            <w:r>
              <w:rPr>
                <w:rFonts w:ascii="Century" w:eastAsia="ＭＳ 明朝" w:hAnsi="Century"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3D29BD" w:rsidP="001366DF">
            <w:pPr>
              <w:snapToGrid w:val="0"/>
              <w:rPr>
                <w:rFonts w:ascii="Century" w:eastAsia="ＭＳ 明朝" w:hAnsi="Century"/>
                <w:sz w:val="20"/>
                <w:szCs w:val="20"/>
              </w:rPr>
            </w:pPr>
            <w:r w:rsidRPr="003D29BD">
              <w:rPr>
                <w:rFonts w:ascii="Century" w:eastAsia="ＭＳ 明朝" w:hAnsi="Century" w:hint="eastAsia"/>
                <w:sz w:val="20"/>
                <w:szCs w:val="20"/>
              </w:rPr>
              <w:t>耐震</w:t>
            </w:r>
            <w:r w:rsidR="001366DF">
              <w:rPr>
                <w:rFonts w:ascii="Century" w:eastAsia="ＭＳ 明朝" w:hAnsi="Century" w:hint="eastAsia"/>
                <w:sz w:val="20"/>
                <w:szCs w:val="20"/>
              </w:rPr>
              <w:t>目的</w:t>
            </w:r>
            <w:r w:rsidRPr="003D29BD">
              <w:rPr>
                <w:rFonts w:ascii="Century" w:eastAsia="ＭＳ 明朝" w:hAnsi="Century" w:hint="eastAsia"/>
                <w:sz w:val="20"/>
                <w:szCs w:val="20"/>
              </w:rPr>
              <w:t>の設備投資</w:t>
            </w:r>
            <w:r w:rsidR="001366DF">
              <w:rPr>
                <w:rFonts w:ascii="Century" w:eastAsia="ＭＳ 明朝" w:hAnsi="Century" w:hint="eastAsia"/>
                <w:sz w:val="20"/>
                <w:szCs w:val="20"/>
              </w:rPr>
              <w:t>、日本</w:t>
            </w:r>
            <w:r w:rsidRPr="003D29BD">
              <w:rPr>
                <w:rFonts w:ascii="Century" w:eastAsia="ＭＳ 明朝" w:hAnsi="Century" w:hint="eastAsia"/>
                <w:sz w:val="20"/>
                <w:szCs w:val="20"/>
              </w:rPr>
              <w:t>文化</w:t>
            </w:r>
            <w:r w:rsidR="001366DF">
              <w:rPr>
                <w:rFonts w:ascii="Century" w:eastAsia="ＭＳ 明朝" w:hAnsi="Century" w:hint="eastAsia"/>
                <w:sz w:val="20"/>
                <w:szCs w:val="20"/>
              </w:rPr>
              <w:t>を活かした</w:t>
            </w:r>
            <w:r w:rsidRPr="003D29BD">
              <w:rPr>
                <w:rFonts w:ascii="Century" w:eastAsia="ＭＳ 明朝" w:hAnsi="Century" w:hint="eastAsia"/>
                <w:sz w:val="20"/>
                <w:szCs w:val="20"/>
              </w:rPr>
              <w:t>内装や外観</w:t>
            </w:r>
            <w:r w:rsidR="001366DF">
              <w:rPr>
                <w:rFonts w:ascii="Century" w:eastAsia="ＭＳ 明朝" w:hAnsi="Century" w:hint="eastAsia"/>
                <w:sz w:val="20"/>
                <w:szCs w:val="20"/>
              </w:rPr>
              <w:t>の</w:t>
            </w:r>
            <w:r w:rsidRPr="003D29BD">
              <w:rPr>
                <w:rFonts w:ascii="Century" w:eastAsia="ＭＳ 明朝" w:hAnsi="Century" w:hint="eastAsia"/>
                <w:sz w:val="20"/>
                <w:szCs w:val="20"/>
              </w:rPr>
              <w:t>改装</w:t>
            </w:r>
            <w:r w:rsidR="001366DF">
              <w:rPr>
                <w:rFonts w:ascii="Century" w:eastAsia="ＭＳ 明朝" w:hAnsi="Century" w:hint="eastAsia"/>
                <w:sz w:val="20"/>
                <w:szCs w:val="20"/>
              </w:rPr>
              <w:t>などがみられ、クラウドファンディングによる資金調達の例もみられる。</w:t>
            </w:r>
          </w:p>
        </w:tc>
      </w:tr>
      <w:tr w:rsidR="0026213B" w:rsidTr="00290445">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E97259" w:rsidP="00E97259">
            <w:pPr>
              <w:snapToGrid w:val="0"/>
              <w:rPr>
                <w:rFonts w:ascii="Century" w:eastAsia="ＭＳ 明朝" w:hAnsi="Century"/>
                <w:sz w:val="20"/>
                <w:szCs w:val="20"/>
              </w:rPr>
            </w:pPr>
            <w:r w:rsidRPr="00E97259">
              <w:rPr>
                <w:rFonts w:ascii="Century" w:eastAsia="ＭＳ 明朝" w:hAnsi="Century" w:hint="eastAsia"/>
                <w:sz w:val="20"/>
                <w:szCs w:val="20"/>
              </w:rPr>
              <w:t>生産や販売に従事するパートやアルバイトの確保が難しい。製造経費に占める人件費の割合が３割程度と高く、給与アップが容易でない上、賞与支給のない会社もある。</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280475" w:rsidRDefault="00290445" w:rsidP="00290445">
            <w:pPr>
              <w:snapToGrid w:val="0"/>
              <w:jc w:val="center"/>
              <w:rPr>
                <w:rFonts w:ascii="Century" w:eastAsia="ＭＳ 明朝" w:hAnsi="Century"/>
                <w:sz w:val="20"/>
                <w:szCs w:val="20"/>
              </w:rPr>
            </w:pPr>
            <w:r>
              <w:rPr>
                <w:rFonts w:ascii="Century" w:eastAsia="ＭＳ 明朝" w:hAnsi="Century"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47302E" w:rsidRPr="00565125" w:rsidRDefault="0003423F" w:rsidP="0003423F">
            <w:pPr>
              <w:snapToGrid w:val="0"/>
              <w:rPr>
                <w:rFonts w:ascii="Century" w:eastAsia="ＭＳ 明朝" w:hAnsi="Century"/>
                <w:sz w:val="20"/>
                <w:szCs w:val="20"/>
              </w:rPr>
            </w:pPr>
            <w:r w:rsidRPr="0003423F">
              <w:rPr>
                <w:rFonts w:ascii="Century" w:eastAsia="ＭＳ 明朝" w:hAnsi="Century" w:hint="eastAsia"/>
                <w:sz w:val="20"/>
                <w:szCs w:val="20"/>
              </w:rPr>
              <w:t>解体・選別作業</w:t>
            </w:r>
            <w:r>
              <w:rPr>
                <w:rFonts w:ascii="Century" w:eastAsia="ＭＳ 明朝" w:hAnsi="Century" w:hint="eastAsia"/>
                <w:sz w:val="20"/>
                <w:szCs w:val="20"/>
              </w:rPr>
              <w:t>では</w:t>
            </w:r>
            <w:r w:rsidRPr="0003423F">
              <w:rPr>
                <w:rFonts w:ascii="Century" w:eastAsia="ＭＳ 明朝" w:hAnsi="Century" w:hint="eastAsia"/>
                <w:sz w:val="20"/>
                <w:szCs w:val="20"/>
              </w:rPr>
              <w:t>、エア工具、プラズマ切断機等の専門工具を使用する企業もみられる</w:t>
            </w:r>
            <w:r>
              <w:rPr>
                <w:rFonts w:ascii="Century" w:eastAsia="ＭＳ 明朝" w:hAnsi="Century" w:hint="eastAsia"/>
                <w:sz w:val="20"/>
                <w:szCs w:val="20"/>
              </w:rPr>
              <w:t>が</w:t>
            </w:r>
            <w:r w:rsidRPr="0003423F">
              <w:rPr>
                <w:rFonts w:ascii="Century" w:eastAsia="ＭＳ 明朝" w:hAnsi="Century" w:hint="eastAsia"/>
                <w:sz w:val="20"/>
                <w:szCs w:val="20"/>
              </w:rPr>
              <w:t>、手作業が中心であるため、人件費の負担が採算を圧迫している。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1366DF" w:rsidP="001366DF">
            <w:pPr>
              <w:snapToGrid w:val="0"/>
              <w:rPr>
                <w:rFonts w:ascii="Century" w:eastAsia="ＭＳ 明朝" w:hAnsi="Century"/>
                <w:sz w:val="20"/>
                <w:szCs w:val="20"/>
              </w:rPr>
            </w:pPr>
            <w:r w:rsidRPr="001366DF">
              <w:rPr>
                <w:rFonts w:ascii="Century" w:eastAsia="ＭＳ 明朝" w:hAnsi="Century" w:hint="eastAsia"/>
                <w:sz w:val="20"/>
                <w:szCs w:val="20"/>
              </w:rPr>
              <w:t>需要拡大</w:t>
            </w:r>
            <w:r>
              <w:rPr>
                <w:rFonts w:ascii="Century" w:eastAsia="ＭＳ 明朝" w:hAnsi="Century" w:hint="eastAsia"/>
                <w:sz w:val="20"/>
                <w:szCs w:val="20"/>
              </w:rPr>
              <w:t>で</w:t>
            </w:r>
            <w:r w:rsidRPr="001366DF">
              <w:rPr>
                <w:rFonts w:ascii="Century" w:eastAsia="ＭＳ 明朝" w:hAnsi="Century" w:hint="eastAsia"/>
                <w:sz w:val="20"/>
                <w:szCs w:val="20"/>
              </w:rPr>
              <w:t>人手不足感が強まっている</w:t>
            </w:r>
            <w:r>
              <w:rPr>
                <w:rFonts w:ascii="Century" w:eastAsia="ＭＳ 明朝" w:hAnsi="Century" w:hint="eastAsia"/>
                <w:sz w:val="20"/>
                <w:szCs w:val="20"/>
              </w:rPr>
              <w:t>が、</w:t>
            </w:r>
            <w:r w:rsidRPr="001366DF">
              <w:rPr>
                <w:rFonts w:ascii="Century" w:eastAsia="ＭＳ 明朝" w:hAnsi="Century" w:hint="eastAsia"/>
                <w:sz w:val="20"/>
                <w:szCs w:val="20"/>
              </w:rPr>
              <w:t>欠員補充を原則とする事業者が多い。留学生や日本在住の外国人をアルバイトなどで活用する例も増えている。</w:t>
            </w:r>
          </w:p>
        </w:tc>
      </w:tr>
      <w:tr w:rsidR="0026213B" w:rsidTr="00E97259">
        <w:trPr>
          <w:trHeight w:val="7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F807D5" w:rsidRDefault="00E97259" w:rsidP="002A3344">
            <w:pPr>
              <w:jc w:val="center"/>
              <w:rPr>
                <w:rFonts w:ascii="Century" w:eastAsia="ＭＳ 明朝" w:hAnsi="Century"/>
                <w:sz w:val="20"/>
                <w:szCs w:val="20"/>
              </w:rPr>
            </w:pPr>
            <w:r>
              <w:rPr>
                <w:rFonts w:ascii="Century" w:eastAsia="ＭＳ 明朝" w:hAnsi="Century"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280475" w:rsidRDefault="009511B2" w:rsidP="009511B2">
            <w:pPr>
              <w:jc w:val="left"/>
              <w:rPr>
                <w:rFonts w:ascii="Century" w:eastAsia="ＭＳ 明朝" w:hAnsi="Century"/>
                <w:sz w:val="20"/>
                <w:szCs w:val="20"/>
              </w:rPr>
            </w:pPr>
            <w:r>
              <w:rPr>
                <w:rFonts w:ascii="Century" w:eastAsia="ＭＳ 明朝" w:hAnsi="Century" w:hint="eastAsia"/>
                <w:sz w:val="20"/>
                <w:szCs w:val="20"/>
              </w:rPr>
              <w:t>天然香料価格の</w:t>
            </w:r>
            <w:r w:rsidR="00845CB0">
              <w:rPr>
                <w:rFonts w:ascii="Century" w:eastAsia="ＭＳ 明朝" w:hAnsi="Century" w:hint="eastAsia"/>
                <w:sz w:val="20"/>
                <w:szCs w:val="20"/>
              </w:rPr>
              <w:t>影響を受ける</w:t>
            </w:r>
            <w:r>
              <w:rPr>
                <w:rFonts w:ascii="Century" w:eastAsia="ＭＳ 明朝" w:hAnsi="Century" w:hint="eastAsia"/>
                <w:sz w:val="20"/>
                <w:szCs w:val="20"/>
              </w:rPr>
              <w:t>。</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565125" w:rsidRDefault="00867A61" w:rsidP="009511B2">
            <w:pPr>
              <w:jc w:val="left"/>
              <w:rPr>
                <w:rFonts w:ascii="Century" w:eastAsia="ＭＳ 明朝" w:hAnsi="Century"/>
                <w:sz w:val="20"/>
                <w:szCs w:val="20"/>
              </w:rPr>
            </w:pPr>
            <w:r>
              <w:rPr>
                <w:rFonts w:ascii="Century" w:eastAsia="ＭＳ 明朝" w:hAnsi="Century" w:hint="eastAsia"/>
                <w:sz w:val="20"/>
                <w:szCs w:val="20"/>
              </w:rPr>
              <w:t>在庫評価額の低下が影響</w:t>
            </w:r>
            <w:r w:rsidR="009511B2">
              <w:rPr>
                <w:rFonts w:ascii="Century" w:eastAsia="ＭＳ 明朝" w:hAnsi="Century" w:hint="eastAsia"/>
                <w:sz w:val="20"/>
                <w:szCs w:val="20"/>
              </w:rPr>
              <w:t>する。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1366DF" w:rsidP="009511B2">
            <w:pPr>
              <w:jc w:val="left"/>
              <w:rPr>
                <w:rFonts w:ascii="Century" w:eastAsia="ＭＳ 明朝" w:hAnsi="Century"/>
                <w:sz w:val="20"/>
                <w:szCs w:val="20"/>
              </w:rPr>
            </w:pPr>
            <w:r>
              <w:rPr>
                <w:rFonts w:ascii="Century" w:eastAsia="ＭＳ 明朝" w:hAnsi="Century" w:hint="eastAsia"/>
                <w:sz w:val="20"/>
                <w:szCs w:val="20"/>
              </w:rPr>
              <w:t>耐震設備投資の影響がみられる</w:t>
            </w:r>
            <w:r w:rsidR="009511B2">
              <w:rPr>
                <w:rFonts w:ascii="Century" w:eastAsia="ＭＳ 明朝" w:hAnsi="Century" w:hint="eastAsia"/>
                <w:sz w:val="20"/>
                <w:szCs w:val="20"/>
              </w:rPr>
              <w:t>。</w:t>
            </w:r>
          </w:p>
        </w:tc>
      </w:tr>
      <w:tr w:rsidR="0026213B" w:rsidTr="00D143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FD5781" w:rsidP="00FD5781">
            <w:pPr>
              <w:snapToGrid w:val="0"/>
              <w:rPr>
                <w:rFonts w:ascii="Century" w:eastAsia="ＭＳ 明朝" w:hAnsi="Century"/>
                <w:sz w:val="20"/>
                <w:szCs w:val="20"/>
              </w:rPr>
            </w:pPr>
            <w:r w:rsidRPr="00FD5781">
              <w:rPr>
                <w:rFonts w:ascii="Century" w:eastAsia="ＭＳ 明朝" w:hAnsi="Century" w:hint="eastAsia"/>
                <w:sz w:val="20"/>
                <w:szCs w:val="20"/>
              </w:rPr>
              <w:t>コンビニエンスストア等の新商品開発</w:t>
            </w:r>
            <w:r>
              <w:rPr>
                <w:rFonts w:ascii="Century" w:eastAsia="ＭＳ 明朝" w:hAnsi="Century" w:hint="eastAsia"/>
                <w:sz w:val="20"/>
                <w:szCs w:val="20"/>
              </w:rPr>
              <w:t>が売上の動向に</w:t>
            </w:r>
            <w:r w:rsidRPr="00FD5781">
              <w:rPr>
                <w:rFonts w:ascii="Century" w:eastAsia="ＭＳ 明朝" w:hAnsi="Century" w:hint="eastAsia"/>
                <w:sz w:val="20"/>
                <w:szCs w:val="20"/>
              </w:rPr>
              <w:t>影響</w:t>
            </w:r>
            <w:r>
              <w:rPr>
                <w:rFonts w:ascii="Century" w:eastAsia="ＭＳ 明朝" w:hAnsi="Century" w:hint="eastAsia"/>
                <w:sz w:val="20"/>
                <w:szCs w:val="20"/>
              </w:rPr>
              <w:t>するほかホテルや</w:t>
            </w:r>
            <w:r w:rsidRPr="00FD5781">
              <w:rPr>
                <w:rFonts w:ascii="Century" w:eastAsia="ＭＳ 明朝" w:hAnsi="Century" w:hint="eastAsia"/>
                <w:sz w:val="20"/>
                <w:szCs w:val="20"/>
              </w:rPr>
              <w:t>飲食店向けの食事用パンの伸びと安定性がみられ、中小企業の業況向上に寄与している。</w:t>
            </w:r>
          </w:p>
        </w:tc>
        <w:tc>
          <w:tcPr>
            <w:tcW w:w="1085" w:type="pct"/>
            <w:tcBorders>
              <w:top w:val="single" w:sz="4" w:space="0" w:color="auto"/>
              <w:left w:val="single" w:sz="4" w:space="0" w:color="auto"/>
              <w:bottom w:val="single" w:sz="4" w:space="0" w:color="auto"/>
              <w:right w:val="single" w:sz="4" w:space="0" w:color="auto"/>
            </w:tcBorders>
          </w:tcPr>
          <w:p w:rsidR="0026213B" w:rsidRPr="00280475" w:rsidRDefault="009511B2" w:rsidP="00BC7A08">
            <w:pPr>
              <w:snapToGrid w:val="0"/>
              <w:rPr>
                <w:rFonts w:ascii="Century" w:eastAsia="ＭＳ 明朝" w:hAnsi="Century"/>
                <w:sz w:val="20"/>
                <w:szCs w:val="20"/>
              </w:rPr>
            </w:pPr>
            <w:r>
              <w:rPr>
                <w:rFonts w:ascii="Century" w:eastAsia="ＭＳ 明朝" w:hAnsi="Century" w:hint="eastAsia"/>
                <w:sz w:val="20"/>
                <w:szCs w:val="20"/>
              </w:rPr>
              <w:t>火を使うため、高齢者施設では使用を禁止される一方で、仏事離れが進み、寺院向け、家庭向け共に</w:t>
            </w:r>
            <w:r w:rsidR="00BC7A08">
              <w:rPr>
                <w:rFonts w:ascii="Century" w:eastAsia="ＭＳ 明朝" w:hAnsi="Century" w:hint="eastAsia"/>
                <w:sz w:val="20"/>
                <w:szCs w:val="20"/>
              </w:rPr>
              <w:t>逓減</w:t>
            </w:r>
            <w:r>
              <w:rPr>
                <w:rFonts w:ascii="Century" w:eastAsia="ＭＳ 明朝" w:hAnsi="Century" w:hint="eastAsia"/>
                <w:sz w:val="20"/>
                <w:szCs w:val="20"/>
              </w:rPr>
              <w:t>傾向に歯止めが</w:t>
            </w:r>
            <w:bookmarkStart w:id="0" w:name="_GoBack"/>
            <w:bookmarkEnd w:id="0"/>
            <w:r>
              <w:rPr>
                <w:rFonts w:ascii="Century" w:eastAsia="ＭＳ 明朝" w:hAnsi="Century" w:hint="eastAsia"/>
                <w:sz w:val="20"/>
                <w:szCs w:val="20"/>
              </w:rPr>
              <w:t>かからない状況が長期に続いている。</w:t>
            </w:r>
          </w:p>
        </w:tc>
        <w:tc>
          <w:tcPr>
            <w:tcW w:w="1086" w:type="pct"/>
            <w:tcBorders>
              <w:top w:val="single" w:sz="4" w:space="0" w:color="auto"/>
              <w:left w:val="single" w:sz="4" w:space="0" w:color="auto"/>
              <w:bottom w:val="single" w:sz="4" w:space="0" w:color="auto"/>
              <w:right w:val="single" w:sz="4" w:space="0" w:color="auto"/>
            </w:tcBorders>
          </w:tcPr>
          <w:p w:rsidR="0026213B" w:rsidRPr="00565125" w:rsidRDefault="00867A61" w:rsidP="00F81313">
            <w:pPr>
              <w:snapToGrid w:val="0"/>
              <w:rPr>
                <w:rFonts w:ascii="Century" w:eastAsia="ＭＳ 明朝" w:hAnsi="Century"/>
                <w:sz w:val="20"/>
                <w:szCs w:val="20"/>
              </w:rPr>
            </w:pPr>
            <w:r w:rsidRPr="00867A61">
              <w:rPr>
                <w:rFonts w:ascii="Century" w:eastAsia="ＭＳ 明朝" w:hAnsi="Century" w:hint="eastAsia"/>
                <w:sz w:val="20"/>
                <w:szCs w:val="20"/>
              </w:rPr>
              <w:t>28</w:t>
            </w:r>
            <w:r w:rsidRPr="00867A61">
              <w:rPr>
                <w:rFonts w:ascii="Century" w:eastAsia="ＭＳ 明朝" w:hAnsi="Century" w:hint="eastAsia"/>
                <w:sz w:val="20"/>
                <w:szCs w:val="20"/>
              </w:rPr>
              <w:t>年</w:t>
            </w:r>
            <w:r w:rsidRPr="00867A61">
              <w:rPr>
                <w:rFonts w:ascii="Century" w:eastAsia="ＭＳ 明朝" w:hAnsi="Century" w:hint="eastAsia"/>
                <w:sz w:val="20"/>
                <w:szCs w:val="20"/>
              </w:rPr>
              <w:t>11</w:t>
            </w:r>
            <w:r w:rsidRPr="00867A61">
              <w:rPr>
                <w:rFonts w:ascii="Century" w:eastAsia="ＭＳ 明朝" w:hAnsi="Century" w:hint="eastAsia"/>
                <w:sz w:val="20"/>
                <w:szCs w:val="20"/>
              </w:rPr>
              <w:t>月の米国大統領選挙</w:t>
            </w:r>
            <w:r>
              <w:rPr>
                <w:rFonts w:ascii="Century" w:eastAsia="ＭＳ 明朝" w:hAnsi="Century" w:hint="eastAsia"/>
                <w:sz w:val="20"/>
                <w:szCs w:val="20"/>
              </w:rPr>
              <w:t>の結果を受けてロンドン金属取引所相場</w:t>
            </w:r>
            <w:r w:rsidRPr="00867A61">
              <w:rPr>
                <w:rFonts w:ascii="Century" w:eastAsia="ＭＳ 明朝" w:hAnsi="Century" w:hint="eastAsia"/>
                <w:sz w:val="20"/>
                <w:szCs w:val="20"/>
              </w:rPr>
              <w:t>が上昇し</w:t>
            </w:r>
            <w:r>
              <w:rPr>
                <w:rFonts w:ascii="Century" w:eastAsia="ＭＳ 明朝" w:hAnsi="Century" w:hint="eastAsia"/>
                <w:sz w:val="20"/>
                <w:szCs w:val="20"/>
              </w:rPr>
              <w:t>、売上増などの業績改善が期待されているが、上昇</w:t>
            </w:r>
            <w:r w:rsidR="00F81313">
              <w:rPr>
                <w:rFonts w:ascii="Century" w:eastAsia="ＭＳ 明朝" w:hAnsi="Century" w:hint="eastAsia"/>
                <w:sz w:val="20"/>
                <w:szCs w:val="20"/>
              </w:rPr>
              <w:t>が</w:t>
            </w:r>
            <w:r>
              <w:rPr>
                <w:rFonts w:ascii="Century" w:eastAsia="ＭＳ 明朝" w:hAnsi="Century" w:hint="eastAsia"/>
                <w:sz w:val="20"/>
                <w:szCs w:val="20"/>
              </w:rPr>
              <w:t>継続</w:t>
            </w:r>
            <w:r w:rsidR="00F81313">
              <w:rPr>
                <w:rFonts w:ascii="Century" w:eastAsia="ＭＳ 明朝" w:hAnsi="Century" w:hint="eastAsia"/>
                <w:sz w:val="20"/>
                <w:szCs w:val="20"/>
              </w:rPr>
              <w:t>するかどうか</w:t>
            </w:r>
            <w:r>
              <w:rPr>
                <w:rFonts w:ascii="Century" w:eastAsia="ＭＳ 明朝" w:hAnsi="Century" w:hint="eastAsia"/>
                <w:sz w:val="20"/>
                <w:szCs w:val="20"/>
              </w:rPr>
              <w:t>不確定</w:t>
            </w:r>
            <w:r w:rsidR="00F81313">
              <w:rPr>
                <w:rFonts w:ascii="Century" w:eastAsia="ＭＳ 明朝" w:hAnsi="Century" w:hint="eastAsia"/>
                <w:sz w:val="20"/>
                <w:szCs w:val="20"/>
              </w:rPr>
              <w:t>的</w:t>
            </w:r>
            <w:r>
              <w:rPr>
                <w:rFonts w:ascii="Century" w:eastAsia="ＭＳ 明朝" w:hAnsi="Century" w:hint="eastAsia"/>
                <w:sz w:val="20"/>
                <w:szCs w:val="20"/>
              </w:rPr>
              <w:t>である。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3954B3" w:rsidP="003954B3">
            <w:pPr>
              <w:snapToGrid w:val="0"/>
              <w:rPr>
                <w:rFonts w:ascii="Century" w:eastAsia="ＭＳ 明朝" w:hAnsi="Century"/>
                <w:sz w:val="20"/>
                <w:szCs w:val="20"/>
              </w:rPr>
            </w:pPr>
            <w:r w:rsidRPr="003954B3">
              <w:rPr>
                <w:rFonts w:ascii="Century" w:eastAsia="ＭＳ 明朝" w:hAnsi="Century" w:hint="eastAsia"/>
                <w:sz w:val="20"/>
                <w:szCs w:val="20"/>
              </w:rPr>
              <w:t>春以降、需要の動きが弱まっている。</w:t>
            </w:r>
            <w:r>
              <w:rPr>
                <w:rFonts w:ascii="Century" w:eastAsia="ＭＳ 明朝" w:hAnsi="Century" w:hint="eastAsia"/>
                <w:sz w:val="20"/>
                <w:szCs w:val="20"/>
              </w:rPr>
              <w:t>ホテルの新規開業の影響のほか、</w:t>
            </w:r>
            <w:r w:rsidRPr="003954B3">
              <w:rPr>
                <w:rFonts w:ascii="Century" w:eastAsia="ＭＳ 明朝" w:hAnsi="Century" w:hint="eastAsia"/>
                <w:sz w:val="20"/>
                <w:szCs w:val="20"/>
              </w:rPr>
              <w:t>民泊の増加</w:t>
            </w:r>
            <w:r>
              <w:rPr>
                <w:rFonts w:ascii="Century" w:eastAsia="ＭＳ 明朝" w:hAnsi="Century" w:hint="eastAsia"/>
                <w:sz w:val="20"/>
                <w:szCs w:val="20"/>
              </w:rPr>
              <w:t>は</w:t>
            </w:r>
            <w:r w:rsidRPr="003954B3">
              <w:rPr>
                <w:rFonts w:ascii="Century" w:eastAsia="ＭＳ 明朝" w:hAnsi="Century" w:hint="eastAsia"/>
                <w:sz w:val="20"/>
                <w:szCs w:val="20"/>
              </w:rPr>
              <w:t>、価格帯が比較的近い旅館やビジネスホテルなどに大きな影響</w:t>
            </w:r>
            <w:r>
              <w:rPr>
                <w:rFonts w:ascii="Century" w:eastAsia="ＭＳ 明朝" w:hAnsi="Century" w:hint="eastAsia"/>
                <w:sz w:val="20"/>
                <w:szCs w:val="20"/>
              </w:rPr>
              <w:t>をもたらしている。</w:t>
            </w:r>
          </w:p>
        </w:tc>
      </w:tr>
      <w:tr w:rsidR="0026213B" w:rsidRPr="003954B3" w:rsidTr="00D143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26213B" w:rsidRPr="00F807D5" w:rsidRDefault="002916F7" w:rsidP="00FD5781">
            <w:pPr>
              <w:snapToGrid w:val="0"/>
              <w:rPr>
                <w:rFonts w:ascii="Century" w:eastAsia="ＭＳ 明朝" w:hAnsi="Century"/>
                <w:sz w:val="20"/>
                <w:szCs w:val="20"/>
              </w:rPr>
            </w:pPr>
            <w:r w:rsidRPr="002916F7">
              <w:rPr>
                <w:rFonts w:ascii="Century" w:eastAsia="ＭＳ 明朝" w:hAnsi="Century" w:hint="eastAsia"/>
                <w:sz w:val="20"/>
                <w:szCs w:val="20"/>
              </w:rPr>
              <w:t>高齢化の進展、学校給食のパン食の減少、パンの内需拡大の見通しなどが業況に影響</w:t>
            </w:r>
            <w:r>
              <w:rPr>
                <w:rFonts w:ascii="Century" w:eastAsia="ＭＳ 明朝" w:hAnsi="Century" w:hint="eastAsia"/>
                <w:sz w:val="20"/>
                <w:szCs w:val="20"/>
              </w:rPr>
              <w:t>すると</w:t>
            </w:r>
            <w:r w:rsidRPr="002916F7">
              <w:rPr>
                <w:rFonts w:ascii="Century" w:eastAsia="ＭＳ 明朝" w:hAnsi="Century" w:hint="eastAsia"/>
                <w:sz w:val="20"/>
                <w:szCs w:val="20"/>
              </w:rPr>
              <w:t>考えられ</w:t>
            </w:r>
            <w:r>
              <w:rPr>
                <w:rFonts w:ascii="Century" w:eastAsia="ＭＳ 明朝" w:hAnsi="Century" w:hint="eastAsia"/>
                <w:sz w:val="20"/>
                <w:szCs w:val="20"/>
              </w:rPr>
              <w:t>、付加価値</w:t>
            </w:r>
            <w:r w:rsidR="00FD5781">
              <w:rPr>
                <w:rFonts w:ascii="Century" w:eastAsia="ＭＳ 明朝" w:hAnsi="Century" w:hint="eastAsia"/>
                <w:sz w:val="20"/>
                <w:szCs w:val="20"/>
              </w:rPr>
              <w:t>が求められている。</w:t>
            </w:r>
          </w:p>
        </w:tc>
        <w:tc>
          <w:tcPr>
            <w:tcW w:w="1085" w:type="pct"/>
            <w:tcBorders>
              <w:top w:val="single" w:sz="4" w:space="0" w:color="auto"/>
              <w:left w:val="single" w:sz="4" w:space="0" w:color="auto"/>
              <w:bottom w:val="single" w:sz="4" w:space="0" w:color="auto"/>
              <w:right w:val="single" w:sz="4" w:space="0" w:color="auto"/>
            </w:tcBorders>
          </w:tcPr>
          <w:p w:rsidR="0026213B" w:rsidRPr="00280475" w:rsidRDefault="00695769" w:rsidP="00695769">
            <w:pPr>
              <w:snapToGrid w:val="0"/>
              <w:rPr>
                <w:rFonts w:ascii="Century" w:eastAsia="ＭＳ 明朝" w:hAnsi="Century"/>
                <w:sz w:val="20"/>
                <w:szCs w:val="20"/>
              </w:rPr>
            </w:pPr>
            <w:r w:rsidRPr="00695769">
              <w:rPr>
                <w:rFonts w:ascii="Century" w:eastAsia="ＭＳ 明朝" w:hAnsi="Century" w:hint="eastAsia"/>
                <w:sz w:val="20"/>
                <w:szCs w:val="20"/>
              </w:rPr>
              <w:t>日本薫物工業会</w:t>
            </w:r>
            <w:r>
              <w:rPr>
                <w:rFonts w:ascii="Century" w:eastAsia="ＭＳ 明朝" w:hAnsi="Century" w:hint="eastAsia"/>
                <w:sz w:val="20"/>
                <w:szCs w:val="20"/>
              </w:rPr>
              <w:t>や</w:t>
            </w:r>
            <w:r w:rsidRPr="00695769">
              <w:rPr>
                <w:rFonts w:ascii="Century" w:eastAsia="ＭＳ 明朝" w:hAnsi="Century" w:hint="eastAsia"/>
                <w:sz w:val="20"/>
                <w:szCs w:val="20"/>
              </w:rPr>
              <w:t>堺線香協同組合</w:t>
            </w:r>
            <w:r>
              <w:rPr>
                <w:rFonts w:ascii="Century" w:eastAsia="ＭＳ 明朝" w:hAnsi="Century" w:hint="eastAsia"/>
                <w:sz w:val="20"/>
                <w:szCs w:val="20"/>
              </w:rPr>
              <w:t>などは</w:t>
            </w:r>
            <w:r w:rsidRPr="00695769">
              <w:rPr>
                <w:rFonts w:ascii="Century" w:eastAsia="ＭＳ 明朝" w:hAnsi="Century" w:hint="eastAsia"/>
                <w:sz w:val="20"/>
                <w:szCs w:val="20"/>
              </w:rPr>
              <w:t>、</w:t>
            </w:r>
            <w:r>
              <w:rPr>
                <w:rFonts w:ascii="Century" w:eastAsia="ＭＳ 明朝" w:hAnsi="Century" w:hint="eastAsia"/>
                <w:sz w:val="20"/>
                <w:szCs w:val="20"/>
              </w:rPr>
              <w:t>国内</w:t>
            </w:r>
            <w:r w:rsidRPr="00695769">
              <w:rPr>
                <w:rFonts w:ascii="Century" w:eastAsia="ＭＳ 明朝" w:hAnsi="Century" w:hint="eastAsia"/>
                <w:sz w:val="20"/>
                <w:szCs w:val="20"/>
              </w:rPr>
              <w:t>需要の逓減傾向に歯止めをかけ、</w:t>
            </w:r>
            <w:r>
              <w:rPr>
                <w:rFonts w:ascii="Century" w:eastAsia="ＭＳ 明朝" w:hAnsi="Century" w:hint="eastAsia"/>
                <w:sz w:val="20"/>
                <w:szCs w:val="20"/>
              </w:rPr>
              <w:t>新たな</w:t>
            </w:r>
            <w:r w:rsidRPr="00695769">
              <w:rPr>
                <w:rFonts w:ascii="Century" w:eastAsia="ＭＳ 明朝" w:hAnsi="Century" w:hint="eastAsia"/>
                <w:sz w:val="20"/>
                <w:szCs w:val="20"/>
              </w:rPr>
              <w:t>需要を掘り起こす</w:t>
            </w:r>
            <w:r>
              <w:rPr>
                <w:rFonts w:ascii="Century" w:eastAsia="ＭＳ 明朝" w:hAnsi="Century" w:hint="eastAsia"/>
                <w:sz w:val="20"/>
                <w:szCs w:val="20"/>
              </w:rPr>
              <w:t>ための取組をしている。</w:t>
            </w:r>
          </w:p>
        </w:tc>
        <w:tc>
          <w:tcPr>
            <w:tcW w:w="1086" w:type="pct"/>
            <w:tcBorders>
              <w:top w:val="single" w:sz="4" w:space="0" w:color="auto"/>
              <w:left w:val="single" w:sz="4" w:space="0" w:color="auto"/>
              <w:bottom w:val="single" w:sz="4" w:space="0" w:color="auto"/>
              <w:right w:val="single" w:sz="4" w:space="0" w:color="auto"/>
            </w:tcBorders>
          </w:tcPr>
          <w:p w:rsidR="0026213B" w:rsidRPr="00565125" w:rsidRDefault="00867A61" w:rsidP="00866730">
            <w:pPr>
              <w:snapToGrid w:val="0"/>
              <w:rPr>
                <w:rFonts w:ascii="Century" w:eastAsia="ＭＳ 明朝" w:hAnsi="Century"/>
                <w:sz w:val="20"/>
                <w:szCs w:val="20"/>
              </w:rPr>
            </w:pPr>
            <w:r w:rsidRPr="00867A61">
              <w:rPr>
                <w:rFonts w:ascii="Century" w:eastAsia="ＭＳ 明朝" w:hAnsi="Century" w:hint="eastAsia"/>
                <w:sz w:val="20"/>
                <w:szCs w:val="20"/>
              </w:rPr>
              <w:t>国内</w:t>
            </w:r>
            <w:r>
              <w:rPr>
                <w:rFonts w:ascii="Century" w:eastAsia="ＭＳ 明朝" w:hAnsi="Century" w:hint="eastAsia"/>
                <w:sz w:val="20"/>
                <w:szCs w:val="20"/>
              </w:rPr>
              <w:t>の</w:t>
            </w:r>
            <w:r w:rsidRPr="00867A61">
              <w:rPr>
                <w:rFonts w:ascii="Century" w:eastAsia="ＭＳ 明朝" w:hAnsi="Century" w:hint="eastAsia"/>
                <w:sz w:val="20"/>
                <w:szCs w:val="20"/>
              </w:rPr>
              <w:t>加工量の減少を受け、</w:t>
            </w:r>
            <w:r w:rsidR="00436637">
              <w:rPr>
                <w:rFonts w:ascii="Century" w:eastAsia="ＭＳ 明朝" w:hAnsi="Century" w:hint="eastAsia"/>
                <w:sz w:val="20"/>
                <w:szCs w:val="20"/>
              </w:rPr>
              <w:t>今後も需要</w:t>
            </w:r>
            <w:r w:rsidR="00866730">
              <w:rPr>
                <w:rFonts w:ascii="Century" w:eastAsia="ＭＳ 明朝" w:hAnsi="Century" w:hint="eastAsia"/>
                <w:sz w:val="20"/>
                <w:szCs w:val="20"/>
              </w:rPr>
              <w:t>の減少</w:t>
            </w:r>
            <w:r w:rsidRPr="00867A61">
              <w:rPr>
                <w:rFonts w:ascii="Century" w:eastAsia="ＭＳ 明朝" w:hAnsi="Century" w:hint="eastAsia"/>
                <w:sz w:val="20"/>
                <w:szCs w:val="20"/>
              </w:rPr>
              <w:t>が見込まれている。</w:t>
            </w:r>
            <w:r w:rsidR="00436637">
              <w:rPr>
                <w:rFonts w:ascii="Century" w:eastAsia="ＭＳ 明朝" w:hAnsi="Century" w:hint="eastAsia"/>
                <w:sz w:val="20"/>
                <w:szCs w:val="20"/>
              </w:rPr>
              <w:t>財務や人材確保</w:t>
            </w:r>
            <w:r w:rsidR="00866730">
              <w:rPr>
                <w:rFonts w:ascii="Century" w:eastAsia="ＭＳ 明朝" w:hAnsi="Century" w:hint="eastAsia"/>
                <w:sz w:val="20"/>
                <w:szCs w:val="20"/>
              </w:rPr>
              <w:t>面で不利な立場の小</w:t>
            </w:r>
            <w:r w:rsidRPr="00867A61">
              <w:rPr>
                <w:rFonts w:ascii="Century" w:eastAsia="ＭＳ 明朝" w:hAnsi="Century" w:hint="eastAsia"/>
                <w:sz w:val="20"/>
                <w:szCs w:val="20"/>
              </w:rPr>
              <w:t>規模業者の減少が懸念される。</w:t>
            </w:r>
          </w:p>
        </w:tc>
        <w:tc>
          <w:tcPr>
            <w:tcW w:w="1086" w:type="pct"/>
            <w:tcBorders>
              <w:top w:val="single" w:sz="4" w:space="0" w:color="auto"/>
              <w:left w:val="single" w:sz="4" w:space="0" w:color="auto"/>
              <w:bottom w:val="single" w:sz="4" w:space="0" w:color="auto"/>
              <w:right w:val="single" w:sz="4" w:space="0" w:color="auto"/>
            </w:tcBorders>
          </w:tcPr>
          <w:p w:rsidR="0026213B" w:rsidRPr="00F319DF" w:rsidRDefault="001366DF" w:rsidP="003954B3">
            <w:pPr>
              <w:snapToGrid w:val="0"/>
              <w:rPr>
                <w:rFonts w:ascii="Century" w:eastAsia="ＭＳ 明朝" w:hAnsi="Century"/>
                <w:sz w:val="20"/>
                <w:szCs w:val="20"/>
              </w:rPr>
            </w:pPr>
            <w:r w:rsidRPr="001366DF">
              <w:rPr>
                <w:rFonts w:ascii="Century" w:eastAsia="ＭＳ 明朝" w:hAnsi="Century" w:hint="eastAsia"/>
                <w:sz w:val="20"/>
                <w:szCs w:val="20"/>
              </w:rPr>
              <w:t>設備投資</w:t>
            </w:r>
            <w:r w:rsidR="003954B3">
              <w:rPr>
                <w:rFonts w:ascii="Century" w:eastAsia="ＭＳ 明朝" w:hAnsi="Century" w:hint="eastAsia"/>
                <w:sz w:val="20"/>
                <w:szCs w:val="20"/>
              </w:rPr>
              <w:t>、</w:t>
            </w:r>
            <w:r w:rsidRPr="001366DF">
              <w:rPr>
                <w:rFonts w:ascii="Century" w:eastAsia="ＭＳ 明朝" w:hAnsi="Century" w:hint="eastAsia"/>
                <w:sz w:val="20"/>
                <w:szCs w:val="20"/>
              </w:rPr>
              <w:t>人材育成</w:t>
            </w:r>
            <w:r w:rsidR="003954B3">
              <w:rPr>
                <w:rFonts w:ascii="Century" w:eastAsia="ＭＳ 明朝" w:hAnsi="Century" w:hint="eastAsia"/>
                <w:sz w:val="20"/>
                <w:szCs w:val="20"/>
              </w:rPr>
              <w:t>、</w:t>
            </w:r>
            <w:r w:rsidRPr="001366DF">
              <w:rPr>
                <w:rFonts w:ascii="Century" w:eastAsia="ＭＳ 明朝" w:hAnsi="Century" w:hint="eastAsia"/>
                <w:sz w:val="20"/>
                <w:szCs w:val="20"/>
              </w:rPr>
              <w:t>魅力向上を</w:t>
            </w:r>
            <w:r w:rsidR="003954B3">
              <w:rPr>
                <w:rFonts w:ascii="Century" w:eastAsia="ＭＳ 明朝" w:hAnsi="Century" w:hint="eastAsia"/>
                <w:sz w:val="20"/>
                <w:szCs w:val="20"/>
              </w:rPr>
              <w:t>通じて稼働率の維持向上を図る</w:t>
            </w:r>
            <w:r w:rsidRPr="001366DF">
              <w:rPr>
                <w:rFonts w:ascii="Century" w:eastAsia="ＭＳ 明朝" w:hAnsi="Century" w:hint="eastAsia"/>
                <w:sz w:val="20"/>
                <w:szCs w:val="20"/>
              </w:rPr>
              <w:t>必要</w:t>
            </w:r>
            <w:r w:rsidR="003954B3">
              <w:rPr>
                <w:rFonts w:ascii="Century" w:eastAsia="ＭＳ 明朝" w:hAnsi="Century" w:hint="eastAsia"/>
                <w:sz w:val="20"/>
                <w:szCs w:val="20"/>
              </w:rPr>
              <w:t>性を</w:t>
            </w:r>
            <w:r w:rsidRPr="001366DF">
              <w:rPr>
                <w:rFonts w:ascii="Century" w:eastAsia="ＭＳ 明朝" w:hAnsi="Century" w:hint="eastAsia"/>
                <w:sz w:val="20"/>
                <w:szCs w:val="20"/>
              </w:rPr>
              <w:t>認識</w:t>
            </w:r>
            <w:r>
              <w:rPr>
                <w:rFonts w:ascii="Century" w:eastAsia="ＭＳ 明朝" w:hAnsi="Century" w:hint="eastAsia"/>
                <w:sz w:val="20"/>
                <w:szCs w:val="20"/>
              </w:rPr>
              <w:t>する</w:t>
            </w:r>
            <w:r w:rsidR="003954B3">
              <w:rPr>
                <w:rFonts w:ascii="Century" w:eastAsia="ＭＳ 明朝" w:hAnsi="Century" w:hint="eastAsia"/>
                <w:sz w:val="20"/>
                <w:szCs w:val="20"/>
              </w:rPr>
              <w:t>ほか、</w:t>
            </w:r>
            <w:r w:rsidRPr="001366DF">
              <w:rPr>
                <w:rFonts w:ascii="Century" w:eastAsia="ＭＳ 明朝" w:hAnsi="Century" w:hint="eastAsia"/>
                <w:sz w:val="20"/>
                <w:szCs w:val="20"/>
              </w:rPr>
              <w:t>違法民泊</w:t>
            </w:r>
            <w:r>
              <w:rPr>
                <w:rFonts w:ascii="Century" w:eastAsia="ＭＳ 明朝" w:hAnsi="Century" w:hint="eastAsia"/>
                <w:sz w:val="20"/>
                <w:szCs w:val="20"/>
              </w:rPr>
              <w:t>の</w:t>
            </w:r>
            <w:r w:rsidR="003954B3">
              <w:rPr>
                <w:rFonts w:ascii="Century" w:eastAsia="ＭＳ 明朝" w:hAnsi="Century" w:hint="eastAsia"/>
                <w:sz w:val="20"/>
                <w:szCs w:val="20"/>
              </w:rPr>
              <w:t>動向を注視する事業者も多い。</w:t>
            </w:r>
          </w:p>
        </w:tc>
      </w:tr>
    </w:tbl>
    <w:p w:rsidR="0026213B" w:rsidRPr="003954B3" w:rsidRDefault="0026213B" w:rsidP="003954B3">
      <w:pPr>
        <w:widowControl/>
        <w:jc w:val="left"/>
        <w:rPr>
          <w:rFonts w:asciiTheme="majorEastAsia" w:eastAsiaTheme="majorEastAsia" w:hAnsiTheme="majorEastAsia"/>
          <w:szCs w:val="21"/>
        </w:rPr>
      </w:pPr>
    </w:p>
    <w:sectPr w:rsidR="0026213B" w:rsidRPr="003954B3"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9C" w:rsidRDefault="00671B9C" w:rsidP="002B15B0">
      <w:r>
        <w:separator/>
      </w:r>
    </w:p>
  </w:endnote>
  <w:endnote w:type="continuationSeparator" w:id="0">
    <w:p w:rsidR="00671B9C" w:rsidRDefault="00671B9C"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9C" w:rsidRDefault="00671B9C" w:rsidP="002B15B0">
      <w:r>
        <w:separator/>
      </w:r>
    </w:p>
  </w:footnote>
  <w:footnote w:type="continuationSeparator" w:id="0">
    <w:p w:rsidR="00671B9C" w:rsidRDefault="00671B9C"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423F"/>
    <w:rsid w:val="00035198"/>
    <w:rsid w:val="00041BB9"/>
    <w:rsid w:val="0004408A"/>
    <w:rsid w:val="000521EC"/>
    <w:rsid w:val="000547F5"/>
    <w:rsid w:val="00056F27"/>
    <w:rsid w:val="000577E3"/>
    <w:rsid w:val="00070044"/>
    <w:rsid w:val="00075D4C"/>
    <w:rsid w:val="000767D3"/>
    <w:rsid w:val="000854B4"/>
    <w:rsid w:val="00092A32"/>
    <w:rsid w:val="0009578E"/>
    <w:rsid w:val="000A245B"/>
    <w:rsid w:val="000A7073"/>
    <w:rsid w:val="000C7FB0"/>
    <w:rsid w:val="000D243E"/>
    <w:rsid w:val="000D2956"/>
    <w:rsid w:val="000D38D3"/>
    <w:rsid w:val="000D6315"/>
    <w:rsid w:val="000E310E"/>
    <w:rsid w:val="000F659A"/>
    <w:rsid w:val="001023F6"/>
    <w:rsid w:val="00103140"/>
    <w:rsid w:val="00110FFF"/>
    <w:rsid w:val="001137F4"/>
    <w:rsid w:val="00117E33"/>
    <w:rsid w:val="00121998"/>
    <w:rsid w:val="00124242"/>
    <w:rsid w:val="00125F6A"/>
    <w:rsid w:val="001304A7"/>
    <w:rsid w:val="00133527"/>
    <w:rsid w:val="001366DF"/>
    <w:rsid w:val="001378B1"/>
    <w:rsid w:val="00142BEE"/>
    <w:rsid w:val="001512FD"/>
    <w:rsid w:val="00151AE0"/>
    <w:rsid w:val="00156D5E"/>
    <w:rsid w:val="0016371F"/>
    <w:rsid w:val="00164204"/>
    <w:rsid w:val="00165A70"/>
    <w:rsid w:val="00166B08"/>
    <w:rsid w:val="001705A2"/>
    <w:rsid w:val="00174670"/>
    <w:rsid w:val="00175D3D"/>
    <w:rsid w:val="0017622B"/>
    <w:rsid w:val="00177A1B"/>
    <w:rsid w:val="00177B13"/>
    <w:rsid w:val="00177D9E"/>
    <w:rsid w:val="001808CB"/>
    <w:rsid w:val="00180BAB"/>
    <w:rsid w:val="00181AED"/>
    <w:rsid w:val="00184D32"/>
    <w:rsid w:val="00186DE4"/>
    <w:rsid w:val="00190447"/>
    <w:rsid w:val="001931CB"/>
    <w:rsid w:val="00196D22"/>
    <w:rsid w:val="001A246E"/>
    <w:rsid w:val="001A34E0"/>
    <w:rsid w:val="001A53F0"/>
    <w:rsid w:val="001A6386"/>
    <w:rsid w:val="001B1D2E"/>
    <w:rsid w:val="001B402F"/>
    <w:rsid w:val="001B6025"/>
    <w:rsid w:val="001B644B"/>
    <w:rsid w:val="001B6A98"/>
    <w:rsid w:val="001C0083"/>
    <w:rsid w:val="001C127F"/>
    <w:rsid w:val="001D1FFB"/>
    <w:rsid w:val="001D62C1"/>
    <w:rsid w:val="001E2D02"/>
    <w:rsid w:val="001E5C7A"/>
    <w:rsid w:val="001E5FAC"/>
    <w:rsid w:val="001F39B2"/>
    <w:rsid w:val="001F5929"/>
    <w:rsid w:val="00203997"/>
    <w:rsid w:val="00205AE7"/>
    <w:rsid w:val="0021082A"/>
    <w:rsid w:val="00212D96"/>
    <w:rsid w:val="00223D14"/>
    <w:rsid w:val="00232C60"/>
    <w:rsid w:val="0023618D"/>
    <w:rsid w:val="00236E6C"/>
    <w:rsid w:val="00241AD8"/>
    <w:rsid w:val="00244F75"/>
    <w:rsid w:val="00252D44"/>
    <w:rsid w:val="002572AA"/>
    <w:rsid w:val="00257CE4"/>
    <w:rsid w:val="002609B1"/>
    <w:rsid w:val="00260B89"/>
    <w:rsid w:val="00260FE1"/>
    <w:rsid w:val="0026213B"/>
    <w:rsid w:val="0026471A"/>
    <w:rsid w:val="0026503B"/>
    <w:rsid w:val="00266174"/>
    <w:rsid w:val="0027077E"/>
    <w:rsid w:val="00271EE3"/>
    <w:rsid w:val="00280475"/>
    <w:rsid w:val="002806C5"/>
    <w:rsid w:val="00283B37"/>
    <w:rsid w:val="002846B7"/>
    <w:rsid w:val="00290445"/>
    <w:rsid w:val="002916F7"/>
    <w:rsid w:val="00295D3E"/>
    <w:rsid w:val="002A191F"/>
    <w:rsid w:val="002A3344"/>
    <w:rsid w:val="002A40DF"/>
    <w:rsid w:val="002B15B0"/>
    <w:rsid w:val="002B2C44"/>
    <w:rsid w:val="002B3AC4"/>
    <w:rsid w:val="002B7DBD"/>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22487"/>
    <w:rsid w:val="00323964"/>
    <w:rsid w:val="00326123"/>
    <w:rsid w:val="0032701A"/>
    <w:rsid w:val="0033028F"/>
    <w:rsid w:val="00332EDE"/>
    <w:rsid w:val="003347A5"/>
    <w:rsid w:val="00340E68"/>
    <w:rsid w:val="00344E14"/>
    <w:rsid w:val="0034700A"/>
    <w:rsid w:val="00352265"/>
    <w:rsid w:val="00352610"/>
    <w:rsid w:val="003639C9"/>
    <w:rsid w:val="00363BAC"/>
    <w:rsid w:val="0036544E"/>
    <w:rsid w:val="00366627"/>
    <w:rsid w:val="00370F43"/>
    <w:rsid w:val="003740D6"/>
    <w:rsid w:val="00376D2E"/>
    <w:rsid w:val="003853C5"/>
    <w:rsid w:val="003930B2"/>
    <w:rsid w:val="003954B3"/>
    <w:rsid w:val="003977BC"/>
    <w:rsid w:val="003A2537"/>
    <w:rsid w:val="003A38B7"/>
    <w:rsid w:val="003A59FF"/>
    <w:rsid w:val="003B0CE9"/>
    <w:rsid w:val="003B31A3"/>
    <w:rsid w:val="003B3370"/>
    <w:rsid w:val="003B6324"/>
    <w:rsid w:val="003C0E90"/>
    <w:rsid w:val="003C357C"/>
    <w:rsid w:val="003C52E1"/>
    <w:rsid w:val="003D29BD"/>
    <w:rsid w:val="003E0E0F"/>
    <w:rsid w:val="003E0E6B"/>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5F11"/>
    <w:rsid w:val="00465FD1"/>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C5B98"/>
    <w:rsid w:val="004D1D75"/>
    <w:rsid w:val="004D4A6C"/>
    <w:rsid w:val="004D53AF"/>
    <w:rsid w:val="004E077B"/>
    <w:rsid w:val="004F0FD8"/>
    <w:rsid w:val="004F4A67"/>
    <w:rsid w:val="005023F0"/>
    <w:rsid w:val="00504106"/>
    <w:rsid w:val="00505AEF"/>
    <w:rsid w:val="00510D89"/>
    <w:rsid w:val="00522D59"/>
    <w:rsid w:val="00526EEB"/>
    <w:rsid w:val="00535A35"/>
    <w:rsid w:val="00535E32"/>
    <w:rsid w:val="00543226"/>
    <w:rsid w:val="00543F66"/>
    <w:rsid w:val="0054739E"/>
    <w:rsid w:val="00547437"/>
    <w:rsid w:val="00554C2D"/>
    <w:rsid w:val="00565125"/>
    <w:rsid w:val="00566418"/>
    <w:rsid w:val="005664EA"/>
    <w:rsid w:val="005668D8"/>
    <w:rsid w:val="00571847"/>
    <w:rsid w:val="00581634"/>
    <w:rsid w:val="005829CB"/>
    <w:rsid w:val="00583C0B"/>
    <w:rsid w:val="005841BF"/>
    <w:rsid w:val="00586351"/>
    <w:rsid w:val="005916A2"/>
    <w:rsid w:val="00591E57"/>
    <w:rsid w:val="0059339A"/>
    <w:rsid w:val="00597AEB"/>
    <w:rsid w:val="005A0E09"/>
    <w:rsid w:val="005A2C58"/>
    <w:rsid w:val="005B16EE"/>
    <w:rsid w:val="005B31CC"/>
    <w:rsid w:val="005C1B2A"/>
    <w:rsid w:val="005C2115"/>
    <w:rsid w:val="005C6311"/>
    <w:rsid w:val="005D22E8"/>
    <w:rsid w:val="005D6F14"/>
    <w:rsid w:val="005F0A5F"/>
    <w:rsid w:val="005F16CA"/>
    <w:rsid w:val="005F2BEA"/>
    <w:rsid w:val="00603492"/>
    <w:rsid w:val="00604397"/>
    <w:rsid w:val="006043FE"/>
    <w:rsid w:val="00604EA5"/>
    <w:rsid w:val="00605B4A"/>
    <w:rsid w:val="00614824"/>
    <w:rsid w:val="006153E3"/>
    <w:rsid w:val="0061557A"/>
    <w:rsid w:val="00615831"/>
    <w:rsid w:val="006166D9"/>
    <w:rsid w:val="00617F51"/>
    <w:rsid w:val="00620CF9"/>
    <w:rsid w:val="00624D1A"/>
    <w:rsid w:val="00625C6F"/>
    <w:rsid w:val="00630A6B"/>
    <w:rsid w:val="0063170C"/>
    <w:rsid w:val="006349C8"/>
    <w:rsid w:val="00645E29"/>
    <w:rsid w:val="0064706F"/>
    <w:rsid w:val="00647ABE"/>
    <w:rsid w:val="00661442"/>
    <w:rsid w:val="00664B91"/>
    <w:rsid w:val="00670B8C"/>
    <w:rsid w:val="00671B9C"/>
    <w:rsid w:val="006727CC"/>
    <w:rsid w:val="00676783"/>
    <w:rsid w:val="00681CA8"/>
    <w:rsid w:val="006922DC"/>
    <w:rsid w:val="006951D9"/>
    <w:rsid w:val="00695769"/>
    <w:rsid w:val="00697371"/>
    <w:rsid w:val="006A2024"/>
    <w:rsid w:val="006A23D0"/>
    <w:rsid w:val="006B4265"/>
    <w:rsid w:val="006C11B5"/>
    <w:rsid w:val="006C7AFD"/>
    <w:rsid w:val="006D2FAF"/>
    <w:rsid w:val="006D3D49"/>
    <w:rsid w:val="006D60CB"/>
    <w:rsid w:val="006D6FB3"/>
    <w:rsid w:val="006F29B6"/>
    <w:rsid w:val="006F6E8B"/>
    <w:rsid w:val="006F706B"/>
    <w:rsid w:val="00717D85"/>
    <w:rsid w:val="007202E3"/>
    <w:rsid w:val="00721687"/>
    <w:rsid w:val="00722734"/>
    <w:rsid w:val="00722D2B"/>
    <w:rsid w:val="00723E11"/>
    <w:rsid w:val="00726983"/>
    <w:rsid w:val="00732C07"/>
    <w:rsid w:val="007331FB"/>
    <w:rsid w:val="00741235"/>
    <w:rsid w:val="00742594"/>
    <w:rsid w:val="00742AD6"/>
    <w:rsid w:val="0075106D"/>
    <w:rsid w:val="007575B7"/>
    <w:rsid w:val="00770283"/>
    <w:rsid w:val="007738FA"/>
    <w:rsid w:val="007765E1"/>
    <w:rsid w:val="00780E26"/>
    <w:rsid w:val="00783D37"/>
    <w:rsid w:val="00791F61"/>
    <w:rsid w:val="00792675"/>
    <w:rsid w:val="007978FB"/>
    <w:rsid w:val="00797930"/>
    <w:rsid w:val="007A01CE"/>
    <w:rsid w:val="007B7692"/>
    <w:rsid w:val="007D08CB"/>
    <w:rsid w:val="007D640E"/>
    <w:rsid w:val="007D6CFA"/>
    <w:rsid w:val="007E522E"/>
    <w:rsid w:val="007F3BA2"/>
    <w:rsid w:val="007F5364"/>
    <w:rsid w:val="007F7899"/>
    <w:rsid w:val="00800000"/>
    <w:rsid w:val="0080464F"/>
    <w:rsid w:val="008058DF"/>
    <w:rsid w:val="008100E0"/>
    <w:rsid w:val="0082703B"/>
    <w:rsid w:val="00827C22"/>
    <w:rsid w:val="00830069"/>
    <w:rsid w:val="00833335"/>
    <w:rsid w:val="00837CA9"/>
    <w:rsid w:val="00844D50"/>
    <w:rsid w:val="00845CB0"/>
    <w:rsid w:val="008628FB"/>
    <w:rsid w:val="00862CCB"/>
    <w:rsid w:val="00863EE1"/>
    <w:rsid w:val="00866730"/>
    <w:rsid w:val="00867A61"/>
    <w:rsid w:val="008713D0"/>
    <w:rsid w:val="00875E73"/>
    <w:rsid w:val="0087683B"/>
    <w:rsid w:val="00877605"/>
    <w:rsid w:val="0088089D"/>
    <w:rsid w:val="00882321"/>
    <w:rsid w:val="00885629"/>
    <w:rsid w:val="00885DF0"/>
    <w:rsid w:val="00892FF2"/>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D418B"/>
    <w:rsid w:val="008D539F"/>
    <w:rsid w:val="008E0309"/>
    <w:rsid w:val="008E0B58"/>
    <w:rsid w:val="008E483F"/>
    <w:rsid w:val="008E70CB"/>
    <w:rsid w:val="008E7E9E"/>
    <w:rsid w:val="008F17A2"/>
    <w:rsid w:val="008F1BBB"/>
    <w:rsid w:val="00903AAE"/>
    <w:rsid w:val="00906799"/>
    <w:rsid w:val="009149F1"/>
    <w:rsid w:val="0092287C"/>
    <w:rsid w:val="00924631"/>
    <w:rsid w:val="00935951"/>
    <w:rsid w:val="009409C2"/>
    <w:rsid w:val="00940E9A"/>
    <w:rsid w:val="00941B96"/>
    <w:rsid w:val="00941D1D"/>
    <w:rsid w:val="00941D61"/>
    <w:rsid w:val="00942814"/>
    <w:rsid w:val="0094445C"/>
    <w:rsid w:val="00950DC7"/>
    <w:rsid w:val="009511B2"/>
    <w:rsid w:val="00953F6C"/>
    <w:rsid w:val="009552D6"/>
    <w:rsid w:val="00973B10"/>
    <w:rsid w:val="009749D2"/>
    <w:rsid w:val="00986F67"/>
    <w:rsid w:val="00992785"/>
    <w:rsid w:val="009958C3"/>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51CE"/>
    <w:rsid w:val="009E0451"/>
    <w:rsid w:val="009F0273"/>
    <w:rsid w:val="009F052C"/>
    <w:rsid w:val="009F4D2F"/>
    <w:rsid w:val="00A069FC"/>
    <w:rsid w:val="00A2111E"/>
    <w:rsid w:val="00A276ED"/>
    <w:rsid w:val="00A30550"/>
    <w:rsid w:val="00A3111C"/>
    <w:rsid w:val="00A411CC"/>
    <w:rsid w:val="00A43D85"/>
    <w:rsid w:val="00A47FCC"/>
    <w:rsid w:val="00A520F7"/>
    <w:rsid w:val="00A53D4C"/>
    <w:rsid w:val="00A5610D"/>
    <w:rsid w:val="00A579C1"/>
    <w:rsid w:val="00A57A25"/>
    <w:rsid w:val="00A60053"/>
    <w:rsid w:val="00A6350E"/>
    <w:rsid w:val="00A80A05"/>
    <w:rsid w:val="00A80A78"/>
    <w:rsid w:val="00A901CD"/>
    <w:rsid w:val="00A94597"/>
    <w:rsid w:val="00AA2041"/>
    <w:rsid w:val="00AB2712"/>
    <w:rsid w:val="00AB4608"/>
    <w:rsid w:val="00AB4AE0"/>
    <w:rsid w:val="00AB650E"/>
    <w:rsid w:val="00AC2135"/>
    <w:rsid w:val="00AC5BA5"/>
    <w:rsid w:val="00AD0662"/>
    <w:rsid w:val="00AD12A3"/>
    <w:rsid w:val="00AD2511"/>
    <w:rsid w:val="00AD796A"/>
    <w:rsid w:val="00AE0AE8"/>
    <w:rsid w:val="00AF06E2"/>
    <w:rsid w:val="00AF3800"/>
    <w:rsid w:val="00AF3D18"/>
    <w:rsid w:val="00B10B2A"/>
    <w:rsid w:val="00B153B0"/>
    <w:rsid w:val="00B16219"/>
    <w:rsid w:val="00B20126"/>
    <w:rsid w:val="00B2110C"/>
    <w:rsid w:val="00B2238A"/>
    <w:rsid w:val="00B343D1"/>
    <w:rsid w:val="00B3666A"/>
    <w:rsid w:val="00B438EC"/>
    <w:rsid w:val="00B44881"/>
    <w:rsid w:val="00B45B46"/>
    <w:rsid w:val="00B46477"/>
    <w:rsid w:val="00B528BF"/>
    <w:rsid w:val="00B54129"/>
    <w:rsid w:val="00B56765"/>
    <w:rsid w:val="00B765A4"/>
    <w:rsid w:val="00B77D43"/>
    <w:rsid w:val="00B81AFE"/>
    <w:rsid w:val="00B8282E"/>
    <w:rsid w:val="00B830E0"/>
    <w:rsid w:val="00B84F5E"/>
    <w:rsid w:val="00B878D3"/>
    <w:rsid w:val="00B9127B"/>
    <w:rsid w:val="00B923A9"/>
    <w:rsid w:val="00B94218"/>
    <w:rsid w:val="00B96DFA"/>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4DBC"/>
    <w:rsid w:val="00BF603C"/>
    <w:rsid w:val="00C01535"/>
    <w:rsid w:val="00C11539"/>
    <w:rsid w:val="00C1190F"/>
    <w:rsid w:val="00C1430B"/>
    <w:rsid w:val="00C22643"/>
    <w:rsid w:val="00C229D9"/>
    <w:rsid w:val="00C23799"/>
    <w:rsid w:val="00C269A2"/>
    <w:rsid w:val="00C3073D"/>
    <w:rsid w:val="00C30A15"/>
    <w:rsid w:val="00C36D2A"/>
    <w:rsid w:val="00C41F7B"/>
    <w:rsid w:val="00C43342"/>
    <w:rsid w:val="00C45A56"/>
    <w:rsid w:val="00C47A35"/>
    <w:rsid w:val="00C52608"/>
    <w:rsid w:val="00C5423F"/>
    <w:rsid w:val="00C6165A"/>
    <w:rsid w:val="00C63BB8"/>
    <w:rsid w:val="00C657FF"/>
    <w:rsid w:val="00C66E97"/>
    <w:rsid w:val="00C67053"/>
    <w:rsid w:val="00C73224"/>
    <w:rsid w:val="00C7455C"/>
    <w:rsid w:val="00C760FC"/>
    <w:rsid w:val="00C81251"/>
    <w:rsid w:val="00C847EE"/>
    <w:rsid w:val="00C84952"/>
    <w:rsid w:val="00C856F9"/>
    <w:rsid w:val="00C85FB9"/>
    <w:rsid w:val="00C924F8"/>
    <w:rsid w:val="00CA2760"/>
    <w:rsid w:val="00CA4135"/>
    <w:rsid w:val="00CA5E87"/>
    <w:rsid w:val="00CA749E"/>
    <w:rsid w:val="00CB067F"/>
    <w:rsid w:val="00CB3841"/>
    <w:rsid w:val="00CC3690"/>
    <w:rsid w:val="00CC5BC7"/>
    <w:rsid w:val="00CC63A8"/>
    <w:rsid w:val="00CD2FD2"/>
    <w:rsid w:val="00CD3D3C"/>
    <w:rsid w:val="00CD559B"/>
    <w:rsid w:val="00CD642A"/>
    <w:rsid w:val="00CE038C"/>
    <w:rsid w:val="00CE0699"/>
    <w:rsid w:val="00CE2E8D"/>
    <w:rsid w:val="00CE5847"/>
    <w:rsid w:val="00CF37AA"/>
    <w:rsid w:val="00CF5F87"/>
    <w:rsid w:val="00CF788C"/>
    <w:rsid w:val="00D0027B"/>
    <w:rsid w:val="00D04ECD"/>
    <w:rsid w:val="00D05AF5"/>
    <w:rsid w:val="00D10CBE"/>
    <w:rsid w:val="00D118DA"/>
    <w:rsid w:val="00D1433F"/>
    <w:rsid w:val="00D1698A"/>
    <w:rsid w:val="00D2292C"/>
    <w:rsid w:val="00D27B8C"/>
    <w:rsid w:val="00D30F83"/>
    <w:rsid w:val="00D31C9D"/>
    <w:rsid w:val="00D34256"/>
    <w:rsid w:val="00D3475A"/>
    <w:rsid w:val="00D44DBB"/>
    <w:rsid w:val="00D46279"/>
    <w:rsid w:val="00D47639"/>
    <w:rsid w:val="00D54BB5"/>
    <w:rsid w:val="00D554E4"/>
    <w:rsid w:val="00D62DFD"/>
    <w:rsid w:val="00D664A7"/>
    <w:rsid w:val="00D701A9"/>
    <w:rsid w:val="00D70A82"/>
    <w:rsid w:val="00D72416"/>
    <w:rsid w:val="00D7448C"/>
    <w:rsid w:val="00D749DC"/>
    <w:rsid w:val="00D75859"/>
    <w:rsid w:val="00D77A64"/>
    <w:rsid w:val="00D81D08"/>
    <w:rsid w:val="00D838EE"/>
    <w:rsid w:val="00D85753"/>
    <w:rsid w:val="00D87045"/>
    <w:rsid w:val="00D87BB5"/>
    <w:rsid w:val="00D9023B"/>
    <w:rsid w:val="00D90895"/>
    <w:rsid w:val="00D927B0"/>
    <w:rsid w:val="00D95317"/>
    <w:rsid w:val="00D95546"/>
    <w:rsid w:val="00DA011F"/>
    <w:rsid w:val="00DA2123"/>
    <w:rsid w:val="00DA2ABA"/>
    <w:rsid w:val="00DA4A34"/>
    <w:rsid w:val="00DA50AB"/>
    <w:rsid w:val="00DA7B5E"/>
    <w:rsid w:val="00DA7F02"/>
    <w:rsid w:val="00DB1470"/>
    <w:rsid w:val="00DB3834"/>
    <w:rsid w:val="00DB3F01"/>
    <w:rsid w:val="00DB4731"/>
    <w:rsid w:val="00DC1D25"/>
    <w:rsid w:val="00DC3D37"/>
    <w:rsid w:val="00DC6C24"/>
    <w:rsid w:val="00DD01DC"/>
    <w:rsid w:val="00DD51EF"/>
    <w:rsid w:val="00DD701B"/>
    <w:rsid w:val="00DD7F97"/>
    <w:rsid w:val="00DE171E"/>
    <w:rsid w:val="00DE35AD"/>
    <w:rsid w:val="00DE74A3"/>
    <w:rsid w:val="00DF037E"/>
    <w:rsid w:val="00E00D26"/>
    <w:rsid w:val="00E030E2"/>
    <w:rsid w:val="00E06172"/>
    <w:rsid w:val="00E07E79"/>
    <w:rsid w:val="00E1226C"/>
    <w:rsid w:val="00E131D7"/>
    <w:rsid w:val="00E157ED"/>
    <w:rsid w:val="00E167CC"/>
    <w:rsid w:val="00E226C2"/>
    <w:rsid w:val="00E248AE"/>
    <w:rsid w:val="00E30BEF"/>
    <w:rsid w:val="00E33E1D"/>
    <w:rsid w:val="00E3499B"/>
    <w:rsid w:val="00E35BBF"/>
    <w:rsid w:val="00E4176F"/>
    <w:rsid w:val="00E45124"/>
    <w:rsid w:val="00E550F2"/>
    <w:rsid w:val="00E55421"/>
    <w:rsid w:val="00E73B1B"/>
    <w:rsid w:val="00E92507"/>
    <w:rsid w:val="00E936A7"/>
    <w:rsid w:val="00E97259"/>
    <w:rsid w:val="00EA2F7A"/>
    <w:rsid w:val="00EA5448"/>
    <w:rsid w:val="00EA6856"/>
    <w:rsid w:val="00EB074B"/>
    <w:rsid w:val="00EB3791"/>
    <w:rsid w:val="00EB59F4"/>
    <w:rsid w:val="00EB6231"/>
    <w:rsid w:val="00EB7EAD"/>
    <w:rsid w:val="00EC01A4"/>
    <w:rsid w:val="00EC0BD0"/>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9DF"/>
    <w:rsid w:val="00F34826"/>
    <w:rsid w:val="00F35BCC"/>
    <w:rsid w:val="00F40624"/>
    <w:rsid w:val="00F4193B"/>
    <w:rsid w:val="00F41C24"/>
    <w:rsid w:val="00F52F51"/>
    <w:rsid w:val="00F577F2"/>
    <w:rsid w:val="00F63566"/>
    <w:rsid w:val="00F6402D"/>
    <w:rsid w:val="00F711E9"/>
    <w:rsid w:val="00F72293"/>
    <w:rsid w:val="00F75A3C"/>
    <w:rsid w:val="00F807D5"/>
    <w:rsid w:val="00F81313"/>
    <w:rsid w:val="00F843CB"/>
    <w:rsid w:val="00F849C6"/>
    <w:rsid w:val="00F928F7"/>
    <w:rsid w:val="00FA0D9F"/>
    <w:rsid w:val="00FA18FC"/>
    <w:rsid w:val="00FA1AA0"/>
    <w:rsid w:val="00FA43FD"/>
    <w:rsid w:val="00FA5B24"/>
    <w:rsid w:val="00FA6698"/>
    <w:rsid w:val="00FB1366"/>
    <w:rsid w:val="00FB1A16"/>
    <w:rsid w:val="00FB2812"/>
    <w:rsid w:val="00FB3BDB"/>
    <w:rsid w:val="00FC1B7F"/>
    <w:rsid w:val="00FC1EEC"/>
    <w:rsid w:val="00FD3D25"/>
    <w:rsid w:val="00FD4CC6"/>
    <w:rsid w:val="00FD5781"/>
    <w:rsid w:val="00FD6C1B"/>
    <w:rsid w:val="00FD75D7"/>
    <w:rsid w:val="00FE0135"/>
    <w:rsid w:val="00FE1CF9"/>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0847668850553982"/>
        </c:manualLayout>
      </c:layout>
      <c:lineChart>
        <c:grouping val="standard"/>
        <c:varyColors val="0"/>
        <c:ser>
          <c:idx val="1"/>
          <c:order val="0"/>
          <c:tx>
            <c:strRef>
              <c:f>'[Microsoft Word 内のグラフ]Sheet1 (2)'!$A$9:$B$9</c:f>
              <c:strCache>
                <c:ptCount val="1"/>
                <c:pt idx="0">
                  <c:v>景況判断（大阪） 全産業</c:v>
                </c:pt>
              </c:strCache>
            </c:strRef>
          </c:tx>
          <c:spPr>
            <a:ln w="6350">
              <a:solidFill>
                <a:schemeClr val="tx1"/>
              </a:solidFill>
            </a:ln>
          </c:spPr>
          <c:marker>
            <c:symbol val="none"/>
          </c:marker>
          <c:cat>
            <c:multiLvlStrRef>
              <c:f>'[Microsoft Word 内のグラフ]Sheet1 (2)'!$H$1:$R$2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2014年</c:v>
                  </c:pt>
                  <c:pt idx="3">
                    <c:v>2015年</c:v>
                  </c:pt>
                  <c:pt idx="7">
                    <c:v>2016年</c:v>
                  </c:pt>
                </c:lvl>
              </c:multiLvlStrCache>
            </c:multiLvlStrRef>
          </c:cat>
          <c:val>
            <c:numRef>
              <c:f>'[Microsoft Word 内のグラフ]Sheet1 (2)'!$H$9:$R$9</c:f>
              <c:numCache>
                <c:formatCode>General</c:formatCode>
                <c:ptCount val="11"/>
                <c:pt idx="0">
                  <c:v>-23.6</c:v>
                </c:pt>
                <c:pt idx="1">
                  <c:v>-15.3</c:v>
                </c:pt>
                <c:pt idx="2">
                  <c:v>-17.5</c:v>
                </c:pt>
                <c:pt idx="3">
                  <c:v>-16.899999999999999</c:v>
                </c:pt>
                <c:pt idx="4">
                  <c:v>-17.399999999999999</c:v>
                </c:pt>
                <c:pt idx="5" formatCode="0.0">
                  <c:v>-16</c:v>
                </c:pt>
                <c:pt idx="6" formatCode="0.0">
                  <c:v>-15.6</c:v>
                </c:pt>
                <c:pt idx="7" formatCode="0.0">
                  <c:v>-19.399999999999999</c:v>
                </c:pt>
                <c:pt idx="8" formatCode="0.0">
                  <c:v>-19.600000000000001</c:v>
                </c:pt>
                <c:pt idx="9" formatCode="0.0">
                  <c:v>-19.8</c:v>
                </c:pt>
                <c:pt idx="10" formatCode="0.0">
                  <c:v>-20</c:v>
                </c:pt>
              </c:numCache>
            </c:numRef>
          </c:val>
          <c:smooth val="0"/>
        </c:ser>
        <c:ser>
          <c:idx val="0"/>
          <c:order val="1"/>
          <c:tx>
            <c:strRef>
              <c:f>'[Microsoft Word 内のグラフ]Sheet1 (2)'!$A$10:$B$10</c:f>
              <c:strCache>
                <c:ptCount val="1"/>
                <c:pt idx="0">
                  <c:v>景況判断（大阪） 製造業</c:v>
                </c:pt>
              </c:strCache>
            </c:strRef>
          </c:tx>
          <c:spPr>
            <a:ln w="6350">
              <a:solidFill>
                <a:schemeClr val="tx1"/>
              </a:solidFill>
              <a:prstDash val="sysDash"/>
            </a:ln>
          </c:spPr>
          <c:marker>
            <c:symbol val="none"/>
          </c:marker>
          <c:cat>
            <c:multiLvlStrRef>
              <c:f>'[Microsoft Word 内のグラフ]Sheet1 (2)'!$H$1:$R$2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2014年</c:v>
                  </c:pt>
                  <c:pt idx="3">
                    <c:v>2015年</c:v>
                  </c:pt>
                  <c:pt idx="7">
                    <c:v>2016年</c:v>
                  </c:pt>
                </c:lvl>
              </c:multiLvlStrCache>
            </c:multiLvlStrRef>
          </c:cat>
          <c:val>
            <c:numRef>
              <c:f>'[Microsoft Word 内のグラフ]Sheet1 (2)'!$H$10:$R$10</c:f>
              <c:numCache>
                <c:formatCode>General</c:formatCode>
                <c:ptCount val="11"/>
                <c:pt idx="0">
                  <c:v>-11.8</c:v>
                </c:pt>
                <c:pt idx="1">
                  <c:v>-4.7</c:v>
                </c:pt>
                <c:pt idx="2" formatCode="0.0">
                  <c:v>-10</c:v>
                </c:pt>
                <c:pt idx="3" formatCode="0.0">
                  <c:v>-10</c:v>
                </c:pt>
                <c:pt idx="4" formatCode="0.0">
                  <c:v>-14.3</c:v>
                </c:pt>
                <c:pt idx="5" formatCode="0.0">
                  <c:v>-9.8000000000000007</c:v>
                </c:pt>
                <c:pt idx="6" formatCode="0.0">
                  <c:v>-9.9</c:v>
                </c:pt>
                <c:pt idx="7" formatCode="0.0">
                  <c:v>-17.7</c:v>
                </c:pt>
                <c:pt idx="8" formatCode="0.0">
                  <c:v>-10.7</c:v>
                </c:pt>
                <c:pt idx="9" formatCode="0.0">
                  <c:v>-18.5</c:v>
                </c:pt>
                <c:pt idx="10" formatCode="0.0">
                  <c:v>-16.5</c:v>
                </c:pt>
              </c:numCache>
            </c:numRef>
          </c:val>
          <c:smooth val="0"/>
        </c:ser>
        <c:ser>
          <c:idx val="2"/>
          <c:order val="2"/>
          <c:tx>
            <c:strRef>
              <c:f>'[Microsoft Word 内のグラフ]Sheet1 (2)'!$A$11:$B$11</c:f>
              <c:strCache>
                <c:ptCount val="1"/>
                <c:pt idx="0">
                  <c:v>景況判断（大阪） 非製造業</c:v>
                </c:pt>
              </c:strCache>
            </c:strRef>
          </c:tx>
          <c:spPr>
            <a:ln w="6350">
              <a:solidFill>
                <a:schemeClr val="tx1"/>
              </a:solidFill>
              <a:prstDash val="dash"/>
            </a:ln>
          </c:spPr>
          <c:marker>
            <c:symbol val="none"/>
          </c:marker>
          <c:cat>
            <c:multiLvlStrRef>
              <c:f>'[Microsoft Word 内のグラフ]Sheet1 (2)'!$H$1:$R$2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2014年</c:v>
                  </c:pt>
                  <c:pt idx="3">
                    <c:v>2015年</c:v>
                  </c:pt>
                  <c:pt idx="7">
                    <c:v>2016年</c:v>
                  </c:pt>
                </c:lvl>
              </c:multiLvlStrCache>
            </c:multiLvlStrRef>
          </c:cat>
          <c:val>
            <c:numRef>
              <c:f>'[Microsoft Word 内のグラフ]Sheet1 (2)'!$H$11:$R$11</c:f>
              <c:numCache>
                <c:formatCode>General</c:formatCode>
                <c:ptCount val="11"/>
                <c:pt idx="0">
                  <c:v>-28.4</c:v>
                </c:pt>
                <c:pt idx="1">
                  <c:v>-19.8</c:v>
                </c:pt>
                <c:pt idx="2" formatCode="0.0_ ">
                  <c:v>-20.6</c:v>
                </c:pt>
                <c:pt idx="3" formatCode="0.0_ ">
                  <c:v>-20.2</c:v>
                </c:pt>
                <c:pt idx="4" formatCode="0.0_ ">
                  <c:v>-18.5</c:v>
                </c:pt>
                <c:pt idx="5" formatCode="0.0_ ">
                  <c:v>-18.399999999999999</c:v>
                </c:pt>
                <c:pt idx="6" formatCode="0.0_ ">
                  <c:v>-18.399999999999999</c:v>
                </c:pt>
                <c:pt idx="7" formatCode="0.0_ ">
                  <c:v>-20.100000000000001</c:v>
                </c:pt>
                <c:pt idx="8" formatCode="0.0_ ">
                  <c:v>-23.1</c:v>
                </c:pt>
                <c:pt idx="9" formatCode="0.0_ ">
                  <c:v>-20.6</c:v>
                </c:pt>
                <c:pt idx="10" formatCode="0.0_ ">
                  <c:v>-21.2</c:v>
                </c:pt>
              </c:numCache>
            </c:numRef>
          </c:val>
          <c:smooth val="0"/>
        </c:ser>
        <c:ser>
          <c:idx val="3"/>
          <c:order val="3"/>
          <c:tx>
            <c:strRef>
              <c:f>'[Microsoft Word 内のグラフ]Sheet1 (2)'!$A$12:$B$12</c:f>
              <c:strCache>
                <c:ptCount val="1"/>
                <c:pt idx="0">
                  <c:v>ゼロ線 0</c:v>
                </c:pt>
              </c:strCache>
            </c:strRef>
          </c:tx>
          <c:spPr>
            <a:ln w="6350" cmpd="sng">
              <a:solidFill>
                <a:schemeClr val="tx1"/>
              </a:solidFill>
              <a:prstDash val="solid"/>
            </a:ln>
          </c:spPr>
          <c:marker>
            <c:symbol val="none"/>
          </c:marker>
          <c:cat>
            <c:multiLvlStrRef>
              <c:f>'[Microsoft Word 内のグラフ]Sheet1 (2)'!$H$1:$R$2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2014年</c:v>
                  </c:pt>
                  <c:pt idx="3">
                    <c:v>2015年</c:v>
                  </c:pt>
                  <c:pt idx="7">
                    <c:v>2016年</c:v>
                  </c:pt>
                </c:lvl>
              </c:multiLvlStrCache>
            </c:multiLvlStrRef>
          </c:cat>
          <c:val>
            <c:numRef>
              <c:f>'[Microsoft Word 内のグラフ]Sheet1 (2)'!$H$12:$R$12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177909248"/>
        <c:axId val="210739200"/>
      </c:lineChart>
      <c:catAx>
        <c:axId val="177909248"/>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210739200"/>
        <c:crossesAt val="-45"/>
        <c:auto val="1"/>
        <c:lblAlgn val="ctr"/>
        <c:lblOffset val="100"/>
        <c:noMultiLvlLbl val="0"/>
      </c:catAx>
      <c:valAx>
        <c:axId val="210739200"/>
        <c:scaling>
          <c:orientation val="minMax"/>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177909248"/>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0.8007</cdr:x>
      <cdr:y>0.1077</cdr:y>
    </cdr:from>
    <cdr:to>
      <cdr:x>0.92769</cdr:x>
      <cdr:y>0.26749</cdr:y>
    </cdr:to>
    <cdr:sp macro="" textlink="">
      <cdr:nvSpPr>
        <cdr:cNvPr id="2" name="正方形/長方形 1"/>
        <cdr:cNvSpPr/>
      </cdr:nvSpPr>
      <cdr:spPr>
        <a:xfrm xmlns:a="http://schemas.openxmlformats.org/drawingml/2006/main">
          <a:off x="4324318" y="166190"/>
          <a:ext cx="685832" cy="24655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ja-JP" altLang="en-US" sz="900">
              <a:solidFill>
                <a:sysClr val="windowText" lastClr="000000"/>
              </a:solidFill>
            </a:rPr>
            <a:t>製造業</a:t>
          </a:r>
        </a:p>
      </cdr:txBody>
    </cdr:sp>
  </cdr:relSizeAnchor>
  <cdr:relSizeAnchor xmlns:cdr="http://schemas.openxmlformats.org/drawingml/2006/chartDrawing">
    <cdr:from>
      <cdr:x>0.29982</cdr:x>
      <cdr:y>0.08025</cdr:y>
    </cdr:from>
    <cdr:to>
      <cdr:x>0.40388</cdr:x>
      <cdr:y>0.27161</cdr:y>
    </cdr:to>
    <cdr:sp macro="" textlink="">
      <cdr:nvSpPr>
        <cdr:cNvPr id="3" name="正方形/長方形 2"/>
        <cdr:cNvSpPr/>
      </cdr:nvSpPr>
      <cdr:spPr>
        <a:xfrm xmlns:a="http://schemas.openxmlformats.org/drawingml/2006/main">
          <a:off x="1619250" y="123825"/>
          <a:ext cx="561975" cy="295276"/>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全産業</a:t>
          </a:r>
          <a:endParaRPr lang="ja-JP" sz="900">
            <a:solidFill>
              <a:sysClr val="windowText" lastClr="000000"/>
            </a:solidFill>
          </a:endParaRPr>
        </a:p>
      </cdr:txBody>
    </cdr:sp>
  </cdr:relSizeAnchor>
  <cdr:relSizeAnchor xmlns:cdr="http://schemas.openxmlformats.org/drawingml/2006/chartDrawing">
    <cdr:from>
      <cdr:x>0.78836</cdr:x>
      <cdr:y>0.21344</cdr:y>
    </cdr:from>
    <cdr:to>
      <cdr:x>0.82304</cdr:x>
      <cdr:y>0.33951</cdr:y>
    </cdr:to>
    <cdr:cxnSp macro="">
      <cdr:nvCxnSpPr>
        <cdr:cNvPr id="6" name="直線矢印コネクタ 5"/>
        <cdr:cNvCxnSpPr/>
      </cdr:nvCxnSpPr>
      <cdr:spPr>
        <a:xfrm xmlns:a="http://schemas.openxmlformats.org/drawingml/2006/main" flipH="1">
          <a:off x="4257675" y="329344"/>
          <a:ext cx="187312" cy="19453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0.3592</cdr:x>
      <cdr:y>0.22222</cdr:y>
    </cdr:from>
    <cdr:to>
      <cdr:x>0.37213</cdr:x>
      <cdr:y>0.39695</cdr:y>
    </cdr:to>
    <cdr:cxnSp macro="">
      <cdr:nvCxnSpPr>
        <cdr:cNvPr id="7" name="直線矢印コネクタ 6"/>
        <cdr:cNvCxnSpPr>
          <a:stCxn xmlns:a="http://schemas.openxmlformats.org/drawingml/2006/main" id="12" idx="2"/>
        </cdr:cNvCxnSpPr>
      </cdr:nvCxnSpPr>
      <cdr:spPr>
        <a:xfrm xmlns:a="http://schemas.openxmlformats.org/drawingml/2006/main">
          <a:off x="1939923" y="277281"/>
          <a:ext cx="69852" cy="218019"/>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0.30923</cdr:x>
      <cdr:y>0.11317</cdr:y>
    </cdr:from>
    <cdr:to>
      <cdr:x>0.40917</cdr:x>
      <cdr:y>0.22222</cdr:y>
    </cdr:to>
    <cdr:sp macro="" textlink="">
      <cdr:nvSpPr>
        <cdr:cNvPr id="12" name="正方形/長方形 11"/>
        <cdr:cNvSpPr/>
      </cdr:nvSpPr>
      <cdr:spPr>
        <a:xfrm xmlns:a="http://schemas.openxmlformats.org/drawingml/2006/main">
          <a:off x="1670051" y="174625"/>
          <a:ext cx="539750" cy="168276"/>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0.48735</cdr:x>
      <cdr:y>0.51099</cdr:y>
    </cdr:from>
    <cdr:to>
      <cdr:x>0.61434</cdr:x>
      <cdr:y>0.67078</cdr:y>
    </cdr:to>
    <cdr:sp macro="" textlink="">
      <cdr:nvSpPr>
        <cdr:cNvPr id="15" name="正方形/長方形 14"/>
        <cdr:cNvSpPr/>
      </cdr:nvSpPr>
      <cdr:spPr>
        <a:xfrm xmlns:a="http://schemas.openxmlformats.org/drawingml/2006/main">
          <a:off x="2632043" y="788490"/>
          <a:ext cx="685832" cy="24655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0.46795</cdr:x>
      <cdr:y>0.51852</cdr:y>
    </cdr:from>
    <cdr:to>
      <cdr:x>0.59494</cdr:x>
      <cdr:y>0.65843</cdr:y>
    </cdr:to>
    <cdr:sp macro="" textlink="">
      <cdr:nvSpPr>
        <cdr:cNvPr id="16" name="正方形/長方形 15"/>
        <cdr:cNvSpPr/>
      </cdr:nvSpPr>
      <cdr:spPr>
        <a:xfrm xmlns:a="http://schemas.openxmlformats.org/drawingml/2006/main">
          <a:off x="2527268" y="800100"/>
          <a:ext cx="685832" cy="21589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ja-JP" altLang="en-US" sz="900">
              <a:solidFill>
                <a:sysClr val="windowText" lastClr="000000"/>
              </a:solidFill>
            </a:rPr>
            <a:t>非製造業</a:t>
          </a:r>
        </a:p>
      </cdr:txBody>
    </cdr:sp>
  </cdr:relSizeAnchor>
  <cdr:relSizeAnchor xmlns:cdr="http://schemas.openxmlformats.org/drawingml/2006/chartDrawing">
    <cdr:from>
      <cdr:x>0.53145</cdr:x>
      <cdr:y>0.43511</cdr:y>
    </cdr:from>
    <cdr:to>
      <cdr:x>0.58201</cdr:x>
      <cdr:y>0.51852</cdr:y>
    </cdr:to>
    <cdr:cxnSp macro="">
      <cdr:nvCxnSpPr>
        <cdr:cNvPr id="17" name="直線矢印コネクタ 16"/>
        <cdr:cNvCxnSpPr>
          <a:stCxn xmlns:a="http://schemas.openxmlformats.org/drawingml/2006/main" id="16" idx="0"/>
        </cdr:cNvCxnSpPr>
      </cdr:nvCxnSpPr>
      <cdr:spPr>
        <a:xfrm xmlns:a="http://schemas.openxmlformats.org/drawingml/2006/main" flipV="1">
          <a:off x="2870162" y="542925"/>
          <a:ext cx="273088" cy="10407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41</cp:revision>
  <cp:lastPrinted>2017-01-12T02:06:00Z</cp:lastPrinted>
  <dcterms:created xsi:type="dcterms:W3CDTF">2016-10-25T07:18:00Z</dcterms:created>
  <dcterms:modified xsi:type="dcterms:W3CDTF">2017-03-07T01:37:00Z</dcterms:modified>
</cp:coreProperties>
</file>