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88089D">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88089D">
              <w:rPr>
                <w:rFonts w:asciiTheme="majorEastAsia" w:eastAsiaTheme="majorEastAsia" w:hAnsiTheme="majorEastAsia" w:hint="eastAsia"/>
                <w:sz w:val="28"/>
                <w:szCs w:val="28"/>
              </w:rPr>
              <w:t>8</w:t>
            </w:r>
            <w:r w:rsidRPr="00DB3834">
              <w:rPr>
                <w:rFonts w:asciiTheme="majorEastAsia" w:eastAsiaTheme="majorEastAsia" w:hAnsiTheme="majorEastAsia" w:hint="eastAsia"/>
                <w:sz w:val="28"/>
                <w:szCs w:val="28"/>
              </w:rPr>
              <w:t>年</w:t>
            </w:r>
            <w:r w:rsidR="0088089D">
              <w:rPr>
                <w:rFonts w:asciiTheme="majorEastAsia" w:eastAsiaTheme="majorEastAsia" w:hAnsiTheme="majorEastAsia" w:hint="eastAsia"/>
                <w:sz w:val="28"/>
                <w:szCs w:val="28"/>
              </w:rPr>
              <w:t>１</w:t>
            </w:r>
            <w:r w:rsidRPr="00DB3834">
              <w:rPr>
                <w:rFonts w:asciiTheme="majorEastAsia" w:eastAsiaTheme="majorEastAsia" w:hAnsiTheme="majorEastAsia" w:hint="eastAsia"/>
                <w:sz w:val="28"/>
                <w:szCs w:val="28"/>
              </w:rPr>
              <w:t>～</w:t>
            </w:r>
            <w:r w:rsidR="0088089D">
              <w:rPr>
                <w:rFonts w:asciiTheme="majorEastAsia" w:eastAsiaTheme="majorEastAsia" w:hAnsiTheme="majorEastAsia" w:hint="eastAsia"/>
                <w:sz w:val="28"/>
                <w:szCs w:val="28"/>
              </w:rPr>
              <w:t>３</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E00D26" w:rsidRPr="001A53F0">
        <w:rPr>
          <w:rFonts w:asciiTheme="minorEastAsia" w:hAnsiTheme="minorEastAsia" w:hint="eastAsia"/>
          <w:sz w:val="20"/>
          <w:szCs w:val="20"/>
        </w:rPr>
        <w:t>大阪府の</w:t>
      </w:r>
      <w:r w:rsidR="00614824" w:rsidRPr="001A53F0">
        <w:rPr>
          <w:rFonts w:asciiTheme="minorEastAsia" w:hAnsiTheme="minorEastAsia" w:hint="eastAsia"/>
          <w:sz w:val="20"/>
          <w:szCs w:val="20"/>
        </w:rPr>
        <w:t>全業種の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075D4C">
        <w:rPr>
          <w:rFonts w:asciiTheme="minorEastAsia" w:hAnsiTheme="minorEastAsia" w:hint="eastAsia"/>
          <w:sz w:val="20"/>
          <w:szCs w:val="20"/>
        </w:rPr>
        <w:t>19.4</w:t>
      </w:r>
      <w:r w:rsidR="00D9023B" w:rsidRPr="001A53F0">
        <w:rPr>
          <w:rFonts w:asciiTheme="minorEastAsia" w:hAnsiTheme="minorEastAsia" w:hint="eastAsia"/>
          <w:sz w:val="20"/>
          <w:szCs w:val="20"/>
        </w:rPr>
        <w:t>（前期差</w:t>
      </w:r>
      <w:r w:rsidR="00075D4C">
        <w:rPr>
          <w:rFonts w:asciiTheme="minorEastAsia" w:hAnsiTheme="minorEastAsia" w:hint="eastAsia"/>
          <w:sz w:val="20"/>
          <w:szCs w:val="20"/>
        </w:rPr>
        <w:t>3.8</w:t>
      </w:r>
      <w:r w:rsidR="00D9023B" w:rsidRPr="001A53F0">
        <w:rPr>
          <w:rFonts w:asciiTheme="minorEastAsia" w:hAnsiTheme="minorEastAsia" w:hint="eastAsia"/>
          <w:sz w:val="20"/>
          <w:szCs w:val="20"/>
        </w:rPr>
        <w:t>ポイント</w:t>
      </w:r>
      <w:r w:rsidR="00075D4C">
        <w:rPr>
          <w:rFonts w:asciiTheme="minorEastAsia" w:hAnsiTheme="minorEastAsia" w:hint="eastAsia"/>
          <w:sz w:val="20"/>
          <w:szCs w:val="20"/>
        </w:rPr>
        <w:t>減</w:t>
      </w:r>
      <w:r w:rsidR="00D9023B" w:rsidRPr="001A53F0">
        <w:rPr>
          <w:rFonts w:asciiTheme="minorEastAsia" w:hAnsiTheme="minorEastAsia" w:hint="eastAsia"/>
          <w:sz w:val="20"/>
          <w:szCs w:val="20"/>
        </w:rPr>
        <w:t>）</w:t>
      </w:r>
      <w:r w:rsidR="00791F61">
        <w:rPr>
          <w:rFonts w:asciiTheme="minorEastAsia" w:hAnsiTheme="minorEastAsia" w:hint="eastAsia"/>
          <w:sz w:val="20"/>
          <w:szCs w:val="20"/>
        </w:rPr>
        <w:t>で</w:t>
      </w:r>
      <w:r w:rsidR="00D9023B" w:rsidRPr="001A53F0">
        <w:rPr>
          <w:rFonts w:asciiTheme="minorEastAsia" w:hAnsiTheme="minorEastAsia" w:hint="eastAsia"/>
          <w:sz w:val="20"/>
          <w:szCs w:val="20"/>
        </w:rPr>
        <w:t>、</w:t>
      </w:r>
      <w:r w:rsidR="001C0083" w:rsidRPr="001A53F0">
        <w:rPr>
          <w:rFonts w:asciiTheme="minorEastAsia" w:hAnsiTheme="minorEastAsia" w:hint="eastAsia"/>
          <w:sz w:val="20"/>
          <w:szCs w:val="20"/>
        </w:rPr>
        <w:t>マイナス</w:t>
      </w:r>
      <w:r w:rsidR="008A6DCD" w:rsidRPr="001A53F0">
        <w:rPr>
          <w:rFonts w:asciiTheme="minorEastAsia" w:hAnsiTheme="minorEastAsia" w:hint="eastAsia"/>
          <w:sz w:val="20"/>
          <w:szCs w:val="20"/>
        </w:rPr>
        <w:t>幅</w:t>
      </w:r>
      <w:r w:rsidR="00442F56" w:rsidRPr="001A53F0">
        <w:rPr>
          <w:rFonts w:asciiTheme="minorEastAsia" w:hAnsiTheme="minorEastAsia" w:hint="eastAsia"/>
          <w:sz w:val="20"/>
          <w:szCs w:val="20"/>
        </w:rPr>
        <w:t>が</w:t>
      </w:r>
      <w:r w:rsidR="00075D4C">
        <w:rPr>
          <w:rFonts w:asciiTheme="minorEastAsia" w:hAnsiTheme="minorEastAsia" w:hint="eastAsia"/>
          <w:sz w:val="20"/>
          <w:szCs w:val="20"/>
        </w:rPr>
        <w:t>拡大</w:t>
      </w:r>
      <w:r w:rsidR="00D9023B" w:rsidRPr="001A53F0">
        <w:rPr>
          <w:rFonts w:asciiTheme="minorEastAsia" w:hAnsiTheme="minorEastAsia" w:hint="eastAsia"/>
          <w:sz w:val="20"/>
          <w:szCs w:val="20"/>
        </w:rPr>
        <w:t>し</w:t>
      </w:r>
      <w:r w:rsidR="00075D4C">
        <w:rPr>
          <w:rFonts w:asciiTheme="minorEastAsia" w:hAnsiTheme="minorEastAsia" w:hint="eastAsia"/>
          <w:sz w:val="20"/>
          <w:szCs w:val="20"/>
        </w:rPr>
        <w:t>、</w:t>
      </w:r>
      <w:r w:rsidR="00C63BB8" w:rsidRPr="001A53F0">
        <w:rPr>
          <w:rFonts w:asciiTheme="minorEastAsia" w:hAnsiTheme="minorEastAsia" w:hint="eastAsia"/>
          <w:sz w:val="20"/>
          <w:szCs w:val="20"/>
        </w:rPr>
        <w:t>全国</w:t>
      </w:r>
      <w:r w:rsidR="00614824" w:rsidRPr="001A53F0">
        <w:rPr>
          <w:rFonts w:asciiTheme="minorEastAsia" w:hAnsiTheme="minorEastAsia" w:hint="eastAsia"/>
          <w:sz w:val="20"/>
          <w:szCs w:val="20"/>
        </w:rPr>
        <w:t>や</w:t>
      </w:r>
      <w:r w:rsidR="00C63BB8" w:rsidRPr="001A53F0">
        <w:rPr>
          <w:rFonts w:asciiTheme="minorEastAsia" w:hAnsiTheme="minorEastAsia" w:hint="eastAsia"/>
          <w:sz w:val="20"/>
          <w:szCs w:val="20"/>
        </w:rPr>
        <w:t>近畿</w:t>
      </w:r>
      <w:r w:rsidR="00614824" w:rsidRPr="001A53F0">
        <w:rPr>
          <w:rFonts w:asciiTheme="minorEastAsia" w:hAnsiTheme="minorEastAsia" w:hint="eastAsia"/>
          <w:sz w:val="20"/>
          <w:szCs w:val="20"/>
        </w:rPr>
        <w:t>に比べると</w:t>
      </w:r>
      <w:r w:rsidR="00581634" w:rsidRPr="001A53F0">
        <w:rPr>
          <w:rFonts w:asciiTheme="minorEastAsia" w:hAnsiTheme="minorEastAsia" w:hint="eastAsia"/>
          <w:sz w:val="20"/>
          <w:szCs w:val="20"/>
        </w:rPr>
        <w:t>マイナス幅</w:t>
      </w:r>
      <w:r w:rsidR="00791F61">
        <w:rPr>
          <w:rFonts w:asciiTheme="minorEastAsia" w:hAnsiTheme="minorEastAsia" w:hint="eastAsia"/>
          <w:sz w:val="20"/>
          <w:szCs w:val="20"/>
        </w:rPr>
        <w:t>が</w:t>
      </w:r>
      <w:r w:rsidR="00D9023B" w:rsidRPr="001A53F0">
        <w:rPr>
          <w:rFonts w:asciiTheme="minorEastAsia" w:hAnsiTheme="minorEastAsia" w:hint="eastAsia"/>
          <w:sz w:val="20"/>
          <w:szCs w:val="20"/>
        </w:rPr>
        <w:t>やや大き</w:t>
      </w:r>
      <w:r w:rsidR="00906799" w:rsidRPr="001A53F0">
        <w:rPr>
          <w:rFonts w:asciiTheme="minorEastAsia" w:hAnsiTheme="minorEastAsia" w:hint="eastAsia"/>
          <w:sz w:val="20"/>
          <w:szCs w:val="20"/>
        </w:rPr>
        <w:t>い</w:t>
      </w:r>
      <w:r w:rsidR="00D9023B" w:rsidRPr="001A53F0">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075D4C">
        <w:rPr>
          <w:rFonts w:asciiTheme="minorEastAsia" w:hAnsiTheme="minorEastAsia" w:hint="eastAsia"/>
          <w:sz w:val="20"/>
          <w:szCs w:val="20"/>
        </w:rPr>
        <w:t>17.7</w:t>
      </w:r>
      <w:r w:rsidR="00614824" w:rsidRPr="001A53F0">
        <w:rPr>
          <w:rFonts w:asciiTheme="minorEastAsia" w:hAnsiTheme="minorEastAsia" w:hint="eastAsia"/>
          <w:sz w:val="20"/>
          <w:szCs w:val="20"/>
        </w:rPr>
        <w:t>（前期差</w:t>
      </w:r>
      <w:r w:rsidR="00257CE4" w:rsidRPr="001A53F0">
        <w:rPr>
          <w:rFonts w:asciiTheme="minorEastAsia" w:hAnsiTheme="minorEastAsia" w:hint="eastAsia"/>
          <w:sz w:val="20"/>
          <w:szCs w:val="20"/>
        </w:rPr>
        <w:t>▲</w:t>
      </w:r>
      <w:r w:rsidR="00075D4C">
        <w:rPr>
          <w:rFonts w:asciiTheme="minorEastAsia" w:hAnsiTheme="minorEastAsia" w:hint="eastAsia"/>
          <w:sz w:val="20"/>
          <w:szCs w:val="20"/>
        </w:rPr>
        <w:t>7.8</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、マイナス幅は、</w:t>
      </w:r>
      <w:r w:rsidR="00D9023B" w:rsidRPr="001A53F0">
        <w:rPr>
          <w:rFonts w:asciiTheme="minorEastAsia" w:hAnsiTheme="minorEastAsia" w:hint="eastAsia"/>
          <w:sz w:val="20"/>
          <w:szCs w:val="20"/>
        </w:rPr>
        <w:t>近畿</w:t>
      </w:r>
      <w:r w:rsidR="00614824" w:rsidRPr="001A53F0">
        <w:rPr>
          <w:rFonts w:asciiTheme="minorEastAsia" w:hAnsiTheme="minorEastAsia" w:hint="eastAsia"/>
          <w:sz w:val="20"/>
          <w:szCs w:val="20"/>
        </w:rPr>
        <w:t>より</w:t>
      </w:r>
      <w:r w:rsidR="00075D4C">
        <w:rPr>
          <w:rFonts w:asciiTheme="minorEastAsia" w:hAnsiTheme="minorEastAsia" w:hint="eastAsia"/>
          <w:sz w:val="20"/>
          <w:szCs w:val="20"/>
        </w:rPr>
        <w:t>4.8ポ</w:t>
      </w:r>
      <w:r w:rsidR="00614824" w:rsidRPr="001A53F0">
        <w:rPr>
          <w:rFonts w:asciiTheme="minorEastAsia" w:hAnsiTheme="minorEastAsia" w:hint="eastAsia"/>
          <w:sz w:val="20"/>
          <w:szCs w:val="20"/>
        </w:rPr>
        <w:t>イント、全国より</w:t>
      </w:r>
      <w:r w:rsidR="00075D4C">
        <w:rPr>
          <w:rFonts w:asciiTheme="minorEastAsia" w:hAnsiTheme="minorEastAsia" w:hint="eastAsia"/>
          <w:sz w:val="20"/>
          <w:szCs w:val="20"/>
        </w:rPr>
        <w:t>0.9</w:t>
      </w:r>
      <w:r w:rsidR="00D9023B" w:rsidRPr="001A53F0">
        <w:rPr>
          <w:rFonts w:asciiTheme="minorEastAsia" w:hAnsiTheme="minorEastAsia" w:hint="eastAsia"/>
          <w:sz w:val="20"/>
          <w:szCs w:val="20"/>
        </w:rPr>
        <w:t>ポイント</w:t>
      </w:r>
      <w:r w:rsidR="00075D4C">
        <w:rPr>
          <w:rFonts w:asciiTheme="minorEastAsia" w:hAnsiTheme="minorEastAsia" w:hint="eastAsia"/>
          <w:sz w:val="20"/>
          <w:szCs w:val="20"/>
        </w:rPr>
        <w:t>大きい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075D4C">
        <w:rPr>
          <w:rFonts w:asciiTheme="minorEastAsia" w:hAnsiTheme="minorEastAsia" w:hint="eastAsia"/>
          <w:sz w:val="20"/>
          <w:szCs w:val="20"/>
        </w:rPr>
        <w:t>20.1</w:t>
      </w:r>
      <w:r w:rsidR="00614824" w:rsidRPr="001A53F0">
        <w:rPr>
          <w:rFonts w:asciiTheme="minorEastAsia" w:hAnsiTheme="minorEastAsia" w:hint="eastAsia"/>
          <w:sz w:val="20"/>
          <w:szCs w:val="20"/>
        </w:rPr>
        <w:t>（前期差</w:t>
      </w:r>
      <w:r w:rsidR="00075D4C">
        <w:rPr>
          <w:rFonts w:asciiTheme="minorEastAsia" w:hAnsiTheme="minorEastAsia" w:hint="eastAsia"/>
          <w:sz w:val="20"/>
          <w:szCs w:val="20"/>
        </w:rPr>
        <w:t>▲2.3</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、マイナス幅は、近畿より</w:t>
      </w:r>
      <w:r w:rsidR="00075D4C">
        <w:rPr>
          <w:rFonts w:asciiTheme="minorEastAsia" w:hAnsiTheme="minorEastAsia" w:hint="eastAsia"/>
          <w:sz w:val="20"/>
          <w:szCs w:val="20"/>
        </w:rPr>
        <w:t>2.1</w:t>
      </w:r>
      <w:r w:rsidR="00614824" w:rsidRPr="001A53F0">
        <w:rPr>
          <w:rFonts w:asciiTheme="minorEastAsia" w:hAnsiTheme="minorEastAsia" w:hint="eastAsia"/>
          <w:sz w:val="20"/>
          <w:szCs w:val="20"/>
        </w:rPr>
        <w:t>ポイント、全国より</w:t>
      </w:r>
      <w:r w:rsidR="00075D4C">
        <w:rPr>
          <w:rFonts w:asciiTheme="minorEastAsia" w:hAnsiTheme="minorEastAsia" w:hint="eastAsia"/>
          <w:sz w:val="20"/>
          <w:szCs w:val="20"/>
        </w:rPr>
        <w:t>1.3</w:t>
      </w:r>
      <w:r w:rsidR="00614824" w:rsidRPr="001A53F0">
        <w:rPr>
          <w:rFonts w:asciiTheme="minorEastAsia" w:hAnsiTheme="minorEastAsia" w:hint="eastAsia"/>
          <w:sz w:val="20"/>
          <w:szCs w:val="20"/>
        </w:rPr>
        <w:t>ポイント大きい。</w:t>
      </w:r>
    </w:p>
    <w:p w:rsidR="00A5610D" w:rsidRPr="001A53F0" w:rsidRDefault="00A43D85" w:rsidP="00A43D85">
      <w:pPr>
        <w:ind w:firstLineChars="100" w:firstLine="200"/>
        <w:rPr>
          <w:rFonts w:asciiTheme="minorEastAsia" w:hAnsiTheme="minorEastAsia"/>
          <w:sz w:val="20"/>
          <w:szCs w:val="20"/>
        </w:rPr>
      </w:pPr>
      <w:r w:rsidRPr="00A43D85">
        <w:rPr>
          <w:rFonts w:asciiTheme="minorEastAsia" w:hAnsiTheme="minorEastAsia" w:hint="eastAsia"/>
          <w:sz w:val="20"/>
          <w:szCs w:val="20"/>
        </w:rPr>
        <w:t>今期の全国の中小企業の業況は、全産業の業況判断の３期ぶりの低下を受けて「中小企業の業況は、持ち直し基調の中にも、弱い動きが</w:t>
      </w:r>
      <w:r w:rsidR="0054739E">
        <w:rPr>
          <w:rFonts w:asciiTheme="minorEastAsia" w:hAnsiTheme="minorEastAsia" w:hint="eastAsia"/>
          <w:sz w:val="20"/>
          <w:szCs w:val="20"/>
        </w:rPr>
        <w:t>み</w:t>
      </w:r>
      <w:r w:rsidRPr="00A43D85">
        <w:rPr>
          <w:rFonts w:asciiTheme="minorEastAsia" w:hAnsiTheme="minorEastAsia" w:hint="eastAsia"/>
          <w:sz w:val="20"/>
          <w:szCs w:val="20"/>
        </w:rPr>
        <w:t>られる」と、前期の判断から下方修正され</w:t>
      </w:r>
      <w:r w:rsidR="0054739E">
        <w:rPr>
          <w:rFonts w:asciiTheme="minorEastAsia" w:hAnsiTheme="minorEastAsia" w:hint="eastAsia"/>
          <w:sz w:val="20"/>
          <w:szCs w:val="20"/>
        </w:rPr>
        <w:t>た。近畿も同様の判断</w:t>
      </w:r>
      <w:r w:rsidR="00791F61">
        <w:rPr>
          <w:rFonts w:asciiTheme="minorEastAsia" w:hAnsiTheme="minorEastAsia" w:hint="eastAsia"/>
          <w:sz w:val="20"/>
          <w:szCs w:val="20"/>
        </w:rPr>
        <w:t>である</w:t>
      </w:r>
      <w:r w:rsidRPr="00A43D85">
        <w:rPr>
          <w:rFonts w:asciiTheme="minorEastAsia" w:hAnsiTheme="minorEastAsia" w:hint="eastAsia"/>
          <w:sz w:val="20"/>
          <w:szCs w:val="20"/>
        </w:rPr>
        <w:t>。</w:t>
      </w:r>
    </w:p>
    <w:p w:rsidR="00AD2511" w:rsidRPr="001A53F0" w:rsidRDefault="00844D50" w:rsidP="00E1226C">
      <w:pPr>
        <w:ind w:firstLineChars="100" w:firstLine="200"/>
        <w:rPr>
          <w:rFonts w:asciiTheme="minorEastAsia" w:hAnsiTheme="minorEastAsia"/>
          <w:sz w:val="20"/>
          <w:szCs w:val="20"/>
        </w:rPr>
      </w:pPr>
      <w:r w:rsidRPr="001A53F0">
        <w:rPr>
          <w:rFonts w:asciiTheme="minorEastAsia" w:hAnsiTheme="minorEastAsia" w:hint="eastAsia"/>
          <w:sz w:val="20"/>
          <w:szCs w:val="20"/>
        </w:rPr>
        <w:t>近畿の</w:t>
      </w:r>
      <w:r w:rsidR="00526EEB" w:rsidRPr="001A53F0">
        <w:rPr>
          <w:rFonts w:asciiTheme="minorEastAsia" w:hAnsiTheme="minorEastAsia" w:hint="eastAsia"/>
          <w:sz w:val="20"/>
          <w:szCs w:val="20"/>
        </w:rPr>
        <w:t>各業種</w:t>
      </w:r>
      <w:r w:rsidR="00AB4608" w:rsidRPr="001A53F0">
        <w:rPr>
          <w:rFonts w:asciiTheme="minorEastAsia" w:hAnsiTheme="minorEastAsia" w:hint="eastAsia"/>
          <w:sz w:val="20"/>
          <w:szCs w:val="20"/>
        </w:rPr>
        <w:t>の</w:t>
      </w:r>
      <w:r w:rsidR="004363A7" w:rsidRPr="001A53F0">
        <w:rPr>
          <w:rFonts w:asciiTheme="minorEastAsia" w:hAnsiTheme="minorEastAsia" w:hint="eastAsia"/>
          <w:sz w:val="20"/>
          <w:szCs w:val="20"/>
        </w:rPr>
        <w:t>業況</w:t>
      </w:r>
      <w:r w:rsidR="00AD2511" w:rsidRPr="001A53F0">
        <w:rPr>
          <w:rFonts w:asciiTheme="minorEastAsia" w:hAnsiTheme="minorEastAsia" w:hint="eastAsia"/>
          <w:sz w:val="20"/>
          <w:szCs w:val="20"/>
        </w:rPr>
        <w:t>判断</w:t>
      </w:r>
      <w:r w:rsidR="004363A7" w:rsidRPr="001A53F0">
        <w:rPr>
          <w:rFonts w:asciiTheme="minorEastAsia" w:hAnsiTheme="minorEastAsia" w:hint="eastAsia"/>
          <w:sz w:val="20"/>
          <w:szCs w:val="20"/>
        </w:rPr>
        <w:t>は</w:t>
      </w:r>
      <w:r w:rsidR="00D10CBE" w:rsidRPr="001A53F0">
        <w:rPr>
          <w:rFonts w:asciiTheme="minorEastAsia" w:hAnsiTheme="minorEastAsia" w:hint="eastAsia"/>
          <w:sz w:val="20"/>
          <w:szCs w:val="20"/>
        </w:rPr>
        <w:t>、</w:t>
      </w:r>
      <w:r w:rsidR="00257CE4" w:rsidRPr="001A53F0">
        <w:rPr>
          <w:rFonts w:asciiTheme="minorEastAsia" w:hAnsiTheme="minorEastAsia" w:hint="eastAsia"/>
          <w:sz w:val="20"/>
          <w:szCs w:val="20"/>
        </w:rPr>
        <w:t>プラスの水準は</w:t>
      </w:r>
      <w:r w:rsidR="00A43D85">
        <w:rPr>
          <w:rFonts w:asciiTheme="minorEastAsia" w:hAnsiTheme="minorEastAsia" w:hint="eastAsia"/>
          <w:sz w:val="20"/>
          <w:szCs w:val="20"/>
        </w:rPr>
        <w:t>、化学</w:t>
      </w:r>
      <w:r w:rsidR="0054739E">
        <w:rPr>
          <w:rFonts w:asciiTheme="minorEastAsia" w:hAnsiTheme="minorEastAsia" w:hint="eastAsia"/>
          <w:sz w:val="20"/>
          <w:szCs w:val="20"/>
        </w:rPr>
        <w:t>（8.9）</w:t>
      </w:r>
      <w:r w:rsidR="00A43D85">
        <w:rPr>
          <w:rFonts w:asciiTheme="minorEastAsia" w:hAnsiTheme="minorEastAsia" w:hint="eastAsia"/>
          <w:sz w:val="20"/>
          <w:szCs w:val="20"/>
        </w:rPr>
        <w:t>と情報通信･広告業</w:t>
      </w:r>
      <w:r w:rsidR="0054739E">
        <w:rPr>
          <w:rFonts w:asciiTheme="minorEastAsia" w:hAnsiTheme="minorEastAsia" w:hint="eastAsia"/>
          <w:sz w:val="20"/>
          <w:szCs w:val="20"/>
        </w:rPr>
        <w:t>（1.9）</w:t>
      </w:r>
      <w:r w:rsidR="00A43D85">
        <w:rPr>
          <w:rFonts w:asciiTheme="minorEastAsia" w:hAnsiTheme="minorEastAsia" w:hint="eastAsia"/>
          <w:sz w:val="20"/>
          <w:szCs w:val="20"/>
        </w:rPr>
        <w:t>のみで、マイナス幅が大きいのは、家具･装備品（▲32.0）、輸送用機械器具（▲29.1）、金属製品（▲24.9）、</w:t>
      </w:r>
      <w:r w:rsidR="00A43D85" w:rsidRPr="00A43D85">
        <w:rPr>
          <w:rFonts w:asciiTheme="minorEastAsia" w:hAnsiTheme="minorEastAsia" w:hint="eastAsia"/>
          <w:sz w:val="20"/>
          <w:szCs w:val="20"/>
        </w:rPr>
        <w:t>小売業（▲2</w:t>
      </w:r>
      <w:r w:rsidR="006D3D49">
        <w:rPr>
          <w:rFonts w:asciiTheme="minorEastAsia" w:hAnsiTheme="minorEastAsia" w:hint="eastAsia"/>
          <w:sz w:val="20"/>
          <w:szCs w:val="20"/>
        </w:rPr>
        <w:t>7</w:t>
      </w:r>
      <w:r w:rsidR="00A43D85" w:rsidRPr="00A43D85">
        <w:rPr>
          <w:rFonts w:asciiTheme="minorEastAsia" w:hAnsiTheme="minorEastAsia" w:hint="eastAsia"/>
          <w:sz w:val="20"/>
          <w:szCs w:val="20"/>
        </w:rPr>
        <w:t>.8）</w:t>
      </w:r>
      <w:r w:rsidR="006D3D49">
        <w:rPr>
          <w:rFonts w:asciiTheme="minorEastAsia" w:hAnsiTheme="minorEastAsia" w:hint="eastAsia"/>
          <w:sz w:val="20"/>
          <w:szCs w:val="20"/>
        </w:rPr>
        <w:t>、対個人サ</w:t>
      </w:r>
      <w:r w:rsidR="006D3D49">
        <w:rPr>
          <w:rFonts w:asciiTheme="minorEastAsia" w:hAnsiTheme="minorEastAsia" w:hint="eastAsia"/>
          <w:sz w:val="20"/>
          <w:szCs w:val="20"/>
        </w:rPr>
        <w:lastRenderedPageBreak/>
        <w:t>ービス業（▲24.8）</w:t>
      </w:r>
      <w:r w:rsidR="00A43D85">
        <w:rPr>
          <w:rFonts w:asciiTheme="minorEastAsia" w:hAnsiTheme="minorEastAsia" w:hint="eastAsia"/>
          <w:sz w:val="20"/>
          <w:szCs w:val="20"/>
        </w:rPr>
        <w:t>などである。</w:t>
      </w:r>
      <w:r w:rsidR="00732C07" w:rsidRPr="001A53F0">
        <w:rPr>
          <w:rFonts w:asciiTheme="minorEastAsia" w:hAnsiTheme="minorEastAsia" w:hint="eastAsia"/>
          <w:sz w:val="20"/>
          <w:szCs w:val="20"/>
        </w:rPr>
        <w:t>マイナス幅が縮小したのは、</w:t>
      </w:r>
      <w:r w:rsidR="00E1226C" w:rsidRPr="00E1226C">
        <w:rPr>
          <w:rFonts w:asciiTheme="minorEastAsia" w:hAnsiTheme="minorEastAsia" w:hint="eastAsia"/>
          <w:sz w:val="20"/>
          <w:szCs w:val="20"/>
        </w:rPr>
        <w:t>窯業･土石製品</w:t>
      </w:r>
      <w:r w:rsidR="00E1226C">
        <w:rPr>
          <w:rFonts w:asciiTheme="minorEastAsia" w:hAnsiTheme="minorEastAsia" w:hint="eastAsia"/>
          <w:sz w:val="20"/>
          <w:szCs w:val="20"/>
        </w:rPr>
        <w:t>（前期差23.9）、</w:t>
      </w:r>
      <w:r w:rsidR="00E1226C" w:rsidRPr="00E1226C">
        <w:rPr>
          <w:rFonts w:asciiTheme="minorEastAsia" w:hAnsiTheme="minorEastAsia" w:hint="eastAsia"/>
          <w:sz w:val="20"/>
          <w:szCs w:val="20"/>
        </w:rPr>
        <w:t>木材･木製品</w:t>
      </w:r>
      <w:r w:rsidR="00E1226C">
        <w:rPr>
          <w:rFonts w:asciiTheme="minorEastAsia" w:hAnsiTheme="minorEastAsia" w:hint="eastAsia"/>
          <w:sz w:val="20"/>
          <w:szCs w:val="20"/>
        </w:rPr>
        <w:t>（21.8）、</w:t>
      </w:r>
      <w:r w:rsidR="00E1226C" w:rsidRPr="00E1226C">
        <w:rPr>
          <w:rFonts w:asciiTheme="minorEastAsia" w:hAnsiTheme="minorEastAsia" w:hint="eastAsia"/>
          <w:sz w:val="20"/>
          <w:szCs w:val="20"/>
        </w:rPr>
        <w:t>化学</w:t>
      </w:r>
      <w:r w:rsidR="00E1226C">
        <w:rPr>
          <w:rFonts w:asciiTheme="minorEastAsia" w:hAnsiTheme="minorEastAsia" w:hint="eastAsia"/>
          <w:sz w:val="20"/>
          <w:szCs w:val="20"/>
        </w:rPr>
        <w:t>（21.6）</w:t>
      </w:r>
      <w:r w:rsidR="00CC3690">
        <w:rPr>
          <w:rFonts w:asciiTheme="minorEastAsia" w:hAnsiTheme="minorEastAsia" w:hint="eastAsia"/>
          <w:sz w:val="20"/>
          <w:szCs w:val="20"/>
        </w:rPr>
        <w:t>、建設業（8.7）な</w:t>
      </w:r>
      <w:r w:rsidR="008C05FC" w:rsidRPr="001A53F0">
        <w:rPr>
          <w:rFonts w:asciiTheme="minorEastAsia" w:hAnsiTheme="minorEastAsia" w:hint="eastAsia"/>
          <w:sz w:val="20"/>
          <w:szCs w:val="20"/>
        </w:rPr>
        <w:t>ど</w:t>
      </w:r>
      <w:r w:rsidR="00E1226C">
        <w:rPr>
          <w:rFonts w:asciiTheme="minorEastAsia" w:hAnsiTheme="minorEastAsia" w:hint="eastAsia"/>
          <w:sz w:val="20"/>
          <w:szCs w:val="20"/>
        </w:rPr>
        <w:t>で</w:t>
      </w:r>
      <w:r w:rsidR="00903AAE" w:rsidRPr="001A53F0">
        <w:rPr>
          <w:rFonts w:asciiTheme="minorEastAsia" w:hAnsiTheme="minorEastAsia" w:hint="eastAsia"/>
          <w:sz w:val="20"/>
          <w:szCs w:val="20"/>
        </w:rPr>
        <w:t>、マイナス幅が拡大したのは、</w:t>
      </w:r>
      <w:r w:rsidR="00791F61" w:rsidRPr="00791F61">
        <w:rPr>
          <w:rFonts w:asciiTheme="minorEastAsia" w:hAnsiTheme="minorEastAsia" w:hint="eastAsia"/>
          <w:sz w:val="20"/>
          <w:szCs w:val="20"/>
        </w:rPr>
        <w:t>家具･装備品</w:t>
      </w:r>
      <w:r w:rsidR="00791F61">
        <w:rPr>
          <w:rFonts w:asciiTheme="minorEastAsia" w:hAnsiTheme="minorEastAsia" w:hint="eastAsia"/>
          <w:sz w:val="20"/>
          <w:szCs w:val="20"/>
        </w:rPr>
        <w:t>（前期差</w:t>
      </w:r>
      <w:r w:rsidR="00E1226C">
        <w:rPr>
          <w:rFonts w:asciiTheme="minorEastAsia" w:hAnsiTheme="minorEastAsia" w:hint="eastAsia"/>
          <w:sz w:val="20"/>
          <w:szCs w:val="20"/>
        </w:rPr>
        <w:t>▲15.5</w:t>
      </w:r>
      <w:r w:rsidR="00791F61">
        <w:rPr>
          <w:rFonts w:asciiTheme="minorEastAsia" w:hAnsiTheme="minorEastAsia" w:hint="eastAsia"/>
          <w:sz w:val="20"/>
          <w:szCs w:val="20"/>
        </w:rPr>
        <w:t>）、</w:t>
      </w:r>
      <w:r w:rsidR="00791F61" w:rsidRPr="00791F61">
        <w:rPr>
          <w:rFonts w:asciiTheme="minorEastAsia" w:hAnsiTheme="minorEastAsia" w:hint="eastAsia"/>
          <w:sz w:val="20"/>
          <w:szCs w:val="20"/>
        </w:rPr>
        <w:t>繊維工業</w:t>
      </w:r>
      <w:r w:rsidR="00E1226C">
        <w:rPr>
          <w:rFonts w:asciiTheme="minorEastAsia" w:hAnsiTheme="minorEastAsia" w:hint="eastAsia"/>
          <w:sz w:val="20"/>
          <w:szCs w:val="20"/>
        </w:rPr>
        <w:t>（▲17.0）</w:t>
      </w:r>
      <w:r w:rsidR="00791F61">
        <w:rPr>
          <w:rFonts w:asciiTheme="minorEastAsia" w:hAnsiTheme="minorEastAsia" w:hint="eastAsia"/>
          <w:sz w:val="20"/>
          <w:szCs w:val="20"/>
        </w:rPr>
        <w:t>、</w:t>
      </w:r>
      <w:r w:rsidR="00791F61" w:rsidRPr="00791F61">
        <w:rPr>
          <w:rFonts w:asciiTheme="minorEastAsia" w:hAnsiTheme="minorEastAsia" w:hint="eastAsia"/>
          <w:sz w:val="20"/>
          <w:szCs w:val="20"/>
        </w:rPr>
        <w:t>輸送用機械器具</w:t>
      </w:r>
      <w:r w:rsidR="00E1226C">
        <w:rPr>
          <w:rFonts w:asciiTheme="minorEastAsia" w:hAnsiTheme="minorEastAsia" w:hint="eastAsia"/>
          <w:sz w:val="20"/>
          <w:szCs w:val="20"/>
        </w:rPr>
        <w:t>（▲26.5）</w:t>
      </w:r>
      <w:r w:rsidR="00EE4966" w:rsidRPr="001A53F0">
        <w:rPr>
          <w:rFonts w:asciiTheme="minorEastAsia" w:hAnsiTheme="minorEastAsia" w:hint="eastAsia"/>
          <w:sz w:val="20"/>
          <w:szCs w:val="20"/>
        </w:rPr>
        <w:t>など</w:t>
      </w:r>
      <w:r w:rsidR="002D6ABD" w:rsidRPr="001A53F0">
        <w:rPr>
          <w:rFonts w:asciiTheme="minorEastAsia" w:hAnsiTheme="minorEastAsia" w:hint="eastAsia"/>
          <w:sz w:val="20"/>
          <w:szCs w:val="20"/>
        </w:rPr>
        <w:t>である</w:t>
      </w:r>
      <w:r w:rsidR="00271EE3" w:rsidRPr="001A53F0">
        <w:rPr>
          <w:rFonts w:asciiTheme="minorEastAsia" w:hAnsiTheme="minorEastAsia" w:hint="eastAsia"/>
          <w:sz w:val="20"/>
          <w:szCs w:val="20"/>
        </w:rPr>
        <w:t>。</w:t>
      </w:r>
    </w:p>
    <w:p w:rsidR="00133527" w:rsidRPr="001A53F0" w:rsidRDefault="00E157ED"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経営上の問題点は、</w:t>
      </w:r>
      <w:r w:rsidR="000F659A" w:rsidRPr="001A53F0">
        <w:rPr>
          <w:rFonts w:asciiTheme="minorEastAsia" w:hAnsiTheme="minorEastAsia" w:hint="eastAsia"/>
          <w:sz w:val="20"/>
          <w:szCs w:val="20"/>
        </w:rPr>
        <w:t>需要の</w:t>
      </w:r>
      <w:r w:rsidR="00AD2511" w:rsidRPr="001A53F0">
        <w:rPr>
          <w:rFonts w:asciiTheme="minorEastAsia" w:hAnsiTheme="minorEastAsia" w:hint="eastAsia"/>
          <w:sz w:val="20"/>
          <w:szCs w:val="20"/>
        </w:rPr>
        <w:t>停滞</w:t>
      </w:r>
      <w:r w:rsidR="00D34256" w:rsidRPr="001A53F0">
        <w:rPr>
          <w:rFonts w:asciiTheme="minorEastAsia" w:hAnsiTheme="minorEastAsia" w:hint="eastAsia"/>
          <w:sz w:val="20"/>
          <w:szCs w:val="20"/>
        </w:rPr>
        <w:t>がみられたほか</w:t>
      </w:r>
      <w:r w:rsidRPr="001A53F0">
        <w:rPr>
          <w:rFonts w:asciiTheme="minorEastAsia" w:hAnsiTheme="minorEastAsia" w:hint="eastAsia"/>
          <w:sz w:val="20"/>
          <w:szCs w:val="20"/>
        </w:rPr>
        <w:t>、</w:t>
      </w:r>
      <w:r w:rsidR="00D34256" w:rsidRPr="001A53F0">
        <w:rPr>
          <w:rFonts w:asciiTheme="minorEastAsia" w:hAnsiTheme="minorEastAsia" w:hint="eastAsia"/>
          <w:sz w:val="20"/>
          <w:szCs w:val="20"/>
        </w:rPr>
        <w:t>小売業やサービス業では、競争の激化や</w:t>
      </w:r>
      <w:r w:rsidR="002F7204">
        <w:rPr>
          <w:rFonts w:asciiTheme="minorEastAsia" w:hAnsiTheme="minorEastAsia" w:hint="eastAsia"/>
          <w:sz w:val="20"/>
          <w:szCs w:val="20"/>
        </w:rPr>
        <w:t>利用者</w:t>
      </w:r>
      <w:r w:rsidR="00D34256" w:rsidRPr="001A53F0">
        <w:rPr>
          <w:rFonts w:asciiTheme="minorEastAsia" w:hAnsiTheme="minorEastAsia" w:hint="eastAsia"/>
          <w:sz w:val="20"/>
          <w:szCs w:val="20"/>
        </w:rPr>
        <w:t>ニーズの変化への対応が大きな課題となっ</w:t>
      </w:r>
      <w:r w:rsidR="002F7204">
        <w:rPr>
          <w:rFonts w:asciiTheme="minorEastAsia" w:hAnsiTheme="minorEastAsia" w:hint="eastAsia"/>
          <w:sz w:val="20"/>
          <w:szCs w:val="20"/>
        </w:rPr>
        <w:t>ている</w:t>
      </w:r>
      <w:r w:rsidR="000F659A" w:rsidRPr="001A53F0">
        <w:rPr>
          <w:rFonts w:asciiTheme="minorEastAsia" w:hAnsiTheme="minorEastAsia" w:hint="eastAsia"/>
          <w:sz w:val="20"/>
          <w:szCs w:val="20"/>
        </w:rPr>
        <w:t>。</w:t>
      </w:r>
    </w:p>
    <w:p w:rsidR="0009578E" w:rsidRPr="002F7204" w:rsidRDefault="0009578E" w:rsidP="00DB3834">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CC3690">
        <w:rPr>
          <w:rFonts w:asciiTheme="majorEastAsia" w:eastAsiaTheme="majorEastAsia" w:hAnsiTheme="majorEastAsia" w:hint="eastAsia"/>
          <w:sz w:val="20"/>
          <w:szCs w:val="20"/>
        </w:rPr>
        <w:t>１</w:t>
      </w:r>
      <w:r w:rsidR="00283B37" w:rsidRPr="00DB3834">
        <w:rPr>
          <w:rFonts w:asciiTheme="majorEastAsia" w:eastAsiaTheme="majorEastAsia" w:hAnsiTheme="majorEastAsia" w:hint="eastAsia"/>
          <w:sz w:val="20"/>
          <w:szCs w:val="20"/>
        </w:rPr>
        <w:t>～</w:t>
      </w:r>
      <w:r w:rsidR="00CC3690">
        <w:rPr>
          <w:rFonts w:asciiTheme="majorEastAsia" w:eastAsiaTheme="majorEastAsia" w:hAnsiTheme="majorEastAsia" w:hint="eastAsia"/>
          <w:sz w:val="20"/>
          <w:szCs w:val="20"/>
        </w:rPr>
        <w:t>３</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075D4C" w:rsidTr="008E7E9E">
        <w:trPr>
          <w:trHeight w:val="127"/>
        </w:trPr>
        <w:tc>
          <w:tcPr>
            <w:tcW w:w="1248" w:type="pct"/>
            <w:shd w:val="clear" w:color="auto" w:fill="B8CCE4" w:themeFill="accent1" w:themeFillTint="66"/>
            <w:vAlign w:val="center"/>
          </w:tcPr>
          <w:p w:rsidR="00075D4C" w:rsidRPr="002E3677" w:rsidRDefault="00075D4C"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－18.1</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(▲3.0)</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－16.5</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(▲1.3)</w:t>
            </w:r>
          </w:p>
        </w:tc>
        <w:tc>
          <w:tcPr>
            <w:tcW w:w="1252"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－19.4</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(▲3.8)</w:t>
            </w:r>
          </w:p>
        </w:tc>
      </w:tr>
      <w:tr w:rsidR="00075D4C" w:rsidTr="008E7E9E">
        <w:trPr>
          <w:trHeight w:val="150"/>
        </w:trPr>
        <w:tc>
          <w:tcPr>
            <w:tcW w:w="1248" w:type="pct"/>
            <w:shd w:val="clear" w:color="auto" w:fill="B8CCE4" w:themeFill="accent1" w:themeFillTint="66"/>
            <w:vAlign w:val="center"/>
          </w:tcPr>
          <w:p w:rsidR="00075D4C" w:rsidRPr="002E3677" w:rsidRDefault="00075D4C"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－16.8</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(▲3.9)</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－12.9</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(▲1.0)</w:t>
            </w:r>
          </w:p>
        </w:tc>
        <w:tc>
          <w:tcPr>
            <w:tcW w:w="1252"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－17.7</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(▲7.8)</w:t>
            </w:r>
          </w:p>
        </w:tc>
      </w:tr>
      <w:tr w:rsidR="00075D4C" w:rsidTr="008E7E9E">
        <w:trPr>
          <w:trHeight w:val="285"/>
        </w:trPr>
        <w:tc>
          <w:tcPr>
            <w:tcW w:w="1248" w:type="pct"/>
            <w:shd w:val="clear" w:color="auto" w:fill="B8CCE4" w:themeFill="accent1" w:themeFillTint="66"/>
            <w:vAlign w:val="center"/>
          </w:tcPr>
          <w:p w:rsidR="00075D4C" w:rsidRPr="002E3677" w:rsidRDefault="00075D4C"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－18.8</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(▲3.0)</w:t>
            </w:r>
          </w:p>
        </w:tc>
        <w:tc>
          <w:tcPr>
            <w:tcW w:w="1250"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－18.0</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(▲1.8)</w:t>
            </w:r>
          </w:p>
        </w:tc>
        <w:tc>
          <w:tcPr>
            <w:tcW w:w="1252" w:type="pct"/>
            <w:vAlign w:val="center"/>
          </w:tcPr>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－20.1</w:t>
            </w:r>
          </w:p>
          <w:p w:rsidR="00075D4C" w:rsidRPr="00C87B13" w:rsidRDefault="00075D4C" w:rsidP="00075D4C">
            <w:pPr>
              <w:snapToGrid w:val="0"/>
              <w:ind w:rightChars="50" w:right="105"/>
              <w:jc w:val="right"/>
              <w:rPr>
                <w:rFonts w:asciiTheme="minorEastAsia" w:hAnsiTheme="minorEastAsia" w:cs="メイリオ"/>
                <w:sz w:val="20"/>
                <w:szCs w:val="20"/>
              </w:rPr>
            </w:pPr>
            <w:r w:rsidRPr="00C87B13">
              <w:rPr>
                <w:rFonts w:asciiTheme="minorEastAsia" w:hAnsiTheme="minorEastAsia" w:cs="メイリオ" w:hint="eastAsia"/>
                <w:sz w:val="20"/>
                <w:szCs w:val="20"/>
              </w:rPr>
              <w:t>(▲2.3)</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D34256" w:rsidRDefault="00133527" w:rsidP="00D34256">
      <w:pPr>
        <w:snapToGrid w:val="0"/>
        <w:ind w:left="160" w:hangingChars="200" w:hanging="160"/>
        <w:rPr>
          <w:rFonts w:asciiTheme="majorEastAsia" w:eastAsiaTheme="majorEastAsia" w:hAnsiTheme="majorEastAsia"/>
          <w:sz w:val="8"/>
          <w:szCs w:val="8"/>
        </w:rPr>
        <w:sectPr w:rsidR="00133527" w:rsidRPr="00D34256"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FD6C1B" w:rsidRPr="00DB3834" w:rsidRDefault="00FD6C1B" w:rsidP="00C11539">
      <w:pPr>
        <w:jc w:val="center"/>
        <w:rPr>
          <w:rFonts w:asciiTheme="majorEastAsia" w:eastAsiaTheme="majorEastAsia" w:hAnsiTheme="majorEastAsia"/>
          <w:sz w:val="20"/>
          <w:szCs w:val="20"/>
        </w:rPr>
      </w:pPr>
      <w:r w:rsidRPr="003E75C0">
        <w:rPr>
          <w:noProof/>
        </w:rPr>
        <w:drawing>
          <wp:inline distT="0" distB="0" distL="0" distR="0" wp14:anchorId="019DB568" wp14:editId="1A4504DD">
            <wp:extent cx="5400675" cy="1771650"/>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FD6C1B">
      <w:pPr>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480740">
        <w:rPr>
          <w:rFonts w:asciiTheme="minorEastAsia" w:hAnsiTheme="minorEastAsia" w:hint="eastAsia"/>
          <w:sz w:val="16"/>
          <w:szCs w:val="16"/>
        </w:rPr>
        <w:t>3</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16</w:t>
      </w:r>
      <w:r w:rsidRPr="00D34256">
        <w:rPr>
          <w:rFonts w:asciiTheme="minorEastAsia" w:hAnsiTheme="minorEastAsia" w:hint="eastAsia"/>
          <w:sz w:val="16"/>
          <w:szCs w:val="16"/>
        </w:rPr>
        <w:t>年</w:t>
      </w:r>
      <w:r w:rsidR="001A53F0">
        <w:rPr>
          <w:rFonts w:asciiTheme="minorEastAsia" w:hAnsiTheme="minorEastAsia" w:hint="eastAsia"/>
          <w:sz w:val="16"/>
          <w:szCs w:val="16"/>
        </w:rPr>
        <w:t>1</w:t>
      </w:r>
      <w:r w:rsidRPr="00D34256">
        <w:rPr>
          <w:rFonts w:asciiTheme="minorEastAsia" w:hAnsiTheme="minorEastAsia" w:hint="eastAsia"/>
          <w:sz w:val="16"/>
          <w:szCs w:val="16"/>
        </w:rPr>
        <w:t>-</w:t>
      </w:r>
      <w:r w:rsidR="00480740">
        <w:rPr>
          <w:rFonts w:asciiTheme="minorEastAsia" w:hAnsiTheme="minorEastAsia" w:hint="eastAsia"/>
          <w:sz w:val="16"/>
          <w:szCs w:val="16"/>
        </w:rPr>
        <w:t>3</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9D51CE" w:rsidRPr="00D34256" w:rsidRDefault="009D51CE" w:rsidP="00D34256">
      <w:pPr>
        <w:snapToGrid w:val="0"/>
        <w:ind w:firstLineChars="100" w:firstLine="80"/>
        <w:rPr>
          <w:rFonts w:asciiTheme="minorEastAsia" w:hAnsiTheme="minorEastAsia"/>
          <w:sz w:val="8"/>
          <w:szCs w:val="8"/>
        </w:rPr>
      </w:pPr>
    </w:p>
    <w:p w:rsidR="00CF5F87" w:rsidRPr="00DB3834" w:rsidRDefault="00B343D1" w:rsidP="00B343D1">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w:t>
      </w:r>
      <w:r w:rsidR="008F1BBB" w:rsidRPr="00DB3834">
        <w:rPr>
          <w:rFonts w:asciiTheme="majorEastAsia" w:eastAsiaTheme="majorEastAsia" w:hAnsiTheme="majorEastAsia" w:hint="eastAsia"/>
          <w:sz w:val="20"/>
          <w:szCs w:val="20"/>
        </w:rPr>
        <w:t>２</w:t>
      </w:r>
      <w:r w:rsidRPr="00DB3834">
        <w:rPr>
          <w:rFonts w:asciiTheme="majorEastAsia" w:eastAsiaTheme="majorEastAsia" w:hAnsiTheme="majorEastAsia" w:hint="eastAsia"/>
          <w:sz w:val="20"/>
          <w:szCs w:val="20"/>
        </w:rPr>
        <w:t xml:space="preserve">　</w:t>
      </w:r>
      <w:r w:rsidR="00E248AE" w:rsidRPr="00DB3834">
        <w:rPr>
          <w:rFonts w:asciiTheme="majorEastAsia" w:eastAsiaTheme="majorEastAsia" w:hAnsiTheme="majorEastAsia" w:hint="eastAsia"/>
          <w:sz w:val="20"/>
          <w:szCs w:val="20"/>
        </w:rPr>
        <w:t>近畿における</w:t>
      </w:r>
      <w:r w:rsidRPr="00DB3834">
        <w:rPr>
          <w:rFonts w:asciiTheme="majorEastAsia" w:eastAsiaTheme="majorEastAsia" w:hAnsiTheme="majorEastAsia" w:hint="eastAsia"/>
          <w:sz w:val="20"/>
          <w:szCs w:val="20"/>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09"/>
        <w:gridCol w:w="2411"/>
        <w:gridCol w:w="2409"/>
      </w:tblGrid>
      <w:tr w:rsidR="003347A5" w:rsidTr="00DB3834">
        <w:trPr>
          <w:trHeight w:val="70"/>
        </w:trPr>
        <w:tc>
          <w:tcPr>
            <w:tcW w:w="1276" w:type="dxa"/>
            <w:tcBorders>
              <w:top w:val="nil"/>
              <w:left w:val="nil"/>
            </w:tcBorders>
            <w:shd w:val="clear" w:color="auto" w:fill="FFFFFF" w:themeFill="background1"/>
            <w:vAlign w:val="center"/>
          </w:tcPr>
          <w:p w:rsidR="003347A5" w:rsidRPr="003347A5" w:rsidRDefault="003347A5" w:rsidP="00DB3834">
            <w:pPr>
              <w:snapToGrid w:val="0"/>
              <w:rPr>
                <w:rFonts w:asciiTheme="minorEastAsia" w:hAnsiTheme="minorEastAsia"/>
                <w:szCs w:val="21"/>
              </w:rPr>
            </w:pPr>
          </w:p>
        </w:tc>
        <w:tc>
          <w:tcPr>
            <w:tcW w:w="7229"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92287C">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409" w:type="dxa"/>
            <w:tcBorders>
              <w:bottom w:val="dotted" w:sz="4" w:space="0" w:color="auto"/>
            </w:tcBorders>
            <w:vAlign w:val="center"/>
          </w:tcPr>
          <w:p w:rsidR="008F1BBB" w:rsidRPr="009B389F" w:rsidRDefault="008F1BBB" w:rsidP="0092287C">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18"/>
                <w:szCs w:val="18"/>
              </w:rPr>
            </w:pPr>
            <w:r w:rsidRPr="009B389F">
              <w:rPr>
                <w:rFonts w:asciiTheme="minorEastAsia" w:hAnsiTheme="minorEastAsia" w:hint="eastAsia"/>
                <w:sz w:val="18"/>
                <w:szCs w:val="18"/>
              </w:rPr>
              <w:t>製品ニーズの変化への対応</w:t>
            </w:r>
          </w:p>
        </w:tc>
        <w:tc>
          <w:tcPr>
            <w:tcW w:w="2409" w:type="dxa"/>
            <w:tcBorders>
              <w:bottom w:val="dotted" w:sz="4" w:space="0" w:color="auto"/>
            </w:tcBorders>
            <w:vAlign w:val="center"/>
          </w:tcPr>
          <w:p w:rsidR="008F1BBB" w:rsidRPr="009B389F" w:rsidRDefault="00015E22" w:rsidP="0092287C">
            <w:pPr>
              <w:snapToGrid w:val="0"/>
              <w:rPr>
                <w:rFonts w:asciiTheme="minorEastAsia" w:hAnsiTheme="minorEastAsia"/>
                <w:sz w:val="16"/>
                <w:szCs w:val="16"/>
              </w:rPr>
            </w:pPr>
            <w:r w:rsidRPr="009B389F">
              <w:rPr>
                <w:rFonts w:asciiTheme="minorEastAsia" w:hAnsiTheme="minorEastAsia" w:hint="eastAsia"/>
                <w:sz w:val="16"/>
                <w:szCs w:val="16"/>
              </w:rPr>
              <w:t>製品（加工）単価の低下･上昇難</w:t>
            </w:r>
          </w:p>
        </w:tc>
      </w:tr>
      <w:tr w:rsidR="008F1BBB" w:rsidTr="00015E22">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25.9（</w:t>
            </w:r>
            <w:r w:rsidR="00015E22" w:rsidRPr="009B389F">
              <w:rPr>
                <w:rFonts w:asciiTheme="minorEastAsia" w:hAnsiTheme="minorEastAsia" w:hint="eastAsia"/>
                <w:sz w:val="20"/>
                <w:szCs w:val="20"/>
              </w:rPr>
              <w:t>26.0</w:t>
            </w:r>
            <w:r>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12.9（</w:t>
            </w:r>
            <w:r w:rsidR="00015E22" w:rsidRPr="009B389F">
              <w:rPr>
                <w:rFonts w:asciiTheme="minorEastAsia" w:hAnsiTheme="minorEastAsia" w:hint="eastAsia"/>
                <w:sz w:val="20"/>
                <w:szCs w:val="20"/>
              </w:rPr>
              <w:t>13.5</w:t>
            </w:r>
            <w:r>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11.5（</w:t>
            </w:r>
            <w:r w:rsidR="00015E22" w:rsidRPr="009B389F">
              <w:rPr>
                <w:rFonts w:asciiTheme="minorEastAsia" w:hAnsiTheme="minorEastAsia" w:hint="eastAsia"/>
                <w:sz w:val="20"/>
                <w:szCs w:val="20"/>
              </w:rPr>
              <w:t>10.6</w:t>
            </w:r>
            <w:r>
              <w:rPr>
                <w:rFonts w:asciiTheme="minorEastAsia" w:hAnsiTheme="minorEastAsia" w:hint="eastAsia"/>
                <w:sz w:val="20"/>
                <w:szCs w:val="20"/>
              </w:rPr>
              <w:t>）</w:t>
            </w:r>
          </w:p>
        </w:tc>
      </w:tr>
      <w:tr w:rsidR="008F1BBB" w:rsidTr="0092287C">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409"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官公需</w:t>
            </w:r>
            <w:r w:rsidR="002D6ABD" w:rsidRPr="009B389F">
              <w:rPr>
                <w:rFonts w:asciiTheme="minorEastAsia" w:hAnsiTheme="minorEastAsia" w:hint="eastAsia"/>
                <w:sz w:val="20"/>
                <w:szCs w:val="20"/>
              </w:rPr>
              <w:t>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民間</w:t>
            </w:r>
            <w:r w:rsidR="008F1BBB" w:rsidRPr="009B389F">
              <w:rPr>
                <w:rFonts w:asciiTheme="minorEastAsia" w:hAnsiTheme="minorEastAsia" w:hint="eastAsia"/>
                <w:sz w:val="20"/>
                <w:szCs w:val="20"/>
              </w:rPr>
              <w:t>需要の停滞</w:t>
            </w:r>
          </w:p>
        </w:tc>
        <w:tc>
          <w:tcPr>
            <w:tcW w:w="2409" w:type="dxa"/>
            <w:tcBorders>
              <w:bottom w:val="dotted" w:sz="4" w:space="0" w:color="auto"/>
            </w:tcBorders>
            <w:vAlign w:val="center"/>
          </w:tcPr>
          <w:p w:rsidR="008F1BBB" w:rsidRPr="009B389F" w:rsidRDefault="006D3D49" w:rsidP="006D3D49">
            <w:pPr>
              <w:snapToGrid w:val="0"/>
              <w:rPr>
                <w:rFonts w:asciiTheme="minorEastAsia" w:hAnsiTheme="minorEastAsia"/>
                <w:sz w:val="20"/>
                <w:szCs w:val="20"/>
              </w:rPr>
            </w:pPr>
            <w:r>
              <w:rPr>
                <w:rFonts w:asciiTheme="minorEastAsia" w:hAnsiTheme="minorEastAsia" w:hint="eastAsia"/>
                <w:sz w:val="20"/>
                <w:szCs w:val="20"/>
              </w:rPr>
              <w:t>熟練技術者の確保難</w:t>
            </w:r>
          </w:p>
        </w:tc>
      </w:tr>
      <w:tr w:rsidR="008F1BBB" w:rsidTr="00015E22">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20.1（</w:t>
            </w:r>
            <w:r w:rsidR="00015E22" w:rsidRPr="009B389F">
              <w:rPr>
                <w:rFonts w:asciiTheme="minorEastAsia" w:hAnsiTheme="minorEastAsia" w:hint="eastAsia"/>
                <w:sz w:val="20"/>
                <w:szCs w:val="20"/>
              </w:rPr>
              <w:t>18.7</w:t>
            </w:r>
            <w:r>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14.2（</w:t>
            </w:r>
            <w:r w:rsidR="00015E22" w:rsidRPr="009B389F">
              <w:rPr>
                <w:rFonts w:asciiTheme="minorEastAsia" w:hAnsiTheme="minorEastAsia" w:hint="eastAsia"/>
                <w:sz w:val="20"/>
                <w:szCs w:val="20"/>
              </w:rPr>
              <w:t>17.3</w:t>
            </w:r>
            <w:r>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12.5</w:t>
            </w:r>
            <w:r w:rsidR="00015E22" w:rsidRPr="009B389F">
              <w:rPr>
                <w:rFonts w:asciiTheme="minorEastAsia" w:hAnsiTheme="minorEastAsia" w:hint="eastAsia"/>
                <w:sz w:val="20"/>
                <w:szCs w:val="20"/>
              </w:rPr>
              <w:t>（</w:t>
            </w:r>
            <w:r>
              <w:rPr>
                <w:rFonts w:asciiTheme="minorEastAsia" w:hAnsiTheme="minorEastAsia" w:hint="eastAsia"/>
                <w:sz w:val="20"/>
                <w:szCs w:val="20"/>
              </w:rPr>
              <w:t>8.7</w:t>
            </w:r>
            <w:r w:rsidR="002D6ABD" w:rsidRPr="009B389F">
              <w:rPr>
                <w:rFonts w:asciiTheme="minorEastAsia" w:hAnsiTheme="minorEastAsia" w:hint="eastAsia"/>
                <w:sz w:val="20"/>
                <w:szCs w:val="20"/>
              </w:rPr>
              <w:t>）</w:t>
            </w:r>
          </w:p>
        </w:tc>
      </w:tr>
      <w:tr w:rsidR="008F1BBB" w:rsidTr="00015E22">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409"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仕入単価の上昇</w:t>
            </w:r>
          </w:p>
        </w:tc>
        <w:tc>
          <w:tcPr>
            <w:tcW w:w="2409" w:type="dxa"/>
            <w:tcBorders>
              <w:bottom w:val="dotted" w:sz="4" w:space="0" w:color="auto"/>
            </w:tcBorders>
            <w:vAlign w:val="center"/>
          </w:tcPr>
          <w:p w:rsidR="008F1BBB" w:rsidRPr="009B389F" w:rsidRDefault="00015E22" w:rsidP="00015E22">
            <w:pPr>
              <w:snapToGrid w:val="0"/>
              <w:rPr>
                <w:rFonts w:asciiTheme="minorEastAsia" w:hAnsiTheme="minorEastAsia"/>
                <w:sz w:val="20"/>
                <w:szCs w:val="20"/>
              </w:rPr>
            </w:pPr>
            <w:r w:rsidRPr="009B389F">
              <w:rPr>
                <w:rFonts w:asciiTheme="minorEastAsia" w:hAnsiTheme="minorEastAsia" w:hint="eastAsia"/>
                <w:sz w:val="20"/>
                <w:szCs w:val="20"/>
              </w:rPr>
              <w:t>販売単価の低下･上昇難</w:t>
            </w:r>
          </w:p>
        </w:tc>
      </w:tr>
      <w:tr w:rsidR="008F1BBB" w:rsidTr="00015E22">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6D3D49" w:rsidP="006D3D49">
            <w:pPr>
              <w:snapToGrid w:val="0"/>
              <w:jc w:val="right"/>
              <w:rPr>
                <w:rFonts w:asciiTheme="minorEastAsia" w:hAnsiTheme="minorEastAsia"/>
                <w:sz w:val="20"/>
                <w:szCs w:val="20"/>
              </w:rPr>
            </w:pPr>
            <w:r>
              <w:rPr>
                <w:rFonts w:asciiTheme="minorEastAsia" w:hAnsiTheme="minorEastAsia" w:hint="eastAsia"/>
                <w:sz w:val="20"/>
                <w:szCs w:val="20"/>
              </w:rPr>
              <w:t>36.9（</w:t>
            </w:r>
            <w:r w:rsidR="00015E22" w:rsidRPr="009B389F">
              <w:rPr>
                <w:rFonts w:asciiTheme="minorEastAsia" w:hAnsiTheme="minorEastAsia" w:hint="eastAsia"/>
                <w:sz w:val="20"/>
                <w:szCs w:val="20"/>
              </w:rPr>
              <w:t>34.5</w:t>
            </w:r>
            <w:r>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2F7204" w:rsidP="002F7204">
            <w:pPr>
              <w:snapToGrid w:val="0"/>
              <w:jc w:val="right"/>
              <w:rPr>
                <w:rFonts w:asciiTheme="minorEastAsia" w:hAnsiTheme="minorEastAsia"/>
                <w:sz w:val="20"/>
                <w:szCs w:val="20"/>
              </w:rPr>
            </w:pPr>
            <w:r>
              <w:rPr>
                <w:rFonts w:asciiTheme="minorEastAsia" w:hAnsiTheme="minorEastAsia" w:hint="eastAsia"/>
                <w:sz w:val="20"/>
                <w:szCs w:val="20"/>
              </w:rPr>
              <w:t>10.8（</w:t>
            </w:r>
            <w:r w:rsidR="00015E22" w:rsidRPr="009B389F">
              <w:rPr>
                <w:rFonts w:asciiTheme="minorEastAsia" w:hAnsiTheme="minorEastAsia" w:hint="eastAsia"/>
                <w:sz w:val="20"/>
                <w:szCs w:val="20"/>
              </w:rPr>
              <w:t>14.2</w:t>
            </w:r>
            <w:r>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2F7204" w:rsidP="002F7204">
            <w:pPr>
              <w:snapToGrid w:val="0"/>
              <w:jc w:val="right"/>
              <w:rPr>
                <w:rFonts w:asciiTheme="minorEastAsia" w:hAnsiTheme="minorEastAsia"/>
                <w:sz w:val="20"/>
                <w:szCs w:val="20"/>
              </w:rPr>
            </w:pPr>
            <w:r>
              <w:rPr>
                <w:rFonts w:asciiTheme="minorEastAsia" w:hAnsiTheme="minorEastAsia" w:hint="eastAsia"/>
                <w:sz w:val="20"/>
                <w:szCs w:val="20"/>
              </w:rPr>
              <w:t>9.7（</w:t>
            </w:r>
            <w:r w:rsidR="00015E22" w:rsidRPr="009B389F">
              <w:rPr>
                <w:rFonts w:asciiTheme="minorEastAsia" w:hAnsiTheme="minorEastAsia" w:hint="eastAsia"/>
                <w:sz w:val="20"/>
                <w:szCs w:val="20"/>
              </w:rPr>
              <w:t>7.1</w:t>
            </w:r>
            <w:r>
              <w:rPr>
                <w:rFonts w:asciiTheme="minorEastAsia" w:hAnsiTheme="minorEastAsia" w:hint="eastAsia"/>
                <w:sz w:val="20"/>
                <w:szCs w:val="20"/>
              </w:rPr>
              <w:t>）</w:t>
            </w:r>
          </w:p>
        </w:tc>
      </w:tr>
      <w:tr w:rsidR="00056F27" w:rsidTr="0092287C">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409" w:type="dxa"/>
            <w:tcBorders>
              <w:bottom w:val="dotted" w:sz="4" w:space="0" w:color="auto"/>
            </w:tcBorders>
            <w:vAlign w:val="center"/>
          </w:tcPr>
          <w:p w:rsidR="00056F27" w:rsidRPr="009B389F" w:rsidRDefault="00056F27" w:rsidP="0092287C">
            <w:pPr>
              <w:snapToGrid w:val="0"/>
              <w:rPr>
                <w:rFonts w:asciiTheme="minorEastAsia" w:hAnsiTheme="minorEastAsia"/>
                <w:sz w:val="16"/>
                <w:szCs w:val="16"/>
              </w:rPr>
            </w:pPr>
            <w:r w:rsidRPr="009B389F">
              <w:rPr>
                <w:rFonts w:asciiTheme="minorEastAsia" w:hAnsiTheme="minorEastAsia" w:hint="eastAsia"/>
                <w:sz w:val="16"/>
                <w:szCs w:val="16"/>
              </w:rPr>
              <w:t>大型店･中型店の進出による競争の激化</w:t>
            </w:r>
          </w:p>
        </w:tc>
        <w:tc>
          <w:tcPr>
            <w:tcW w:w="2411" w:type="dxa"/>
            <w:tcBorders>
              <w:bottom w:val="dotted" w:sz="4" w:space="0" w:color="auto"/>
            </w:tcBorders>
            <w:vAlign w:val="center"/>
          </w:tcPr>
          <w:p w:rsidR="00056F27" w:rsidRPr="009B389F" w:rsidRDefault="00015E22" w:rsidP="0092287C">
            <w:pPr>
              <w:snapToGrid w:val="0"/>
              <w:rPr>
                <w:rFonts w:asciiTheme="minorEastAsia" w:hAnsiTheme="minorEastAsia"/>
                <w:sz w:val="16"/>
                <w:szCs w:val="16"/>
              </w:rPr>
            </w:pPr>
            <w:r w:rsidRPr="009B389F">
              <w:rPr>
                <w:rFonts w:asciiTheme="minorEastAsia" w:hAnsiTheme="minorEastAsia" w:hint="eastAsia"/>
                <w:sz w:val="16"/>
                <w:szCs w:val="16"/>
              </w:rPr>
              <w:t>消費者ニーズの変化への対応</w:t>
            </w:r>
          </w:p>
        </w:tc>
        <w:tc>
          <w:tcPr>
            <w:tcW w:w="2409" w:type="dxa"/>
            <w:tcBorders>
              <w:bottom w:val="dotted" w:sz="4" w:space="0" w:color="auto"/>
            </w:tcBorders>
            <w:vAlign w:val="center"/>
          </w:tcPr>
          <w:p w:rsidR="00056F27"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需要の停滞</w:t>
            </w:r>
          </w:p>
        </w:tc>
      </w:tr>
      <w:tr w:rsidR="00056F27" w:rsidTr="00015E22">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409"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17.7（</w:t>
            </w:r>
            <w:r w:rsidR="00015E22" w:rsidRPr="009B389F">
              <w:rPr>
                <w:rFonts w:asciiTheme="minorEastAsia" w:hAnsiTheme="minorEastAsia" w:hint="eastAsia"/>
                <w:sz w:val="20"/>
                <w:szCs w:val="20"/>
              </w:rPr>
              <w:t>20.4</w:t>
            </w:r>
            <w:r>
              <w:rPr>
                <w:rFonts w:asciiTheme="minorEastAsia" w:hAnsiTheme="minorEastAsia" w:hint="eastAsia"/>
                <w:sz w:val="20"/>
                <w:szCs w:val="20"/>
              </w:rPr>
              <w:t>）</w:t>
            </w:r>
          </w:p>
        </w:tc>
        <w:tc>
          <w:tcPr>
            <w:tcW w:w="2411"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16.3（</w:t>
            </w:r>
            <w:r w:rsidR="00015E22" w:rsidRPr="009B389F">
              <w:rPr>
                <w:rFonts w:asciiTheme="minorEastAsia" w:hAnsiTheme="minorEastAsia" w:hint="eastAsia"/>
                <w:sz w:val="20"/>
                <w:szCs w:val="20"/>
              </w:rPr>
              <w:t>16.9</w:t>
            </w:r>
            <w:r>
              <w:rPr>
                <w:rFonts w:asciiTheme="minorEastAsia" w:hAnsiTheme="minorEastAsia" w:hint="eastAsia"/>
                <w:sz w:val="20"/>
                <w:szCs w:val="20"/>
              </w:rPr>
              <w:t>）</w:t>
            </w:r>
          </w:p>
        </w:tc>
        <w:tc>
          <w:tcPr>
            <w:tcW w:w="2409"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16.0（</w:t>
            </w:r>
            <w:r w:rsidR="00015E22" w:rsidRPr="009B389F">
              <w:rPr>
                <w:rFonts w:asciiTheme="minorEastAsia" w:hAnsiTheme="minorEastAsia" w:hint="eastAsia"/>
                <w:sz w:val="20"/>
                <w:szCs w:val="20"/>
              </w:rPr>
              <w:t>15.9</w:t>
            </w:r>
            <w:r>
              <w:rPr>
                <w:rFonts w:asciiTheme="minorEastAsia" w:hAnsiTheme="minorEastAsia" w:hint="eastAsia"/>
                <w:sz w:val="20"/>
                <w:szCs w:val="20"/>
              </w:rPr>
              <w:t>）</w:t>
            </w:r>
          </w:p>
        </w:tc>
      </w:tr>
      <w:tr w:rsidR="00056F27" w:rsidTr="00015E22">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409" w:type="dxa"/>
            <w:tcBorders>
              <w:bottom w:val="dotted" w:sz="4" w:space="0" w:color="auto"/>
            </w:tcBorders>
            <w:vAlign w:val="center"/>
          </w:tcPr>
          <w:p w:rsidR="00056F27" w:rsidRPr="009B389F" w:rsidRDefault="00056F27" w:rsidP="00DB3834">
            <w:pPr>
              <w:snapToGrid w:val="0"/>
              <w:rPr>
                <w:rFonts w:asciiTheme="minorEastAsia" w:hAnsiTheme="minorEastAsia"/>
                <w:sz w:val="16"/>
                <w:szCs w:val="16"/>
              </w:rPr>
            </w:pPr>
            <w:r w:rsidRPr="009B389F">
              <w:rPr>
                <w:rFonts w:asciiTheme="minorEastAsia" w:hAnsiTheme="minorEastAsia" w:hint="eastAsia"/>
                <w:sz w:val="16"/>
                <w:szCs w:val="16"/>
              </w:rPr>
              <w:t>利用者ニーズの変化への対応</w:t>
            </w:r>
          </w:p>
        </w:tc>
        <w:tc>
          <w:tcPr>
            <w:tcW w:w="2411" w:type="dxa"/>
            <w:tcBorders>
              <w:bottom w:val="dotted" w:sz="4" w:space="0" w:color="auto"/>
            </w:tcBorders>
            <w:vAlign w:val="center"/>
          </w:tcPr>
          <w:p w:rsidR="00056F27" w:rsidRPr="009B389F" w:rsidRDefault="00056F27"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09" w:type="dxa"/>
            <w:tcBorders>
              <w:bottom w:val="dotted" w:sz="4" w:space="0" w:color="auto"/>
            </w:tcBorders>
            <w:vAlign w:val="center"/>
          </w:tcPr>
          <w:p w:rsidR="00056F27" w:rsidRPr="009B389F" w:rsidRDefault="00205AE7" w:rsidP="00205AE7">
            <w:pPr>
              <w:snapToGrid w:val="0"/>
              <w:rPr>
                <w:rFonts w:asciiTheme="minorEastAsia" w:hAnsiTheme="minorEastAsia"/>
                <w:sz w:val="20"/>
                <w:szCs w:val="20"/>
              </w:rPr>
            </w:pPr>
            <w:r>
              <w:rPr>
                <w:rFonts w:asciiTheme="minorEastAsia" w:hAnsiTheme="minorEastAsia" w:hint="eastAsia"/>
                <w:sz w:val="20"/>
                <w:szCs w:val="20"/>
              </w:rPr>
              <w:t>従業員の確保難</w:t>
            </w:r>
          </w:p>
        </w:tc>
      </w:tr>
      <w:tr w:rsidR="00056F27" w:rsidTr="00015E22">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409"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20.9（</w:t>
            </w:r>
            <w:r w:rsidR="00015E22" w:rsidRPr="009B389F">
              <w:rPr>
                <w:rFonts w:asciiTheme="minorEastAsia" w:hAnsiTheme="minorEastAsia" w:hint="eastAsia"/>
                <w:sz w:val="20"/>
                <w:szCs w:val="20"/>
              </w:rPr>
              <w:t>20.2</w:t>
            </w:r>
            <w:r>
              <w:rPr>
                <w:rFonts w:asciiTheme="minorEastAsia" w:hAnsiTheme="minorEastAsia" w:hint="eastAsia"/>
                <w:sz w:val="20"/>
                <w:szCs w:val="20"/>
              </w:rPr>
              <w:t>）</w:t>
            </w:r>
          </w:p>
        </w:tc>
        <w:tc>
          <w:tcPr>
            <w:tcW w:w="2411"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17.3（</w:t>
            </w:r>
            <w:r w:rsidR="00015E22" w:rsidRPr="009B389F">
              <w:rPr>
                <w:rFonts w:asciiTheme="minorEastAsia" w:hAnsiTheme="minorEastAsia" w:hint="eastAsia"/>
                <w:sz w:val="20"/>
                <w:szCs w:val="20"/>
              </w:rPr>
              <w:t>17.7</w:t>
            </w:r>
            <w:r w:rsidR="00056F27" w:rsidRPr="009B389F">
              <w:rPr>
                <w:rFonts w:asciiTheme="minorEastAsia" w:hAnsiTheme="minorEastAsia" w:hint="eastAsia"/>
                <w:sz w:val="20"/>
                <w:szCs w:val="20"/>
              </w:rPr>
              <w:t>）</w:t>
            </w:r>
          </w:p>
        </w:tc>
        <w:tc>
          <w:tcPr>
            <w:tcW w:w="2409" w:type="dxa"/>
            <w:tcBorders>
              <w:top w:val="dotted" w:sz="4" w:space="0" w:color="auto"/>
            </w:tcBorders>
            <w:vAlign w:val="center"/>
          </w:tcPr>
          <w:p w:rsidR="00056F27" w:rsidRPr="009B389F" w:rsidRDefault="00205AE7" w:rsidP="00205AE7">
            <w:pPr>
              <w:snapToGrid w:val="0"/>
              <w:jc w:val="right"/>
              <w:rPr>
                <w:rFonts w:asciiTheme="minorEastAsia" w:hAnsiTheme="minorEastAsia"/>
                <w:sz w:val="20"/>
                <w:szCs w:val="20"/>
              </w:rPr>
            </w:pPr>
            <w:r>
              <w:rPr>
                <w:rFonts w:asciiTheme="minorEastAsia" w:hAnsiTheme="minorEastAsia" w:hint="eastAsia"/>
                <w:sz w:val="20"/>
                <w:szCs w:val="20"/>
              </w:rPr>
              <w:t>9.7（</w:t>
            </w:r>
            <w:r w:rsidR="00015E22" w:rsidRPr="009B389F">
              <w:rPr>
                <w:rFonts w:asciiTheme="minorEastAsia" w:hAnsiTheme="minorEastAsia" w:hint="eastAsia"/>
                <w:sz w:val="20"/>
                <w:szCs w:val="20"/>
              </w:rPr>
              <w:t>11.1</w:t>
            </w:r>
            <w:r w:rsidR="00056F27" w:rsidRPr="009B389F">
              <w:rPr>
                <w:rFonts w:asciiTheme="minorEastAsia" w:hAnsiTheme="minorEastAsia" w:hint="eastAsia"/>
                <w:sz w:val="20"/>
                <w:szCs w:val="20"/>
              </w:rPr>
              <w:t>）</w:t>
            </w:r>
          </w:p>
        </w:tc>
      </w:tr>
    </w:tbl>
    <w:p w:rsidR="007765E1" w:rsidRPr="00D34256" w:rsidRDefault="004D1D75" w:rsidP="00DB3834">
      <w:pPr>
        <w:snapToGrid w:val="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416" w:rsidRPr="00E21198" w:rsidRDefault="00D7241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xkqQIAACs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" stroked="f">
                <v:fill opacity="0"/>
                <v:textbox inset="5.85pt,.7pt,5.85pt,.7pt">
                  <w:txbxContent>
                    <w:p w:rsidR="00D72416" w:rsidRPr="00E21198" w:rsidRDefault="00D7241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AB4AE0">
        <w:rPr>
          <w:rFonts w:asciiTheme="majorEastAsia" w:eastAsiaTheme="majorEastAsia" w:hAnsiTheme="majorEastAsia" w:hint="eastAsia"/>
          <w:szCs w:val="21"/>
        </w:rPr>
        <w:t>8</w:t>
      </w:r>
      <w:r w:rsidR="00002028">
        <w:rPr>
          <w:rFonts w:asciiTheme="majorEastAsia" w:eastAsiaTheme="majorEastAsia" w:hAnsiTheme="majorEastAsia" w:hint="eastAsia"/>
          <w:szCs w:val="21"/>
        </w:rPr>
        <w:t>年</w:t>
      </w:r>
      <w:r w:rsidR="00AB4AE0">
        <w:rPr>
          <w:rFonts w:asciiTheme="majorEastAsia" w:eastAsiaTheme="majorEastAsia" w:hAnsiTheme="majorEastAsia" w:hint="eastAsia"/>
          <w:szCs w:val="21"/>
        </w:rPr>
        <w:t>１</w:t>
      </w:r>
      <w:r w:rsidR="00002028">
        <w:rPr>
          <w:rFonts w:asciiTheme="majorEastAsia" w:eastAsiaTheme="majorEastAsia" w:hAnsiTheme="majorEastAsia" w:hint="eastAsia"/>
          <w:szCs w:val="21"/>
        </w:rPr>
        <w:t>～</w:t>
      </w:r>
      <w:r w:rsidR="00AB4AE0">
        <w:rPr>
          <w:rFonts w:asciiTheme="majorEastAsia" w:eastAsiaTheme="majorEastAsia" w:hAnsiTheme="majorEastAsia" w:hint="eastAsia"/>
          <w:szCs w:val="21"/>
        </w:rPr>
        <w:t>３</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8"/>
        <w:gridCol w:w="2959"/>
        <w:gridCol w:w="2959"/>
        <w:gridCol w:w="2959"/>
      </w:tblGrid>
      <w:tr w:rsidR="0088089D" w:rsidTr="0088089D">
        <w:trPr>
          <w:trHeight w:val="70"/>
        </w:trPr>
        <w:tc>
          <w:tcPr>
            <w:tcW w:w="660" w:type="pct"/>
            <w:tcBorders>
              <w:top w:val="nil"/>
              <w:left w:val="nil"/>
              <w:bottom w:val="single" w:sz="4" w:space="0" w:color="auto"/>
              <w:right w:val="single" w:sz="4" w:space="0" w:color="auto"/>
            </w:tcBorders>
            <w:shd w:val="clear" w:color="auto" w:fill="FFFFFF" w:themeFill="background1"/>
            <w:vAlign w:val="center"/>
          </w:tcPr>
          <w:p w:rsidR="0088089D" w:rsidRDefault="0088089D">
            <w:pPr>
              <w:jc w:val="center"/>
              <w:rPr>
                <w:rFonts w:asciiTheme="majorEastAsia" w:eastAsiaTheme="majorEastAsia" w:hAnsiTheme="majorEastAsia"/>
                <w:szCs w:val="21"/>
              </w:rPr>
            </w:pP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8808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土木建築工事業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8808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軽合金鋳物製造業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8089D" w:rsidRDefault="008808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歯ブラシ製造業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88089D" w:rsidRDefault="0088089D" w:rsidP="008808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自動車整備業（車体整備）</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hideMark/>
          </w:tcPr>
          <w:p w:rsidR="0088089D" w:rsidRPr="00A30550" w:rsidRDefault="00AF3800" w:rsidP="00AF3800">
            <w:pPr>
              <w:snapToGrid w:val="0"/>
              <w:rPr>
                <w:rFonts w:asciiTheme="minorEastAsia" w:hAnsiTheme="minorEastAsia"/>
                <w:sz w:val="20"/>
                <w:szCs w:val="20"/>
              </w:rPr>
            </w:pPr>
            <w:r>
              <w:rPr>
                <w:rFonts w:asciiTheme="minorEastAsia" w:hAnsiTheme="minorEastAsia" w:hint="eastAsia"/>
                <w:sz w:val="20"/>
                <w:szCs w:val="20"/>
              </w:rPr>
              <w:t>26</w:t>
            </w:r>
            <w:r w:rsidR="0088089D" w:rsidRPr="00A30550">
              <w:rPr>
                <w:rFonts w:asciiTheme="minorEastAsia" w:hAnsiTheme="minorEastAsia" w:hint="eastAsia"/>
                <w:sz w:val="20"/>
                <w:szCs w:val="20"/>
              </w:rPr>
              <w:t xml:space="preserve">年の事業所数は </w:t>
            </w:r>
            <w:r>
              <w:rPr>
                <w:rFonts w:asciiTheme="minorEastAsia" w:hAnsiTheme="minorEastAsia" w:hint="eastAsia"/>
                <w:sz w:val="20"/>
                <w:szCs w:val="20"/>
              </w:rPr>
              <w:t>7,069</w:t>
            </w:r>
            <w:r w:rsidR="0088089D" w:rsidRPr="00A30550">
              <w:rPr>
                <w:rFonts w:asciiTheme="minorEastAsia" w:hAnsiTheme="minorEastAsia" w:hint="eastAsia"/>
                <w:sz w:val="20"/>
                <w:szCs w:val="20"/>
              </w:rPr>
              <w:t>、従業者数は</w:t>
            </w:r>
            <w:r>
              <w:rPr>
                <w:rFonts w:asciiTheme="minorEastAsia" w:hAnsiTheme="minorEastAsia" w:hint="eastAsia"/>
                <w:sz w:val="20"/>
                <w:szCs w:val="20"/>
              </w:rPr>
              <w:t>71,007</w:t>
            </w:r>
            <w:r w:rsidR="0088089D" w:rsidRPr="00A30550">
              <w:rPr>
                <w:rFonts w:asciiTheme="minorEastAsia" w:hAnsiTheme="minorEastAsia" w:hint="eastAsia"/>
                <w:sz w:val="20"/>
                <w:szCs w:val="20"/>
              </w:rPr>
              <w:t>人で、</w:t>
            </w:r>
            <w:r w:rsidRPr="00AF3800">
              <w:rPr>
                <w:rFonts w:asciiTheme="minorEastAsia" w:hAnsiTheme="minorEastAsia" w:hint="eastAsia"/>
                <w:sz w:val="20"/>
                <w:szCs w:val="20"/>
              </w:rPr>
              <w:t>21年から26年にかけていずれも91.2％の水準に減少した。</w:t>
            </w:r>
            <w:r>
              <w:rPr>
                <w:rFonts w:asciiTheme="minorEastAsia" w:hAnsiTheme="minorEastAsia" w:hint="eastAsia"/>
                <w:sz w:val="20"/>
                <w:szCs w:val="20"/>
              </w:rPr>
              <w:t>対全国比は、</w:t>
            </w:r>
            <w:r w:rsidRPr="00AF3800">
              <w:rPr>
                <w:rFonts w:asciiTheme="minorEastAsia" w:hAnsiTheme="minorEastAsia" w:hint="eastAsia"/>
                <w:sz w:val="20"/>
                <w:szCs w:val="20"/>
              </w:rPr>
              <w:t>事業所数</w:t>
            </w:r>
            <w:r>
              <w:rPr>
                <w:rFonts w:asciiTheme="minorEastAsia" w:hAnsiTheme="minorEastAsia" w:hint="eastAsia"/>
                <w:sz w:val="20"/>
                <w:szCs w:val="20"/>
              </w:rPr>
              <w:t>が5.2％、</w:t>
            </w:r>
            <w:r w:rsidRPr="00AF3800">
              <w:rPr>
                <w:rFonts w:asciiTheme="minorEastAsia" w:hAnsiTheme="minorEastAsia" w:hint="eastAsia"/>
                <w:sz w:val="20"/>
                <w:szCs w:val="20"/>
              </w:rPr>
              <w:t>従業者数</w:t>
            </w:r>
            <w:r>
              <w:rPr>
                <w:rFonts w:asciiTheme="minorEastAsia" w:hAnsiTheme="minorEastAsia" w:hint="eastAsia"/>
                <w:sz w:val="20"/>
                <w:szCs w:val="20"/>
              </w:rPr>
              <w:t>が</w:t>
            </w:r>
            <w:r w:rsidRPr="00AF3800">
              <w:rPr>
                <w:rFonts w:asciiTheme="minorEastAsia" w:hAnsiTheme="minorEastAsia" w:hint="eastAsia"/>
                <w:sz w:val="20"/>
                <w:szCs w:val="20"/>
              </w:rPr>
              <w:t>6.9％</w:t>
            </w:r>
            <w:r>
              <w:rPr>
                <w:rFonts w:asciiTheme="minorEastAsia" w:hAnsiTheme="minorEastAsia" w:hint="eastAsia"/>
                <w:sz w:val="20"/>
                <w:szCs w:val="20"/>
              </w:rPr>
              <w:t>である。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D72416" w:rsidP="00D72416">
            <w:pPr>
              <w:snapToGrid w:val="0"/>
              <w:rPr>
                <w:rFonts w:asciiTheme="minorEastAsia" w:hAnsiTheme="minorEastAsia"/>
                <w:sz w:val="20"/>
                <w:szCs w:val="20"/>
              </w:rPr>
            </w:pPr>
            <w:r>
              <w:rPr>
                <w:rFonts w:asciiTheme="minorEastAsia" w:hAnsiTheme="minorEastAsia" w:hint="eastAsia"/>
                <w:sz w:val="20"/>
                <w:szCs w:val="20"/>
              </w:rPr>
              <w:t>26年の事業所数は28、従業者数は308人、製造品出荷額等は50億4,049万円で、全国に占めるシェアは、それぞれ、8.9％、4.4％、2.9％である。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63170C" w:rsidP="0063170C">
            <w:pPr>
              <w:snapToGrid w:val="0"/>
              <w:rPr>
                <w:rFonts w:asciiTheme="minorEastAsia" w:hAnsiTheme="minorEastAsia"/>
                <w:sz w:val="20"/>
                <w:szCs w:val="20"/>
              </w:rPr>
            </w:pPr>
            <w:r w:rsidRPr="0063170C">
              <w:rPr>
                <w:rFonts w:asciiTheme="minorEastAsia" w:hAnsiTheme="minorEastAsia" w:hint="eastAsia"/>
                <w:sz w:val="20"/>
                <w:szCs w:val="20"/>
              </w:rPr>
              <w:t>26年の事業所数は21、製造品出荷額等は51億円で、全国に占めるシェアは、各々43.8％、12.8％である</w:t>
            </w:r>
            <w:r>
              <w:rPr>
                <w:rFonts w:asciiTheme="minorEastAsia" w:hAnsiTheme="minorEastAsia" w:hint="eastAsia"/>
                <w:sz w:val="20"/>
                <w:szCs w:val="20"/>
              </w:rPr>
              <w:t>。</w:t>
            </w:r>
            <w:r w:rsidRPr="0063170C">
              <w:rPr>
                <w:rFonts w:asciiTheme="minorEastAsia" w:hAnsiTheme="minorEastAsia" w:hint="eastAsia"/>
                <w:sz w:val="20"/>
                <w:szCs w:val="20"/>
              </w:rPr>
              <w:t>事業所数は、全国</w:t>
            </w:r>
            <w:r>
              <w:rPr>
                <w:rFonts w:asciiTheme="minorEastAsia" w:hAnsiTheme="minorEastAsia" w:hint="eastAsia"/>
                <w:sz w:val="20"/>
                <w:szCs w:val="20"/>
              </w:rPr>
              <w:t>で最も多く、一般用歯ブラシ製造業者が多い。</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D72416" w:rsidP="00A069FC">
            <w:pPr>
              <w:snapToGrid w:val="0"/>
              <w:rPr>
                <w:rFonts w:asciiTheme="minorEastAsia" w:hAnsiTheme="minorEastAsia"/>
                <w:sz w:val="20"/>
                <w:szCs w:val="20"/>
              </w:rPr>
            </w:pPr>
            <w:r>
              <w:rPr>
                <w:rFonts w:asciiTheme="minorEastAsia" w:hAnsiTheme="minorEastAsia" w:hint="eastAsia"/>
                <w:sz w:val="20"/>
                <w:szCs w:val="20"/>
              </w:rPr>
              <w:t>一般自動車整備</w:t>
            </w:r>
            <w:r w:rsidR="00A069FC">
              <w:rPr>
                <w:rFonts w:asciiTheme="minorEastAsia" w:hAnsiTheme="minorEastAsia" w:hint="eastAsia"/>
                <w:sz w:val="20"/>
                <w:szCs w:val="20"/>
              </w:rPr>
              <w:t>事業者数4,345（平成23年3月）の1/3程度の1,000～1,200と推測されている（</w:t>
            </w:r>
            <w:r w:rsidR="00A069FC" w:rsidRPr="00A069FC">
              <w:rPr>
                <w:rFonts w:asciiTheme="minorEastAsia" w:hAnsiTheme="minorEastAsia" w:hint="eastAsia"/>
                <w:sz w:val="20"/>
                <w:szCs w:val="20"/>
              </w:rPr>
              <w:t>大阪府自動車車体整備協同組合</w:t>
            </w:r>
            <w:r w:rsidR="00A069FC">
              <w:rPr>
                <w:rFonts w:asciiTheme="minorEastAsia" w:hAnsiTheme="minorEastAsia" w:hint="eastAsia"/>
                <w:sz w:val="20"/>
                <w:szCs w:val="20"/>
              </w:rPr>
              <w:t>）（平成23年4-6月期の調査内容より）。</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hideMark/>
          </w:tcPr>
          <w:p w:rsidR="0088089D" w:rsidRPr="00A30550" w:rsidRDefault="00AF3800" w:rsidP="00D81D08">
            <w:pPr>
              <w:snapToGrid w:val="0"/>
              <w:rPr>
                <w:rFonts w:asciiTheme="minorEastAsia" w:hAnsiTheme="minorEastAsia"/>
                <w:sz w:val="20"/>
                <w:szCs w:val="20"/>
              </w:rPr>
            </w:pPr>
            <w:r w:rsidRPr="00AF3800">
              <w:rPr>
                <w:rFonts w:asciiTheme="minorEastAsia" w:hAnsiTheme="minorEastAsia" w:hint="eastAsia"/>
                <w:sz w:val="20"/>
                <w:szCs w:val="20"/>
              </w:rPr>
              <w:t>26年度まで</w:t>
            </w:r>
            <w:r>
              <w:rPr>
                <w:rFonts w:asciiTheme="minorEastAsia" w:hAnsiTheme="minorEastAsia" w:hint="eastAsia"/>
                <w:sz w:val="20"/>
                <w:szCs w:val="20"/>
              </w:rPr>
              <w:t>は</w:t>
            </w:r>
            <w:r w:rsidRPr="00AF3800">
              <w:rPr>
                <w:rFonts w:asciiTheme="minorEastAsia" w:hAnsiTheme="minorEastAsia" w:hint="eastAsia"/>
                <w:sz w:val="20"/>
                <w:szCs w:val="20"/>
              </w:rPr>
              <w:t>やや上向き傾向にあったが、27年度は、前年度</w:t>
            </w:r>
            <w:r w:rsidR="00D81D08">
              <w:rPr>
                <w:rFonts w:asciiTheme="minorEastAsia" w:hAnsiTheme="minorEastAsia" w:hint="eastAsia"/>
                <w:sz w:val="20"/>
                <w:szCs w:val="20"/>
              </w:rPr>
              <w:t>比</w:t>
            </w:r>
            <w:r w:rsidRPr="00AF3800">
              <w:rPr>
                <w:rFonts w:asciiTheme="minorEastAsia" w:hAnsiTheme="minorEastAsia" w:hint="eastAsia"/>
                <w:sz w:val="20"/>
                <w:szCs w:val="20"/>
              </w:rPr>
              <w:t>横ばいか微増、工事によってやや下回る水準で推移している。</w:t>
            </w:r>
            <w:r w:rsidR="00FA6698">
              <w:rPr>
                <w:rFonts w:asciiTheme="minorEastAsia" w:hAnsiTheme="minorEastAsia" w:hint="eastAsia"/>
                <w:sz w:val="20"/>
                <w:szCs w:val="20"/>
              </w:rPr>
              <w:t>力強いとはいえない</w:t>
            </w:r>
            <w:r w:rsidR="006C7AFD">
              <w:rPr>
                <w:rFonts w:asciiTheme="minorEastAsia" w:hAnsiTheme="minorEastAsia" w:hint="eastAsia"/>
                <w:sz w:val="20"/>
                <w:szCs w:val="20"/>
              </w:rPr>
              <w:t>が</w:t>
            </w:r>
            <w:r w:rsidR="00FA6698">
              <w:rPr>
                <w:rFonts w:asciiTheme="minorEastAsia" w:hAnsiTheme="minorEastAsia" w:hint="eastAsia"/>
                <w:sz w:val="20"/>
                <w:szCs w:val="20"/>
              </w:rPr>
              <w:t>、民間工事が業況を牽引している。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B46477" w:rsidP="00EC7BEE">
            <w:pPr>
              <w:snapToGrid w:val="0"/>
              <w:rPr>
                <w:rFonts w:asciiTheme="minorEastAsia" w:hAnsiTheme="minorEastAsia"/>
                <w:sz w:val="20"/>
                <w:szCs w:val="20"/>
              </w:rPr>
            </w:pPr>
            <w:r>
              <w:rPr>
                <w:rFonts w:asciiTheme="minorEastAsia" w:hAnsiTheme="minorEastAsia" w:hint="eastAsia"/>
                <w:sz w:val="20"/>
                <w:szCs w:val="20"/>
              </w:rPr>
              <w:t>軽合金鋳物の多くを占めるアルミニウム鋳物のうち、</w:t>
            </w:r>
            <w:r w:rsidRPr="00B46477">
              <w:rPr>
                <w:rFonts w:asciiTheme="minorEastAsia" w:hAnsiTheme="minorEastAsia" w:hint="eastAsia"/>
                <w:sz w:val="20"/>
                <w:szCs w:val="20"/>
              </w:rPr>
              <w:t>生産額の多くを占める自動車用は27年末頃から、一般機械用はさらに早く同年夏頃から減少基調にあ</w:t>
            </w:r>
            <w:r w:rsidR="00EC7BEE">
              <w:rPr>
                <w:rFonts w:asciiTheme="minorEastAsia" w:hAnsiTheme="minorEastAsia" w:hint="eastAsia"/>
                <w:sz w:val="20"/>
                <w:szCs w:val="20"/>
              </w:rPr>
              <w:t>り、利益確保が厳しくなっている。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7E522E" w:rsidP="007E522E">
            <w:pPr>
              <w:snapToGrid w:val="0"/>
              <w:rPr>
                <w:rFonts w:asciiTheme="minorEastAsia" w:hAnsiTheme="minorEastAsia"/>
                <w:sz w:val="20"/>
                <w:szCs w:val="20"/>
              </w:rPr>
            </w:pPr>
            <w:r w:rsidRPr="007E522E">
              <w:rPr>
                <w:rFonts w:asciiTheme="minorEastAsia" w:hAnsiTheme="minorEastAsia" w:hint="eastAsia"/>
                <w:sz w:val="20"/>
                <w:szCs w:val="20"/>
              </w:rPr>
              <w:t>売上高は横ばいというところがある一方、幅広い製品を持つところでは増加というところもある。業務用歯ブラシでは、ホテル・旅館等の宿泊数の増加による需要増もみられる。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2D71B8" w:rsidP="002D71B8">
            <w:pPr>
              <w:snapToGrid w:val="0"/>
              <w:rPr>
                <w:rFonts w:asciiTheme="minorEastAsia" w:hAnsiTheme="minorEastAsia"/>
                <w:sz w:val="20"/>
                <w:szCs w:val="20"/>
              </w:rPr>
            </w:pPr>
            <w:r w:rsidRPr="002D71B8">
              <w:rPr>
                <w:rFonts w:asciiTheme="minorEastAsia" w:hAnsiTheme="minorEastAsia" w:hint="eastAsia"/>
                <w:sz w:val="20"/>
                <w:szCs w:val="20"/>
              </w:rPr>
              <w:t>ユーザーの節約志向の影響等</w:t>
            </w:r>
            <w:r>
              <w:rPr>
                <w:rFonts w:asciiTheme="minorEastAsia" w:hAnsiTheme="minorEastAsia" w:hint="eastAsia"/>
                <w:sz w:val="20"/>
                <w:szCs w:val="20"/>
              </w:rPr>
              <w:t>で、</w:t>
            </w:r>
            <w:r w:rsidRPr="002D71B8">
              <w:rPr>
                <w:rFonts w:asciiTheme="minorEastAsia" w:hAnsiTheme="minorEastAsia" w:hint="eastAsia"/>
                <w:sz w:val="20"/>
                <w:szCs w:val="20"/>
              </w:rPr>
              <w:t>法人</w:t>
            </w:r>
            <w:r>
              <w:rPr>
                <w:rFonts w:asciiTheme="minorEastAsia" w:hAnsiTheme="minorEastAsia" w:hint="eastAsia"/>
                <w:sz w:val="20"/>
                <w:szCs w:val="20"/>
              </w:rPr>
              <w:t>、</w:t>
            </w:r>
            <w:r w:rsidRPr="002D71B8">
              <w:rPr>
                <w:rFonts w:asciiTheme="minorEastAsia" w:hAnsiTheme="minorEastAsia" w:hint="eastAsia"/>
                <w:sz w:val="20"/>
                <w:szCs w:val="20"/>
              </w:rPr>
              <w:t>個人とも</w:t>
            </w:r>
            <w:r>
              <w:rPr>
                <w:rFonts w:asciiTheme="minorEastAsia" w:hAnsiTheme="minorEastAsia" w:hint="eastAsia"/>
                <w:sz w:val="20"/>
                <w:szCs w:val="20"/>
              </w:rPr>
              <w:t>、需要は</w:t>
            </w:r>
            <w:r w:rsidRPr="002D71B8">
              <w:rPr>
                <w:rFonts w:asciiTheme="minorEastAsia" w:hAnsiTheme="minorEastAsia" w:hint="eastAsia"/>
                <w:sz w:val="20"/>
                <w:szCs w:val="20"/>
              </w:rPr>
              <w:t>縮小傾向にある。交通事故等に伴う需要</w:t>
            </w:r>
            <w:r>
              <w:rPr>
                <w:rFonts w:asciiTheme="minorEastAsia" w:hAnsiTheme="minorEastAsia" w:hint="eastAsia"/>
                <w:sz w:val="20"/>
                <w:szCs w:val="20"/>
              </w:rPr>
              <w:t>は、</w:t>
            </w:r>
            <w:r w:rsidRPr="002D71B8">
              <w:rPr>
                <w:rFonts w:asciiTheme="minorEastAsia" w:hAnsiTheme="minorEastAsia" w:hint="eastAsia"/>
                <w:sz w:val="20"/>
                <w:szCs w:val="20"/>
              </w:rPr>
              <w:t>走行に問題なければ修理しないユーザーや必要最低限の修理に抑制する動きが</w:t>
            </w:r>
            <w:r>
              <w:rPr>
                <w:rFonts w:asciiTheme="minorEastAsia" w:hAnsiTheme="minorEastAsia" w:hint="eastAsia"/>
                <w:sz w:val="20"/>
                <w:szCs w:val="20"/>
              </w:rPr>
              <w:t>みられる</w:t>
            </w:r>
            <w:r w:rsidRPr="002D71B8">
              <w:rPr>
                <w:rFonts w:asciiTheme="minorEastAsia" w:hAnsiTheme="minorEastAsia" w:hint="eastAsia"/>
                <w:sz w:val="20"/>
                <w:szCs w:val="20"/>
              </w:rPr>
              <w:t>。</w:t>
            </w:r>
          </w:p>
        </w:tc>
      </w:tr>
      <w:tr w:rsidR="0088089D" w:rsidTr="00BC1CB2">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88089D" w:rsidRPr="00A30550" w:rsidRDefault="00BC1CB2" w:rsidP="00BC1CB2">
            <w:pPr>
              <w:snapToGrid w:val="0"/>
              <w:rPr>
                <w:rFonts w:asciiTheme="minorEastAsia" w:hAnsiTheme="minorEastAsia"/>
                <w:sz w:val="20"/>
                <w:szCs w:val="20"/>
              </w:rPr>
            </w:pPr>
            <w:r>
              <w:rPr>
                <w:rFonts w:asciiTheme="minorEastAsia" w:hAnsiTheme="minorEastAsia" w:hint="eastAsia"/>
                <w:sz w:val="20"/>
                <w:szCs w:val="20"/>
              </w:rPr>
              <w:t>上記の概況を受けて、前年度比を横ばいか微増で推移している。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EC7BEE" w:rsidP="00EC7BEE">
            <w:pPr>
              <w:snapToGrid w:val="0"/>
              <w:rPr>
                <w:rFonts w:asciiTheme="minorEastAsia" w:hAnsiTheme="minorEastAsia"/>
                <w:sz w:val="20"/>
                <w:szCs w:val="20"/>
              </w:rPr>
            </w:pPr>
            <w:r>
              <w:rPr>
                <w:rFonts w:asciiTheme="minorEastAsia" w:hAnsiTheme="minorEastAsia" w:hint="eastAsia"/>
                <w:sz w:val="20"/>
                <w:szCs w:val="20"/>
              </w:rPr>
              <w:t>自動車の</w:t>
            </w:r>
            <w:r w:rsidRPr="00EC7BEE">
              <w:rPr>
                <w:rFonts w:asciiTheme="minorEastAsia" w:hAnsiTheme="minorEastAsia" w:hint="eastAsia"/>
                <w:sz w:val="20"/>
                <w:szCs w:val="20"/>
              </w:rPr>
              <w:t>需要減少</w:t>
            </w:r>
            <w:r>
              <w:rPr>
                <w:rFonts w:asciiTheme="minorEastAsia" w:hAnsiTheme="minorEastAsia" w:hint="eastAsia"/>
                <w:sz w:val="20"/>
                <w:szCs w:val="20"/>
              </w:rPr>
              <w:t>や</w:t>
            </w:r>
            <w:r w:rsidRPr="00EC7BEE">
              <w:rPr>
                <w:rFonts w:asciiTheme="minorEastAsia" w:hAnsiTheme="minorEastAsia" w:hint="eastAsia"/>
                <w:sz w:val="20"/>
                <w:szCs w:val="20"/>
              </w:rPr>
              <w:t>部品共通化</w:t>
            </w:r>
            <w:r>
              <w:rPr>
                <w:rFonts w:asciiTheme="minorEastAsia" w:hAnsiTheme="minorEastAsia" w:hint="eastAsia"/>
                <w:sz w:val="20"/>
                <w:szCs w:val="20"/>
              </w:rPr>
              <w:t>による</w:t>
            </w:r>
            <w:r w:rsidRPr="00EC7BEE">
              <w:rPr>
                <w:rFonts w:asciiTheme="minorEastAsia" w:hAnsiTheme="minorEastAsia" w:hint="eastAsia"/>
                <w:sz w:val="20"/>
                <w:szCs w:val="20"/>
              </w:rPr>
              <w:t>試作品</w:t>
            </w:r>
            <w:r>
              <w:rPr>
                <w:rFonts w:asciiTheme="minorEastAsia" w:hAnsiTheme="minorEastAsia" w:hint="eastAsia"/>
                <w:sz w:val="20"/>
                <w:szCs w:val="20"/>
              </w:rPr>
              <w:t>の</w:t>
            </w:r>
            <w:r w:rsidRPr="00EC7BEE">
              <w:rPr>
                <w:rFonts w:asciiTheme="minorEastAsia" w:hAnsiTheme="minorEastAsia" w:hint="eastAsia"/>
                <w:sz w:val="20"/>
                <w:szCs w:val="20"/>
              </w:rPr>
              <w:t>減少、量産品の海外生産移管、海外製部品の輸入拡大など</w:t>
            </w:r>
            <w:r>
              <w:rPr>
                <w:rFonts w:asciiTheme="minorEastAsia" w:hAnsiTheme="minorEastAsia" w:hint="eastAsia"/>
                <w:sz w:val="20"/>
                <w:szCs w:val="20"/>
              </w:rPr>
              <w:t>で、売り上げが</w:t>
            </w:r>
            <w:r w:rsidRPr="00EC7BEE">
              <w:rPr>
                <w:rFonts w:asciiTheme="minorEastAsia" w:hAnsiTheme="minorEastAsia" w:hint="eastAsia"/>
                <w:sz w:val="20"/>
                <w:szCs w:val="20"/>
              </w:rPr>
              <w:t>減少している。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63170C" w:rsidP="00125F6A">
            <w:pPr>
              <w:snapToGrid w:val="0"/>
              <w:rPr>
                <w:rFonts w:asciiTheme="minorEastAsia" w:hAnsiTheme="minorEastAsia"/>
                <w:sz w:val="20"/>
                <w:szCs w:val="20"/>
              </w:rPr>
            </w:pPr>
            <w:r w:rsidRPr="0063170C">
              <w:rPr>
                <w:rFonts w:asciiTheme="minorEastAsia" w:hAnsiTheme="minorEastAsia" w:hint="eastAsia"/>
                <w:sz w:val="20"/>
                <w:szCs w:val="20"/>
              </w:rPr>
              <w:t>口腔衛生意識の高まり</w:t>
            </w:r>
            <w:r w:rsidR="00125F6A">
              <w:rPr>
                <w:rFonts w:asciiTheme="minorEastAsia" w:hAnsiTheme="minorEastAsia" w:hint="eastAsia"/>
                <w:sz w:val="20"/>
                <w:szCs w:val="20"/>
              </w:rPr>
              <w:t>で、</w:t>
            </w:r>
            <w:r w:rsidRPr="0063170C">
              <w:rPr>
                <w:rFonts w:asciiTheme="minorEastAsia" w:hAnsiTheme="minorEastAsia" w:hint="eastAsia"/>
                <w:sz w:val="20"/>
                <w:szCs w:val="20"/>
              </w:rPr>
              <w:t>高級品</w:t>
            </w:r>
            <w:r w:rsidR="00125F6A">
              <w:rPr>
                <w:rFonts w:asciiTheme="minorEastAsia" w:hAnsiTheme="minorEastAsia" w:hint="eastAsia"/>
                <w:sz w:val="20"/>
                <w:szCs w:val="20"/>
              </w:rPr>
              <w:t>が売上の微増に寄与する動きがみられたほか、ホテル･旅館向けの需要の伸びがみられた。</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5916A2" w:rsidP="003B31A3">
            <w:pPr>
              <w:snapToGrid w:val="0"/>
              <w:rPr>
                <w:rFonts w:asciiTheme="minorEastAsia" w:hAnsiTheme="minorEastAsia"/>
                <w:sz w:val="20"/>
                <w:szCs w:val="20"/>
              </w:rPr>
            </w:pPr>
            <w:r>
              <w:rPr>
                <w:rFonts w:asciiTheme="minorEastAsia" w:hAnsiTheme="minorEastAsia" w:hint="eastAsia"/>
                <w:sz w:val="20"/>
                <w:szCs w:val="20"/>
              </w:rPr>
              <w:t>ユーザーの車離れ</w:t>
            </w:r>
            <w:r w:rsidR="003B31A3">
              <w:rPr>
                <w:rFonts w:asciiTheme="minorEastAsia" w:hAnsiTheme="minorEastAsia" w:hint="eastAsia"/>
                <w:sz w:val="20"/>
                <w:szCs w:val="20"/>
              </w:rPr>
              <w:t>、</w:t>
            </w:r>
            <w:r>
              <w:rPr>
                <w:rFonts w:asciiTheme="minorEastAsia" w:hAnsiTheme="minorEastAsia" w:hint="eastAsia"/>
                <w:sz w:val="20"/>
                <w:szCs w:val="20"/>
              </w:rPr>
              <w:t>法人の</w:t>
            </w:r>
            <w:r w:rsidRPr="005916A2">
              <w:rPr>
                <w:rFonts w:asciiTheme="minorEastAsia" w:hAnsiTheme="minorEastAsia" w:hint="eastAsia"/>
                <w:sz w:val="20"/>
                <w:szCs w:val="20"/>
              </w:rPr>
              <w:t>営業車両減車</w:t>
            </w:r>
            <w:r>
              <w:rPr>
                <w:rFonts w:asciiTheme="minorEastAsia" w:hAnsiTheme="minorEastAsia" w:hint="eastAsia"/>
                <w:sz w:val="20"/>
                <w:szCs w:val="20"/>
              </w:rPr>
              <w:t>、</w:t>
            </w:r>
            <w:r w:rsidRPr="005916A2">
              <w:rPr>
                <w:rFonts w:asciiTheme="minorEastAsia" w:hAnsiTheme="minorEastAsia" w:hint="eastAsia"/>
                <w:sz w:val="20"/>
                <w:szCs w:val="20"/>
              </w:rPr>
              <w:t>車検や保険料</w:t>
            </w:r>
            <w:r w:rsidR="003B31A3">
              <w:rPr>
                <w:rFonts w:asciiTheme="minorEastAsia" w:hAnsiTheme="minorEastAsia" w:hint="eastAsia"/>
                <w:sz w:val="20"/>
                <w:szCs w:val="20"/>
              </w:rPr>
              <w:t>等の</w:t>
            </w:r>
            <w:r w:rsidRPr="005916A2">
              <w:rPr>
                <w:rFonts w:asciiTheme="minorEastAsia" w:hAnsiTheme="minorEastAsia" w:hint="eastAsia"/>
                <w:sz w:val="20"/>
                <w:szCs w:val="20"/>
              </w:rPr>
              <w:t>維持費の安い軽自動車へのシフト</w:t>
            </w:r>
            <w:r>
              <w:rPr>
                <w:rFonts w:asciiTheme="minorEastAsia" w:hAnsiTheme="minorEastAsia" w:hint="eastAsia"/>
                <w:sz w:val="20"/>
                <w:szCs w:val="20"/>
              </w:rPr>
              <w:t>などにより、売上げは伸び悩んでいる。</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hideMark/>
          </w:tcPr>
          <w:p w:rsidR="0088089D" w:rsidRPr="00A30550" w:rsidRDefault="00FA6698" w:rsidP="00FA6698">
            <w:pPr>
              <w:snapToGrid w:val="0"/>
              <w:rPr>
                <w:rFonts w:asciiTheme="minorEastAsia" w:hAnsiTheme="minorEastAsia"/>
                <w:sz w:val="20"/>
                <w:szCs w:val="20"/>
              </w:rPr>
            </w:pPr>
            <w:r w:rsidRPr="00FA6698">
              <w:rPr>
                <w:rFonts w:asciiTheme="minorEastAsia" w:hAnsiTheme="minorEastAsia" w:hint="eastAsia"/>
                <w:sz w:val="20"/>
                <w:szCs w:val="20"/>
              </w:rPr>
              <w:t>材料費は横ばいか微増であるが受注価格がやや上昇しているため、発注内容を見極めて受注</w:t>
            </w:r>
            <w:r>
              <w:rPr>
                <w:rFonts w:asciiTheme="minorEastAsia" w:hAnsiTheme="minorEastAsia" w:hint="eastAsia"/>
                <w:sz w:val="20"/>
                <w:szCs w:val="20"/>
              </w:rPr>
              <w:t>し、収益</w:t>
            </w:r>
            <w:r w:rsidRPr="00FA6698">
              <w:rPr>
                <w:rFonts w:asciiTheme="minorEastAsia" w:hAnsiTheme="minorEastAsia" w:hint="eastAsia"/>
                <w:sz w:val="20"/>
                <w:szCs w:val="20"/>
              </w:rPr>
              <w:t>を確保できる状況にはある。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1378B1" w:rsidP="001378B1">
            <w:pPr>
              <w:snapToGrid w:val="0"/>
              <w:rPr>
                <w:rFonts w:asciiTheme="minorEastAsia" w:hAnsiTheme="minorEastAsia"/>
                <w:sz w:val="20"/>
                <w:szCs w:val="20"/>
              </w:rPr>
            </w:pPr>
            <w:r w:rsidRPr="001378B1">
              <w:rPr>
                <w:rFonts w:asciiTheme="minorEastAsia" w:hAnsiTheme="minorEastAsia" w:hint="eastAsia"/>
                <w:sz w:val="20"/>
                <w:szCs w:val="20"/>
              </w:rPr>
              <w:t>アルミ価格はやや低下し</w:t>
            </w:r>
            <w:r>
              <w:rPr>
                <w:rFonts w:asciiTheme="minorEastAsia" w:hAnsiTheme="minorEastAsia" w:hint="eastAsia"/>
                <w:sz w:val="20"/>
                <w:szCs w:val="20"/>
              </w:rPr>
              <w:t>たが</w:t>
            </w:r>
            <w:r w:rsidRPr="001378B1">
              <w:rPr>
                <w:rFonts w:asciiTheme="minorEastAsia" w:hAnsiTheme="minorEastAsia" w:hint="eastAsia"/>
                <w:sz w:val="20"/>
                <w:szCs w:val="20"/>
              </w:rPr>
              <w:t>、樹脂、けい砂、粘結剤、フラックス</w:t>
            </w:r>
            <w:r>
              <w:rPr>
                <w:rFonts w:asciiTheme="minorEastAsia" w:hAnsiTheme="minorEastAsia" w:hint="eastAsia"/>
                <w:sz w:val="20"/>
                <w:szCs w:val="20"/>
              </w:rPr>
              <w:t>などの</w:t>
            </w:r>
            <w:r w:rsidRPr="001378B1">
              <w:rPr>
                <w:rFonts w:asciiTheme="minorEastAsia" w:hAnsiTheme="minorEastAsia" w:hint="eastAsia"/>
                <w:sz w:val="20"/>
                <w:szCs w:val="20"/>
              </w:rPr>
              <w:t>副資材、燃料のガス代、運送費</w:t>
            </w:r>
            <w:r>
              <w:rPr>
                <w:rFonts w:asciiTheme="minorEastAsia" w:hAnsiTheme="minorEastAsia" w:hint="eastAsia"/>
                <w:sz w:val="20"/>
                <w:szCs w:val="20"/>
              </w:rPr>
              <w:t>などの</w:t>
            </w:r>
            <w:r w:rsidRPr="001378B1">
              <w:rPr>
                <w:rFonts w:asciiTheme="minorEastAsia" w:hAnsiTheme="minorEastAsia" w:hint="eastAsia"/>
                <w:sz w:val="20"/>
                <w:szCs w:val="20"/>
              </w:rPr>
              <w:t>物流</w:t>
            </w:r>
            <w:r>
              <w:rPr>
                <w:rFonts w:asciiTheme="minorEastAsia" w:hAnsiTheme="minorEastAsia" w:hint="eastAsia"/>
                <w:sz w:val="20"/>
                <w:szCs w:val="20"/>
              </w:rPr>
              <w:t>費</w:t>
            </w:r>
            <w:r w:rsidRPr="001378B1">
              <w:rPr>
                <w:rFonts w:asciiTheme="minorEastAsia" w:hAnsiTheme="minorEastAsia" w:hint="eastAsia"/>
                <w:sz w:val="20"/>
                <w:szCs w:val="20"/>
              </w:rPr>
              <w:t>が</w:t>
            </w:r>
            <w:r>
              <w:rPr>
                <w:rFonts w:asciiTheme="minorEastAsia" w:hAnsiTheme="minorEastAsia" w:hint="eastAsia"/>
                <w:sz w:val="20"/>
                <w:szCs w:val="20"/>
              </w:rPr>
              <w:t>上昇した。</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125F6A" w:rsidP="00125F6A">
            <w:pPr>
              <w:snapToGrid w:val="0"/>
              <w:rPr>
                <w:rFonts w:asciiTheme="minorEastAsia" w:hAnsiTheme="minorEastAsia"/>
                <w:sz w:val="20"/>
                <w:szCs w:val="20"/>
              </w:rPr>
            </w:pPr>
            <w:r w:rsidRPr="00125F6A">
              <w:rPr>
                <w:rFonts w:asciiTheme="minorEastAsia" w:hAnsiTheme="minorEastAsia" w:hint="eastAsia"/>
                <w:sz w:val="20"/>
                <w:szCs w:val="20"/>
              </w:rPr>
              <w:t>プラスチック原料</w:t>
            </w:r>
            <w:r>
              <w:rPr>
                <w:rFonts w:asciiTheme="minorEastAsia" w:hAnsiTheme="minorEastAsia" w:hint="eastAsia"/>
                <w:sz w:val="20"/>
                <w:szCs w:val="20"/>
              </w:rPr>
              <w:t>の価格が、それほど下がらないことや、</w:t>
            </w:r>
            <w:r w:rsidRPr="00125F6A">
              <w:rPr>
                <w:rFonts w:asciiTheme="minorEastAsia" w:hAnsiTheme="minorEastAsia" w:hint="eastAsia"/>
                <w:sz w:val="20"/>
                <w:szCs w:val="20"/>
              </w:rPr>
              <w:t>電気料金</w:t>
            </w:r>
            <w:r>
              <w:rPr>
                <w:rFonts w:asciiTheme="minorEastAsia" w:hAnsiTheme="minorEastAsia" w:hint="eastAsia"/>
                <w:sz w:val="20"/>
                <w:szCs w:val="20"/>
              </w:rPr>
              <w:t>の</w:t>
            </w:r>
            <w:r w:rsidRPr="00125F6A">
              <w:rPr>
                <w:rFonts w:asciiTheme="minorEastAsia" w:hAnsiTheme="minorEastAsia" w:hint="eastAsia"/>
                <w:sz w:val="20"/>
                <w:szCs w:val="20"/>
              </w:rPr>
              <w:t>高止まり</w:t>
            </w:r>
            <w:r>
              <w:rPr>
                <w:rFonts w:asciiTheme="minorEastAsia" w:hAnsiTheme="minorEastAsia" w:hint="eastAsia"/>
                <w:sz w:val="20"/>
                <w:szCs w:val="20"/>
              </w:rPr>
              <w:t>などにより、</w:t>
            </w:r>
            <w:r w:rsidRPr="00125F6A">
              <w:rPr>
                <w:rFonts w:asciiTheme="minorEastAsia" w:hAnsiTheme="minorEastAsia" w:hint="eastAsia"/>
                <w:sz w:val="20"/>
                <w:szCs w:val="20"/>
              </w:rPr>
              <w:t>収益は厳しいとの声が多</w:t>
            </w:r>
            <w:r>
              <w:rPr>
                <w:rFonts w:asciiTheme="minorEastAsia" w:hAnsiTheme="minorEastAsia" w:hint="eastAsia"/>
                <w:sz w:val="20"/>
                <w:szCs w:val="20"/>
              </w:rPr>
              <w:t>かった</w:t>
            </w:r>
            <w:r w:rsidRPr="00125F6A">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041BB9" w:rsidP="00041BB9">
            <w:pPr>
              <w:snapToGrid w:val="0"/>
              <w:rPr>
                <w:rFonts w:asciiTheme="minorEastAsia" w:hAnsiTheme="minorEastAsia"/>
                <w:sz w:val="20"/>
                <w:szCs w:val="20"/>
              </w:rPr>
            </w:pPr>
            <w:r w:rsidRPr="00041BB9">
              <w:rPr>
                <w:rFonts w:asciiTheme="minorEastAsia" w:hAnsiTheme="minorEastAsia" w:hint="eastAsia"/>
                <w:sz w:val="20"/>
                <w:szCs w:val="20"/>
              </w:rPr>
              <w:t>部品価格</w:t>
            </w:r>
            <w:r>
              <w:rPr>
                <w:rFonts w:asciiTheme="minorEastAsia" w:hAnsiTheme="minorEastAsia" w:hint="eastAsia"/>
                <w:sz w:val="20"/>
                <w:szCs w:val="20"/>
              </w:rPr>
              <w:t>が</w:t>
            </w:r>
            <w:r w:rsidRPr="00041BB9">
              <w:rPr>
                <w:rFonts w:asciiTheme="minorEastAsia" w:hAnsiTheme="minorEastAsia" w:hint="eastAsia"/>
                <w:sz w:val="20"/>
                <w:szCs w:val="20"/>
              </w:rPr>
              <w:t>上昇</w:t>
            </w:r>
            <w:r>
              <w:rPr>
                <w:rFonts w:asciiTheme="minorEastAsia" w:hAnsiTheme="minorEastAsia" w:hint="eastAsia"/>
                <w:sz w:val="20"/>
                <w:szCs w:val="20"/>
              </w:rPr>
              <w:t>し</w:t>
            </w:r>
            <w:r w:rsidRPr="00041BB9">
              <w:rPr>
                <w:rFonts w:asciiTheme="minorEastAsia" w:hAnsiTheme="minorEastAsia" w:hint="eastAsia"/>
                <w:sz w:val="20"/>
                <w:szCs w:val="20"/>
              </w:rPr>
              <w:t>、修理</w:t>
            </w:r>
            <w:r>
              <w:rPr>
                <w:rFonts w:asciiTheme="minorEastAsia" w:hAnsiTheme="minorEastAsia" w:hint="eastAsia"/>
                <w:sz w:val="20"/>
                <w:szCs w:val="20"/>
              </w:rPr>
              <w:t>の際の</w:t>
            </w:r>
            <w:r w:rsidRPr="00041BB9">
              <w:rPr>
                <w:rFonts w:asciiTheme="minorEastAsia" w:hAnsiTheme="minorEastAsia" w:hint="eastAsia"/>
                <w:sz w:val="20"/>
                <w:szCs w:val="20"/>
              </w:rPr>
              <w:t>原材料価格は上昇傾向にある。車の塗装に使用する塗料等も値上がりし、収益</w:t>
            </w:r>
            <w:r>
              <w:rPr>
                <w:rFonts w:asciiTheme="minorEastAsia" w:hAnsiTheme="minorEastAsia" w:hint="eastAsia"/>
                <w:sz w:val="20"/>
                <w:szCs w:val="20"/>
              </w:rPr>
              <w:t>の</w:t>
            </w:r>
            <w:r w:rsidRPr="00041BB9">
              <w:rPr>
                <w:rFonts w:asciiTheme="minorEastAsia" w:hAnsiTheme="minorEastAsia" w:hint="eastAsia"/>
                <w:sz w:val="20"/>
                <w:szCs w:val="20"/>
              </w:rPr>
              <w:t>圧迫</w:t>
            </w:r>
            <w:r>
              <w:rPr>
                <w:rFonts w:asciiTheme="minorEastAsia" w:hAnsiTheme="minorEastAsia" w:hint="eastAsia"/>
                <w:sz w:val="20"/>
                <w:szCs w:val="20"/>
              </w:rPr>
              <w:t>要因に</w:t>
            </w:r>
            <w:r w:rsidRPr="00041BB9">
              <w:rPr>
                <w:rFonts w:asciiTheme="minorEastAsia" w:hAnsiTheme="minorEastAsia" w:hint="eastAsia"/>
                <w:sz w:val="20"/>
                <w:szCs w:val="20"/>
              </w:rPr>
              <w:t>なっている。</w:t>
            </w:r>
          </w:p>
        </w:tc>
      </w:tr>
      <w:tr w:rsidR="0088089D" w:rsidTr="006F706B">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A30550" w:rsidRDefault="006F706B" w:rsidP="006F706B">
            <w:pPr>
              <w:snapToGrid w:val="0"/>
              <w:jc w:val="center"/>
              <w:rPr>
                <w:rFonts w:asciiTheme="minorEastAsia" w:hAnsiTheme="minorEastAsia"/>
                <w:sz w:val="20"/>
                <w:szCs w:val="20"/>
              </w:rPr>
            </w:pPr>
            <w:r>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1378B1" w:rsidP="001378B1">
            <w:pPr>
              <w:snapToGrid w:val="0"/>
              <w:rPr>
                <w:rFonts w:asciiTheme="minorEastAsia" w:hAnsiTheme="minorEastAsia"/>
                <w:sz w:val="20"/>
                <w:szCs w:val="20"/>
              </w:rPr>
            </w:pPr>
            <w:r>
              <w:rPr>
                <w:rFonts w:asciiTheme="minorEastAsia" w:hAnsiTheme="minorEastAsia" w:hint="eastAsia"/>
                <w:sz w:val="20"/>
                <w:szCs w:val="20"/>
              </w:rPr>
              <w:t>生産が減少し収益確保が困難なため、設備投資は</w:t>
            </w:r>
            <w:r w:rsidRPr="001378B1">
              <w:rPr>
                <w:rFonts w:asciiTheme="minorEastAsia" w:hAnsiTheme="minorEastAsia" w:hint="eastAsia"/>
                <w:sz w:val="20"/>
                <w:szCs w:val="20"/>
              </w:rPr>
              <w:t>低調で</w:t>
            </w:r>
            <w:r>
              <w:rPr>
                <w:rFonts w:asciiTheme="minorEastAsia" w:hAnsiTheme="minorEastAsia" w:hint="eastAsia"/>
                <w:sz w:val="20"/>
                <w:szCs w:val="20"/>
              </w:rPr>
              <w:t>、</w:t>
            </w:r>
            <w:r w:rsidRPr="001378B1">
              <w:rPr>
                <w:rFonts w:asciiTheme="minorEastAsia" w:hAnsiTheme="minorEastAsia" w:hint="eastAsia"/>
                <w:sz w:val="20"/>
                <w:szCs w:val="20"/>
              </w:rPr>
              <w:t>機械の買い換え</w:t>
            </w:r>
            <w:r>
              <w:rPr>
                <w:rFonts w:asciiTheme="minorEastAsia" w:hAnsiTheme="minorEastAsia" w:hint="eastAsia"/>
                <w:sz w:val="20"/>
                <w:szCs w:val="20"/>
              </w:rPr>
              <w:t>等には</w:t>
            </w:r>
            <w:r w:rsidRPr="001378B1">
              <w:rPr>
                <w:rFonts w:asciiTheme="minorEastAsia" w:hAnsiTheme="minorEastAsia" w:hint="eastAsia"/>
                <w:sz w:val="20"/>
                <w:szCs w:val="20"/>
              </w:rPr>
              <w:t>慎重</w:t>
            </w:r>
            <w:r>
              <w:rPr>
                <w:rFonts w:asciiTheme="minorEastAsia" w:hAnsiTheme="minorEastAsia" w:hint="eastAsia"/>
                <w:sz w:val="20"/>
                <w:szCs w:val="20"/>
              </w:rPr>
              <w:t>で、</w:t>
            </w:r>
            <w:r w:rsidRPr="001378B1">
              <w:rPr>
                <w:rFonts w:asciiTheme="minorEastAsia" w:hAnsiTheme="minorEastAsia" w:hint="eastAsia"/>
                <w:sz w:val="20"/>
                <w:szCs w:val="20"/>
              </w:rPr>
              <w:t>最小限の更新投資にとどめる</w:t>
            </w:r>
            <w:r>
              <w:rPr>
                <w:rFonts w:asciiTheme="minorEastAsia" w:hAnsiTheme="minorEastAsia" w:hint="eastAsia"/>
                <w:sz w:val="20"/>
                <w:szCs w:val="20"/>
              </w:rPr>
              <w:t>企業が多い</w:t>
            </w:r>
            <w:r w:rsidRPr="001378B1">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125F6A" w:rsidP="00125F6A">
            <w:pPr>
              <w:snapToGrid w:val="0"/>
              <w:rPr>
                <w:rFonts w:asciiTheme="minorEastAsia" w:hAnsiTheme="minorEastAsia"/>
                <w:sz w:val="20"/>
                <w:szCs w:val="20"/>
              </w:rPr>
            </w:pPr>
            <w:r w:rsidRPr="00125F6A">
              <w:rPr>
                <w:rFonts w:asciiTheme="minorEastAsia" w:hAnsiTheme="minorEastAsia" w:hint="eastAsia"/>
                <w:sz w:val="20"/>
                <w:szCs w:val="20"/>
              </w:rPr>
              <w:t>歯周病対策</w:t>
            </w:r>
            <w:r>
              <w:rPr>
                <w:rFonts w:asciiTheme="minorEastAsia" w:hAnsiTheme="minorEastAsia" w:hint="eastAsia"/>
                <w:sz w:val="20"/>
                <w:szCs w:val="20"/>
              </w:rPr>
              <w:t>、</w:t>
            </w:r>
            <w:r w:rsidRPr="00125F6A">
              <w:rPr>
                <w:rFonts w:asciiTheme="minorEastAsia" w:hAnsiTheme="minorEastAsia" w:hint="eastAsia"/>
                <w:sz w:val="20"/>
                <w:szCs w:val="20"/>
              </w:rPr>
              <w:t>美容効果</w:t>
            </w:r>
            <w:r>
              <w:rPr>
                <w:rFonts w:asciiTheme="minorEastAsia" w:hAnsiTheme="minorEastAsia" w:hint="eastAsia"/>
                <w:sz w:val="20"/>
                <w:szCs w:val="20"/>
              </w:rPr>
              <w:t>など、</w:t>
            </w:r>
            <w:r w:rsidRPr="00125F6A">
              <w:rPr>
                <w:rFonts w:asciiTheme="minorEastAsia" w:hAnsiTheme="minorEastAsia" w:hint="eastAsia"/>
                <w:sz w:val="20"/>
                <w:szCs w:val="20"/>
              </w:rPr>
              <w:t>新たな付加価値をつけるため、あるいは、更新投資として設備投資に前向きなところが多い。</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041BB9" w:rsidP="0034700A">
            <w:pPr>
              <w:snapToGrid w:val="0"/>
              <w:rPr>
                <w:rFonts w:asciiTheme="minorEastAsia" w:hAnsiTheme="minorEastAsia"/>
                <w:sz w:val="20"/>
                <w:szCs w:val="20"/>
              </w:rPr>
            </w:pPr>
            <w:r w:rsidRPr="00041BB9">
              <w:rPr>
                <w:rFonts w:asciiTheme="minorEastAsia" w:hAnsiTheme="minorEastAsia" w:hint="eastAsia"/>
                <w:sz w:val="20"/>
                <w:szCs w:val="20"/>
              </w:rPr>
              <w:t>既存の設備で対応できない整備や修理の案件が生じている。新たな設備投資に積極的な企業と消極的な企業に二極化する傾向にある。</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88089D" w:rsidRPr="00A30550" w:rsidRDefault="006C7AFD" w:rsidP="006C7AFD">
            <w:pPr>
              <w:snapToGrid w:val="0"/>
              <w:rPr>
                <w:rFonts w:asciiTheme="minorEastAsia" w:hAnsiTheme="minorEastAsia"/>
                <w:sz w:val="20"/>
                <w:szCs w:val="20"/>
              </w:rPr>
            </w:pPr>
            <w:r w:rsidRPr="006C7AFD">
              <w:rPr>
                <w:rFonts w:asciiTheme="minorEastAsia" w:hAnsiTheme="minorEastAsia" w:hint="eastAsia"/>
                <w:sz w:val="20"/>
                <w:szCs w:val="20"/>
              </w:rPr>
              <w:t>業況が良いと考える事業者は、賃金の向上を含め、新卒や中途とも採用意欲は比較的高いが</w:t>
            </w:r>
            <w:r>
              <w:rPr>
                <w:rFonts w:asciiTheme="minorEastAsia" w:hAnsiTheme="minorEastAsia" w:hint="eastAsia"/>
                <w:sz w:val="20"/>
                <w:szCs w:val="20"/>
              </w:rPr>
              <w:t>、</w:t>
            </w:r>
            <w:r w:rsidRPr="006C7AFD">
              <w:rPr>
                <w:rFonts w:asciiTheme="minorEastAsia" w:hAnsiTheme="minorEastAsia" w:hint="eastAsia"/>
                <w:sz w:val="20"/>
                <w:szCs w:val="20"/>
              </w:rPr>
              <w:t>首都圏に人材が流れる現状がみられ、求職者の確保に苦慮している。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1378B1" w:rsidP="00D554E4">
            <w:pPr>
              <w:snapToGrid w:val="0"/>
              <w:rPr>
                <w:rFonts w:asciiTheme="minorEastAsia" w:hAnsiTheme="minorEastAsia"/>
                <w:sz w:val="20"/>
                <w:szCs w:val="20"/>
              </w:rPr>
            </w:pPr>
            <w:r w:rsidRPr="001378B1">
              <w:rPr>
                <w:rFonts w:asciiTheme="minorEastAsia" w:hAnsiTheme="minorEastAsia" w:hint="eastAsia"/>
                <w:sz w:val="20"/>
                <w:szCs w:val="20"/>
              </w:rPr>
              <w:t>人材確保</w:t>
            </w:r>
            <w:r>
              <w:rPr>
                <w:rFonts w:asciiTheme="minorEastAsia" w:hAnsiTheme="minorEastAsia" w:hint="eastAsia"/>
                <w:sz w:val="20"/>
                <w:szCs w:val="20"/>
              </w:rPr>
              <w:t>が課題で</w:t>
            </w:r>
            <w:r w:rsidRPr="001378B1">
              <w:rPr>
                <w:rFonts w:asciiTheme="minorEastAsia" w:hAnsiTheme="minorEastAsia" w:hint="eastAsia"/>
                <w:sz w:val="20"/>
                <w:szCs w:val="20"/>
              </w:rPr>
              <w:t>、生産管理部門の人材</w:t>
            </w:r>
            <w:r>
              <w:rPr>
                <w:rFonts w:asciiTheme="minorEastAsia" w:hAnsiTheme="minorEastAsia" w:hint="eastAsia"/>
                <w:sz w:val="20"/>
                <w:szCs w:val="20"/>
              </w:rPr>
              <w:t>、</w:t>
            </w:r>
            <w:r w:rsidRPr="001378B1">
              <w:rPr>
                <w:rFonts w:asciiTheme="minorEastAsia" w:hAnsiTheme="minorEastAsia" w:hint="eastAsia"/>
                <w:sz w:val="20"/>
                <w:szCs w:val="20"/>
              </w:rPr>
              <w:t>製造現場の</w:t>
            </w:r>
            <w:r>
              <w:rPr>
                <w:rFonts w:asciiTheme="minorEastAsia" w:hAnsiTheme="minorEastAsia" w:hint="eastAsia"/>
                <w:sz w:val="20"/>
                <w:szCs w:val="20"/>
              </w:rPr>
              <w:t>高い</w:t>
            </w:r>
            <w:r w:rsidRPr="001378B1">
              <w:rPr>
                <w:rFonts w:asciiTheme="minorEastAsia" w:hAnsiTheme="minorEastAsia" w:hint="eastAsia"/>
                <w:sz w:val="20"/>
                <w:szCs w:val="20"/>
              </w:rPr>
              <w:t>技能をもつ社員</w:t>
            </w:r>
            <w:r>
              <w:rPr>
                <w:rFonts w:asciiTheme="minorEastAsia" w:hAnsiTheme="minorEastAsia" w:hint="eastAsia"/>
                <w:sz w:val="20"/>
                <w:szCs w:val="20"/>
              </w:rPr>
              <w:t>の確保などが困難で、生産</w:t>
            </w:r>
            <w:r w:rsidRPr="001378B1">
              <w:rPr>
                <w:rFonts w:asciiTheme="minorEastAsia" w:hAnsiTheme="minorEastAsia" w:hint="eastAsia"/>
                <w:sz w:val="20"/>
                <w:szCs w:val="20"/>
              </w:rPr>
              <w:t>性が低下するなど</w:t>
            </w:r>
            <w:r w:rsidR="00D554E4">
              <w:rPr>
                <w:rFonts w:asciiTheme="minorEastAsia" w:hAnsiTheme="minorEastAsia" w:hint="eastAsia"/>
                <w:sz w:val="20"/>
                <w:szCs w:val="20"/>
              </w:rPr>
              <w:t>により</w:t>
            </w:r>
            <w:r w:rsidRPr="001378B1">
              <w:rPr>
                <w:rFonts w:asciiTheme="minorEastAsia" w:hAnsiTheme="minorEastAsia" w:hint="eastAsia"/>
                <w:sz w:val="20"/>
                <w:szCs w:val="20"/>
              </w:rPr>
              <w:t>受注にも支障が出てきている。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125F6A" w:rsidP="00190447">
            <w:pPr>
              <w:snapToGrid w:val="0"/>
              <w:rPr>
                <w:rFonts w:asciiTheme="minorEastAsia" w:hAnsiTheme="minorEastAsia"/>
                <w:sz w:val="20"/>
                <w:szCs w:val="20"/>
              </w:rPr>
            </w:pPr>
            <w:r w:rsidRPr="00125F6A">
              <w:rPr>
                <w:rFonts w:asciiTheme="minorEastAsia" w:hAnsiTheme="minorEastAsia" w:hint="eastAsia"/>
                <w:sz w:val="20"/>
                <w:szCs w:val="20"/>
              </w:rPr>
              <w:t>製造</w:t>
            </w:r>
            <w:r w:rsidR="00190447">
              <w:rPr>
                <w:rFonts w:asciiTheme="minorEastAsia" w:hAnsiTheme="minorEastAsia" w:hint="eastAsia"/>
                <w:sz w:val="20"/>
                <w:szCs w:val="20"/>
              </w:rPr>
              <w:t>･</w:t>
            </w:r>
            <w:r w:rsidRPr="00125F6A">
              <w:rPr>
                <w:rFonts w:asciiTheme="minorEastAsia" w:hAnsiTheme="minorEastAsia" w:hint="eastAsia"/>
                <w:sz w:val="20"/>
                <w:szCs w:val="20"/>
              </w:rPr>
              <w:t>検査工程に従事する</w:t>
            </w:r>
            <w:r>
              <w:rPr>
                <w:rFonts w:asciiTheme="minorEastAsia" w:hAnsiTheme="minorEastAsia" w:hint="eastAsia"/>
                <w:sz w:val="20"/>
                <w:szCs w:val="20"/>
              </w:rPr>
              <w:t>従業員の半数程度が</w:t>
            </w:r>
            <w:r w:rsidRPr="00125F6A">
              <w:rPr>
                <w:rFonts w:asciiTheme="minorEastAsia" w:hAnsiTheme="minorEastAsia" w:hint="eastAsia"/>
                <w:sz w:val="20"/>
                <w:szCs w:val="20"/>
              </w:rPr>
              <w:t>パート社員</w:t>
            </w:r>
            <w:r>
              <w:rPr>
                <w:rFonts w:asciiTheme="minorEastAsia" w:hAnsiTheme="minorEastAsia" w:hint="eastAsia"/>
                <w:sz w:val="20"/>
                <w:szCs w:val="20"/>
              </w:rPr>
              <w:t>である事業</w:t>
            </w:r>
            <w:r w:rsidRPr="00125F6A">
              <w:rPr>
                <w:rFonts w:asciiTheme="minorEastAsia" w:hAnsiTheme="minorEastAsia" w:hint="eastAsia"/>
                <w:sz w:val="20"/>
                <w:szCs w:val="20"/>
              </w:rPr>
              <w:t>所が多く、最低賃金の引上げ</w:t>
            </w:r>
            <w:r w:rsidR="00190447">
              <w:rPr>
                <w:rFonts w:asciiTheme="minorEastAsia" w:hAnsiTheme="minorEastAsia" w:hint="eastAsia"/>
                <w:sz w:val="20"/>
                <w:szCs w:val="20"/>
              </w:rPr>
              <w:t>によって、</w:t>
            </w:r>
            <w:r w:rsidRPr="00125F6A">
              <w:rPr>
                <w:rFonts w:asciiTheme="minorEastAsia" w:hAnsiTheme="minorEastAsia" w:hint="eastAsia"/>
                <w:sz w:val="20"/>
                <w:szCs w:val="20"/>
              </w:rPr>
              <w:t>収益</w:t>
            </w:r>
            <w:r w:rsidR="00190447">
              <w:rPr>
                <w:rFonts w:asciiTheme="minorEastAsia" w:hAnsiTheme="minorEastAsia" w:hint="eastAsia"/>
                <w:sz w:val="20"/>
                <w:szCs w:val="20"/>
              </w:rPr>
              <w:t>性が厳しくなることが懸念されている。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34700A" w:rsidP="0034700A">
            <w:pPr>
              <w:snapToGrid w:val="0"/>
              <w:rPr>
                <w:rFonts w:asciiTheme="minorEastAsia" w:hAnsiTheme="minorEastAsia"/>
                <w:sz w:val="20"/>
                <w:szCs w:val="20"/>
              </w:rPr>
            </w:pPr>
            <w:r w:rsidRPr="0034700A">
              <w:rPr>
                <w:rFonts w:asciiTheme="minorEastAsia" w:hAnsiTheme="minorEastAsia" w:hint="eastAsia"/>
                <w:sz w:val="20"/>
                <w:szCs w:val="20"/>
              </w:rPr>
              <w:t>実務経験が重要な職種であるが、</w:t>
            </w:r>
            <w:r>
              <w:rPr>
                <w:rFonts w:asciiTheme="minorEastAsia" w:hAnsiTheme="minorEastAsia" w:hint="eastAsia"/>
                <w:sz w:val="20"/>
                <w:szCs w:val="20"/>
              </w:rPr>
              <w:t>若手</w:t>
            </w:r>
            <w:r w:rsidRPr="0034700A">
              <w:rPr>
                <w:rFonts w:asciiTheme="minorEastAsia" w:hAnsiTheme="minorEastAsia" w:hint="eastAsia"/>
                <w:sz w:val="20"/>
                <w:szCs w:val="20"/>
              </w:rPr>
              <w:t>従業員の離職率が高まっており、</w:t>
            </w:r>
            <w:r>
              <w:rPr>
                <w:rFonts w:asciiTheme="minorEastAsia" w:hAnsiTheme="minorEastAsia" w:hint="eastAsia"/>
                <w:sz w:val="20"/>
                <w:szCs w:val="20"/>
              </w:rPr>
              <w:t>豊富な経験を持つ</w:t>
            </w:r>
            <w:r w:rsidRPr="0034700A">
              <w:rPr>
                <w:rFonts w:asciiTheme="minorEastAsia" w:hAnsiTheme="minorEastAsia" w:hint="eastAsia"/>
                <w:sz w:val="20"/>
                <w:szCs w:val="20"/>
              </w:rPr>
              <w:t>熟練工の高齢化や後継者不在を理由に廃業するケースもみられる。</w:t>
            </w:r>
          </w:p>
        </w:tc>
      </w:tr>
      <w:tr w:rsidR="0088089D" w:rsidTr="006F706B">
        <w:trPr>
          <w:trHeight w:val="7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hideMark/>
          </w:tcPr>
          <w:p w:rsidR="0088089D" w:rsidRPr="00A30550" w:rsidRDefault="0063170C" w:rsidP="0063170C">
            <w:pPr>
              <w:jc w:val="center"/>
              <w:rPr>
                <w:rFonts w:asciiTheme="minorEastAsia" w:hAnsiTheme="minorEastAsia"/>
                <w:sz w:val="20"/>
                <w:szCs w:val="20"/>
              </w:rPr>
            </w:pPr>
            <w:r>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E3499B" w:rsidRDefault="0063170C" w:rsidP="0063170C">
            <w:pPr>
              <w:jc w:val="left"/>
              <w:rPr>
                <w:rFonts w:asciiTheme="minorEastAsia" w:hAnsiTheme="minorEastAsia"/>
                <w:sz w:val="20"/>
                <w:szCs w:val="20"/>
              </w:rPr>
            </w:pPr>
            <w:r>
              <w:rPr>
                <w:rFonts w:asciiTheme="minorEastAsia" w:hAnsiTheme="minorEastAsia" w:hint="eastAsia"/>
                <w:sz w:val="20"/>
                <w:szCs w:val="20"/>
              </w:rPr>
              <w:t>借入には慎重である。</w:t>
            </w:r>
          </w:p>
        </w:tc>
        <w:tc>
          <w:tcPr>
            <w:tcW w:w="1085" w:type="pct"/>
            <w:tcBorders>
              <w:top w:val="single" w:sz="4" w:space="0" w:color="auto"/>
              <w:left w:val="single" w:sz="4" w:space="0" w:color="auto"/>
              <w:bottom w:val="single" w:sz="4" w:space="0" w:color="auto"/>
              <w:right w:val="single" w:sz="4" w:space="0" w:color="auto"/>
            </w:tcBorders>
            <w:vAlign w:val="center"/>
          </w:tcPr>
          <w:p w:rsidR="0088089D" w:rsidRPr="008A4752" w:rsidRDefault="00190447" w:rsidP="006349C8">
            <w:pPr>
              <w:jc w:val="center"/>
              <w:rPr>
                <w:rFonts w:asciiTheme="minorEastAsia" w:hAnsiTheme="minorEastAsia"/>
                <w:sz w:val="20"/>
                <w:szCs w:val="20"/>
              </w:rPr>
            </w:pPr>
            <w:r>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34700A" w:rsidP="006349C8">
            <w:pPr>
              <w:jc w:val="center"/>
              <w:rPr>
                <w:rFonts w:asciiTheme="minorEastAsia" w:hAnsiTheme="minorEastAsia"/>
                <w:sz w:val="20"/>
                <w:szCs w:val="20"/>
              </w:rPr>
            </w:pPr>
            <w:r>
              <w:rPr>
                <w:rFonts w:asciiTheme="minorEastAsia" w:hAnsiTheme="minorEastAsia" w:hint="eastAsia"/>
                <w:sz w:val="20"/>
                <w:szCs w:val="20"/>
              </w:rPr>
              <w:t>－</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88089D" w:rsidRPr="00A30550" w:rsidRDefault="006F706B" w:rsidP="006F706B">
            <w:pPr>
              <w:snapToGrid w:val="0"/>
              <w:rPr>
                <w:rFonts w:asciiTheme="minorEastAsia" w:hAnsiTheme="minorEastAsia"/>
                <w:sz w:val="20"/>
                <w:szCs w:val="20"/>
              </w:rPr>
            </w:pPr>
            <w:r>
              <w:rPr>
                <w:rFonts w:asciiTheme="minorEastAsia" w:hAnsiTheme="minorEastAsia" w:hint="eastAsia"/>
                <w:sz w:val="20"/>
                <w:szCs w:val="20"/>
              </w:rPr>
              <w:t>建築</w:t>
            </w:r>
            <w:r w:rsidRPr="006F706B">
              <w:rPr>
                <w:rFonts w:asciiTheme="minorEastAsia" w:hAnsiTheme="minorEastAsia" w:hint="eastAsia"/>
                <w:sz w:val="20"/>
                <w:szCs w:val="20"/>
              </w:rPr>
              <w:t>リフォーム</w:t>
            </w:r>
            <w:r>
              <w:rPr>
                <w:rFonts w:asciiTheme="minorEastAsia" w:hAnsiTheme="minorEastAsia" w:hint="eastAsia"/>
                <w:sz w:val="20"/>
                <w:szCs w:val="20"/>
              </w:rPr>
              <w:t>工事では、</w:t>
            </w:r>
            <w:r w:rsidRPr="006F706B">
              <w:rPr>
                <w:rFonts w:asciiTheme="minorEastAsia" w:hAnsiTheme="minorEastAsia" w:hint="eastAsia"/>
                <w:sz w:val="20"/>
                <w:szCs w:val="20"/>
              </w:rPr>
              <w:t>商業施設、ホテル、保育所の改装などインバウンドや生活関連の社会資本整備</w:t>
            </w:r>
            <w:r>
              <w:rPr>
                <w:rFonts w:asciiTheme="minorEastAsia" w:hAnsiTheme="minorEastAsia" w:hint="eastAsia"/>
                <w:sz w:val="20"/>
                <w:szCs w:val="20"/>
              </w:rPr>
              <w:t>の</w:t>
            </w:r>
            <w:r w:rsidRPr="006F706B">
              <w:rPr>
                <w:rFonts w:asciiTheme="minorEastAsia" w:hAnsiTheme="minorEastAsia" w:hint="eastAsia"/>
                <w:sz w:val="20"/>
                <w:szCs w:val="20"/>
              </w:rPr>
              <w:t>受注が期待されている。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EC7BEE" w:rsidP="00EC7BEE">
            <w:pPr>
              <w:snapToGrid w:val="0"/>
              <w:rPr>
                <w:rFonts w:asciiTheme="minorEastAsia" w:hAnsiTheme="minorEastAsia"/>
                <w:sz w:val="20"/>
                <w:szCs w:val="20"/>
              </w:rPr>
            </w:pPr>
            <w:r>
              <w:rPr>
                <w:rFonts w:asciiTheme="minorEastAsia" w:hAnsiTheme="minorEastAsia" w:hint="eastAsia"/>
                <w:sz w:val="20"/>
                <w:szCs w:val="20"/>
              </w:rPr>
              <w:t>技術水準の向上が課題で、得意</w:t>
            </w:r>
            <w:r w:rsidR="00CA749E" w:rsidRPr="00CA749E">
              <w:rPr>
                <w:rFonts w:asciiTheme="minorEastAsia" w:hAnsiTheme="minorEastAsia" w:hint="eastAsia"/>
                <w:sz w:val="20"/>
                <w:szCs w:val="20"/>
              </w:rPr>
              <w:t>先機械メーカーの製品設計段階から参画し、一緒に技術開発に取り組</w:t>
            </w:r>
            <w:r w:rsidR="00CA749E">
              <w:rPr>
                <w:rFonts w:asciiTheme="minorEastAsia" w:hAnsiTheme="minorEastAsia" w:hint="eastAsia"/>
                <w:sz w:val="20"/>
                <w:szCs w:val="20"/>
              </w:rPr>
              <w:t>むなどのケース</w:t>
            </w:r>
            <w:r>
              <w:rPr>
                <w:rFonts w:asciiTheme="minorEastAsia" w:hAnsiTheme="minorEastAsia" w:hint="eastAsia"/>
                <w:sz w:val="20"/>
                <w:szCs w:val="20"/>
              </w:rPr>
              <w:t>が</w:t>
            </w:r>
            <w:r w:rsidR="00CA749E">
              <w:rPr>
                <w:rFonts w:asciiTheme="minorEastAsia" w:hAnsiTheme="minorEastAsia" w:hint="eastAsia"/>
                <w:sz w:val="20"/>
                <w:szCs w:val="20"/>
              </w:rPr>
              <w:t>みられる。</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190447" w:rsidP="00190447">
            <w:pPr>
              <w:snapToGrid w:val="0"/>
              <w:rPr>
                <w:rFonts w:asciiTheme="minorEastAsia" w:hAnsiTheme="minorEastAsia"/>
                <w:sz w:val="20"/>
                <w:szCs w:val="20"/>
              </w:rPr>
            </w:pPr>
            <w:r>
              <w:rPr>
                <w:rFonts w:asciiTheme="minorEastAsia" w:hAnsiTheme="minorEastAsia" w:hint="eastAsia"/>
                <w:sz w:val="20"/>
                <w:szCs w:val="20"/>
              </w:rPr>
              <w:t>国内の人口減少傾向を受けて、</w:t>
            </w:r>
            <w:r w:rsidRPr="00190447">
              <w:rPr>
                <w:rFonts w:asciiTheme="minorEastAsia" w:hAnsiTheme="minorEastAsia" w:hint="eastAsia"/>
                <w:sz w:val="20"/>
                <w:szCs w:val="20"/>
              </w:rPr>
              <w:t>歯ブラシの交換頻度の増加や</w:t>
            </w:r>
            <w:r>
              <w:rPr>
                <w:rFonts w:asciiTheme="minorEastAsia" w:hAnsiTheme="minorEastAsia" w:hint="eastAsia"/>
                <w:sz w:val="20"/>
                <w:szCs w:val="20"/>
              </w:rPr>
              <w:t>、機能を付加した</w:t>
            </w:r>
            <w:r w:rsidRPr="00190447">
              <w:rPr>
                <w:rFonts w:asciiTheme="minorEastAsia" w:hAnsiTheme="minorEastAsia" w:hint="eastAsia"/>
                <w:sz w:val="20"/>
                <w:szCs w:val="20"/>
              </w:rPr>
              <w:t>製品の販売で需要</w:t>
            </w:r>
            <w:r>
              <w:rPr>
                <w:rFonts w:asciiTheme="minorEastAsia" w:hAnsiTheme="minorEastAsia" w:hint="eastAsia"/>
                <w:sz w:val="20"/>
                <w:szCs w:val="20"/>
              </w:rPr>
              <w:t>の</w:t>
            </w:r>
            <w:r w:rsidRPr="00190447">
              <w:rPr>
                <w:rFonts w:asciiTheme="minorEastAsia" w:hAnsiTheme="minorEastAsia" w:hint="eastAsia"/>
                <w:sz w:val="20"/>
                <w:szCs w:val="20"/>
              </w:rPr>
              <w:t>拡大を図る動きが</w:t>
            </w:r>
            <w:r>
              <w:rPr>
                <w:rFonts w:asciiTheme="minorEastAsia" w:hAnsiTheme="minorEastAsia" w:hint="eastAsia"/>
                <w:sz w:val="20"/>
                <w:szCs w:val="20"/>
              </w:rPr>
              <w:t>みられる。</w:t>
            </w:r>
          </w:p>
        </w:tc>
        <w:tc>
          <w:tcPr>
            <w:tcW w:w="1085" w:type="pct"/>
            <w:tcBorders>
              <w:top w:val="single" w:sz="4" w:space="0" w:color="auto"/>
              <w:left w:val="single" w:sz="4" w:space="0" w:color="auto"/>
              <w:bottom w:val="single" w:sz="4" w:space="0" w:color="auto"/>
              <w:right w:val="single" w:sz="4" w:space="0" w:color="auto"/>
            </w:tcBorders>
          </w:tcPr>
          <w:p w:rsidR="0088089D" w:rsidRDefault="00C924F8" w:rsidP="00C924F8">
            <w:pPr>
              <w:snapToGrid w:val="0"/>
              <w:rPr>
                <w:rFonts w:asciiTheme="minorEastAsia" w:hAnsiTheme="minorEastAsia"/>
                <w:sz w:val="20"/>
                <w:szCs w:val="20"/>
              </w:rPr>
            </w:pPr>
            <w:r>
              <w:rPr>
                <w:rFonts w:asciiTheme="minorEastAsia" w:hAnsiTheme="minorEastAsia" w:hint="eastAsia"/>
                <w:sz w:val="20"/>
                <w:szCs w:val="20"/>
              </w:rPr>
              <w:t>2-3</w:t>
            </w:r>
            <w:r w:rsidRPr="00C924F8">
              <w:rPr>
                <w:rFonts w:asciiTheme="minorEastAsia" w:hAnsiTheme="minorEastAsia" w:hint="eastAsia"/>
                <w:sz w:val="20"/>
                <w:szCs w:val="20"/>
              </w:rPr>
              <w:t>年前から外国観光客向けの団体バスの需要が好調で、春節の時期も55人乗りバスを中心にフル稼働の状態であった。</w:t>
            </w:r>
          </w:p>
        </w:tc>
      </w:tr>
      <w:tr w:rsidR="0088089D" w:rsidTr="0088089D">
        <w:trPr>
          <w:trHeight w:val="1038"/>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88089D" w:rsidRDefault="0088089D">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88089D" w:rsidRPr="00A30550" w:rsidRDefault="00FD4CC6" w:rsidP="00FD4CC6">
            <w:pPr>
              <w:snapToGrid w:val="0"/>
              <w:rPr>
                <w:rFonts w:asciiTheme="minorEastAsia" w:hAnsiTheme="minorEastAsia"/>
                <w:sz w:val="20"/>
                <w:szCs w:val="20"/>
              </w:rPr>
            </w:pPr>
            <w:r>
              <w:rPr>
                <w:rFonts w:asciiTheme="minorEastAsia" w:hAnsiTheme="minorEastAsia" w:hint="eastAsia"/>
                <w:sz w:val="20"/>
                <w:szCs w:val="20"/>
              </w:rPr>
              <w:t>工事需要の首都圏への一極集中、</w:t>
            </w:r>
            <w:r w:rsidRPr="00FD4CC6">
              <w:rPr>
                <w:rFonts w:asciiTheme="minorEastAsia" w:hAnsiTheme="minorEastAsia" w:hint="eastAsia"/>
                <w:sz w:val="20"/>
                <w:szCs w:val="20"/>
              </w:rPr>
              <w:t>大阪で</w:t>
            </w:r>
            <w:r>
              <w:rPr>
                <w:rFonts w:asciiTheme="minorEastAsia" w:hAnsiTheme="minorEastAsia" w:hint="eastAsia"/>
                <w:sz w:val="20"/>
                <w:szCs w:val="20"/>
              </w:rPr>
              <w:t>の</w:t>
            </w:r>
            <w:r w:rsidRPr="00FD4CC6">
              <w:rPr>
                <w:rFonts w:asciiTheme="minorEastAsia" w:hAnsiTheme="minorEastAsia" w:hint="eastAsia"/>
                <w:sz w:val="20"/>
                <w:szCs w:val="20"/>
              </w:rPr>
              <w:t>大</w:t>
            </w:r>
            <w:r>
              <w:rPr>
                <w:rFonts w:asciiTheme="minorEastAsia" w:hAnsiTheme="minorEastAsia" w:hint="eastAsia"/>
                <w:sz w:val="20"/>
                <w:szCs w:val="20"/>
              </w:rPr>
              <w:t>型</w:t>
            </w:r>
            <w:r w:rsidRPr="00FD4CC6">
              <w:rPr>
                <w:rFonts w:asciiTheme="minorEastAsia" w:hAnsiTheme="minorEastAsia" w:hint="eastAsia"/>
                <w:sz w:val="20"/>
                <w:szCs w:val="20"/>
              </w:rPr>
              <w:t>案件</w:t>
            </w:r>
            <w:r>
              <w:rPr>
                <w:rFonts w:asciiTheme="minorEastAsia" w:hAnsiTheme="minorEastAsia" w:hint="eastAsia"/>
                <w:sz w:val="20"/>
                <w:szCs w:val="20"/>
              </w:rPr>
              <w:t>の</w:t>
            </w:r>
            <w:r w:rsidRPr="00FD4CC6">
              <w:rPr>
                <w:rFonts w:asciiTheme="minorEastAsia" w:hAnsiTheme="minorEastAsia" w:hint="eastAsia"/>
                <w:sz w:val="20"/>
                <w:szCs w:val="20"/>
              </w:rPr>
              <w:t>一巡</w:t>
            </w:r>
            <w:r>
              <w:rPr>
                <w:rFonts w:asciiTheme="minorEastAsia" w:hAnsiTheme="minorEastAsia" w:hint="eastAsia"/>
                <w:sz w:val="20"/>
                <w:szCs w:val="20"/>
              </w:rPr>
              <w:t>などにより、先行き</w:t>
            </w:r>
            <w:r w:rsidRPr="00FD4CC6">
              <w:rPr>
                <w:rFonts w:asciiTheme="minorEastAsia" w:hAnsiTheme="minorEastAsia" w:hint="eastAsia"/>
                <w:sz w:val="20"/>
                <w:szCs w:val="20"/>
              </w:rPr>
              <w:t>不透明</w:t>
            </w:r>
            <w:r>
              <w:rPr>
                <w:rFonts w:asciiTheme="minorEastAsia" w:hAnsiTheme="minorEastAsia" w:hint="eastAsia"/>
                <w:sz w:val="20"/>
                <w:szCs w:val="20"/>
              </w:rPr>
              <w:t>なため、</w:t>
            </w:r>
            <w:r w:rsidRPr="00FD4CC6">
              <w:rPr>
                <w:rFonts w:asciiTheme="minorEastAsia" w:hAnsiTheme="minorEastAsia" w:hint="eastAsia"/>
                <w:sz w:val="20"/>
                <w:szCs w:val="20"/>
              </w:rPr>
              <w:t>受注件数の伸び悩み</w:t>
            </w:r>
            <w:r>
              <w:rPr>
                <w:rFonts w:asciiTheme="minorEastAsia" w:hAnsiTheme="minorEastAsia" w:hint="eastAsia"/>
                <w:sz w:val="20"/>
                <w:szCs w:val="20"/>
              </w:rPr>
              <w:t>が</w:t>
            </w:r>
            <w:r w:rsidRPr="00FD4CC6">
              <w:rPr>
                <w:rFonts w:asciiTheme="minorEastAsia" w:hAnsiTheme="minorEastAsia" w:hint="eastAsia"/>
                <w:sz w:val="20"/>
                <w:szCs w:val="20"/>
              </w:rPr>
              <w:t>懸念</w:t>
            </w:r>
            <w:r>
              <w:rPr>
                <w:rFonts w:asciiTheme="minorEastAsia" w:hAnsiTheme="minorEastAsia" w:hint="eastAsia"/>
                <w:sz w:val="20"/>
                <w:szCs w:val="20"/>
              </w:rPr>
              <w:t>されて</w:t>
            </w:r>
            <w:r w:rsidRPr="00FD4CC6">
              <w:rPr>
                <w:rFonts w:asciiTheme="minorEastAsia" w:hAnsiTheme="minorEastAsia" w:hint="eastAsia"/>
                <w:sz w:val="20"/>
                <w:szCs w:val="20"/>
              </w:rPr>
              <w:t>いる。</w:t>
            </w:r>
          </w:p>
        </w:tc>
        <w:tc>
          <w:tcPr>
            <w:tcW w:w="1085" w:type="pct"/>
            <w:tcBorders>
              <w:top w:val="single" w:sz="4" w:space="0" w:color="auto"/>
              <w:left w:val="single" w:sz="4" w:space="0" w:color="auto"/>
              <w:bottom w:val="single" w:sz="4" w:space="0" w:color="auto"/>
              <w:right w:val="single" w:sz="4" w:space="0" w:color="auto"/>
            </w:tcBorders>
          </w:tcPr>
          <w:p w:rsidR="0088089D" w:rsidRPr="00E3499B" w:rsidRDefault="00CA749E" w:rsidP="00EC7BEE">
            <w:pPr>
              <w:snapToGrid w:val="0"/>
              <w:rPr>
                <w:rFonts w:asciiTheme="minorEastAsia" w:hAnsiTheme="minorEastAsia"/>
                <w:sz w:val="20"/>
                <w:szCs w:val="20"/>
              </w:rPr>
            </w:pPr>
            <w:r w:rsidRPr="00CA749E">
              <w:rPr>
                <w:rFonts w:asciiTheme="minorEastAsia" w:hAnsiTheme="minorEastAsia" w:hint="eastAsia"/>
                <w:sz w:val="20"/>
                <w:szCs w:val="20"/>
              </w:rPr>
              <w:t>見通しは厳しい</w:t>
            </w:r>
            <w:r>
              <w:rPr>
                <w:rFonts w:asciiTheme="minorEastAsia" w:hAnsiTheme="minorEastAsia" w:hint="eastAsia"/>
                <w:sz w:val="20"/>
                <w:szCs w:val="20"/>
              </w:rPr>
              <w:t>が、製造</w:t>
            </w:r>
            <w:r w:rsidRPr="00CA749E">
              <w:rPr>
                <w:rFonts w:asciiTheme="minorEastAsia" w:hAnsiTheme="minorEastAsia" w:hint="eastAsia"/>
                <w:sz w:val="20"/>
                <w:szCs w:val="20"/>
              </w:rPr>
              <w:t>企業が減少しているため、様々な業界から見積もりの依頼</w:t>
            </w:r>
            <w:r w:rsidR="00EC7BEE">
              <w:rPr>
                <w:rFonts w:asciiTheme="minorEastAsia" w:hAnsiTheme="minorEastAsia" w:hint="eastAsia"/>
                <w:sz w:val="20"/>
                <w:szCs w:val="20"/>
              </w:rPr>
              <w:t>が</w:t>
            </w:r>
            <w:r w:rsidRPr="00CA749E">
              <w:rPr>
                <w:rFonts w:asciiTheme="minorEastAsia" w:hAnsiTheme="minorEastAsia" w:hint="eastAsia"/>
                <w:sz w:val="20"/>
                <w:szCs w:val="20"/>
              </w:rPr>
              <w:t>あるという企業が多い。</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190447" w:rsidP="00190447">
            <w:pPr>
              <w:snapToGrid w:val="0"/>
              <w:rPr>
                <w:rFonts w:asciiTheme="minorEastAsia" w:hAnsiTheme="minorEastAsia"/>
                <w:sz w:val="20"/>
                <w:szCs w:val="20"/>
              </w:rPr>
            </w:pPr>
            <w:r w:rsidRPr="00190447">
              <w:rPr>
                <w:rFonts w:asciiTheme="minorEastAsia" w:hAnsiTheme="minorEastAsia" w:hint="eastAsia"/>
                <w:sz w:val="20"/>
                <w:szCs w:val="20"/>
              </w:rPr>
              <w:t>研究開発機能</w:t>
            </w:r>
            <w:r>
              <w:rPr>
                <w:rFonts w:asciiTheme="minorEastAsia" w:hAnsiTheme="minorEastAsia" w:hint="eastAsia"/>
                <w:sz w:val="20"/>
                <w:szCs w:val="20"/>
              </w:rPr>
              <w:t>、</w:t>
            </w:r>
            <w:r w:rsidRPr="00190447">
              <w:rPr>
                <w:rFonts w:asciiTheme="minorEastAsia" w:hAnsiTheme="minorEastAsia" w:hint="eastAsia"/>
                <w:sz w:val="20"/>
                <w:szCs w:val="20"/>
              </w:rPr>
              <w:t>ＱＣＤ（品質・コスト・納期）</w:t>
            </w:r>
            <w:r>
              <w:rPr>
                <w:rFonts w:asciiTheme="minorEastAsia" w:hAnsiTheme="minorEastAsia" w:hint="eastAsia"/>
                <w:sz w:val="20"/>
                <w:szCs w:val="20"/>
              </w:rPr>
              <w:t>等への対応力によ</w:t>
            </w:r>
            <w:r w:rsidRPr="00190447">
              <w:rPr>
                <w:rFonts w:asciiTheme="minorEastAsia" w:hAnsiTheme="minorEastAsia" w:hint="eastAsia"/>
                <w:sz w:val="20"/>
                <w:szCs w:val="20"/>
              </w:rPr>
              <w:t>り、業界内の二極化</w:t>
            </w:r>
            <w:r>
              <w:rPr>
                <w:rFonts w:asciiTheme="minorEastAsia" w:hAnsiTheme="minorEastAsia" w:hint="eastAsia"/>
                <w:sz w:val="20"/>
                <w:szCs w:val="20"/>
              </w:rPr>
              <w:t>や</w:t>
            </w:r>
            <w:r w:rsidRPr="00190447">
              <w:rPr>
                <w:rFonts w:asciiTheme="minorEastAsia" w:hAnsiTheme="minorEastAsia" w:hint="eastAsia"/>
                <w:sz w:val="20"/>
                <w:szCs w:val="20"/>
              </w:rPr>
              <w:t>分業体制</w:t>
            </w:r>
            <w:r>
              <w:rPr>
                <w:rFonts w:asciiTheme="minorEastAsia" w:hAnsiTheme="minorEastAsia" w:hint="eastAsia"/>
                <w:sz w:val="20"/>
                <w:szCs w:val="20"/>
              </w:rPr>
              <w:t>に</w:t>
            </w:r>
            <w:r w:rsidRPr="00190447">
              <w:rPr>
                <w:rFonts w:asciiTheme="minorEastAsia" w:hAnsiTheme="minorEastAsia" w:hint="eastAsia"/>
                <w:sz w:val="20"/>
                <w:szCs w:val="20"/>
              </w:rPr>
              <w:t>変化がみられる</w:t>
            </w:r>
            <w:r>
              <w:rPr>
                <w:rFonts w:asciiTheme="minorEastAsia" w:hAnsiTheme="minorEastAsia" w:hint="eastAsia"/>
                <w:sz w:val="20"/>
                <w:szCs w:val="20"/>
              </w:rPr>
              <w:t>ことが想定される</w:t>
            </w:r>
            <w:r w:rsidRPr="00190447">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88089D" w:rsidRPr="008A4752" w:rsidRDefault="005916A2" w:rsidP="003B31A3">
            <w:pPr>
              <w:snapToGrid w:val="0"/>
              <w:rPr>
                <w:rFonts w:asciiTheme="minorEastAsia" w:hAnsiTheme="minorEastAsia"/>
                <w:sz w:val="20"/>
                <w:szCs w:val="20"/>
              </w:rPr>
            </w:pPr>
            <w:r w:rsidRPr="005916A2">
              <w:rPr>
                <w:rFonts w:asciiTheme="minorEastAsia" w:hAnsiTheme="minorEastAsia" w:hint="eastAsia"/>
                <w:sz w:val="20"/>
                <w:szCs w:val="20"/>
              </w:rPr>
              <w:t>新技術に対応したディーラーの整備工場が営業力を強める一方</w:t>
            </w:r>
            <w:r w:rsidR="003B31A3">
              <w:rPr>
                <w:rFonts w:asciiTheme="minorEastAsia" w:hAnsiTheme="minorEastAsia" w:hint="eastAsia"/>
                <w:sz w:val="20"/>
                <w:szCs w:val="20"/>
              </w:rPr>
              <w:t>で</w:t>
            </w:r>
            <w:r w:rsidRPr="005916A2">
              <w:rPr>
                <w:rFonts w:asciiTheme="minorEastAsia" w:hAnsiTheme="minorEastAsia" w:hint="eastAsia"/>
                <w:sz w:val="20"/>
                <w:szCs w:val="20"/>
              </w:rPr>
              <w:t>、既存の個人企業は</w:t>
            </w:r>
            <w:r w:rsidR="003B31A3">
              <w:rPr>
                <w:rFonts w:asciiTheme="minorEastAsia" w:hAnsiTheme="minorEastAsia" w:hint="eastAsia"/>
                <w:sz w:val="20"/>
                <w:szCs w:val="20"/>
              </w:rPr>
              <w:t>、</w:t>
            </w:r>
            <w:r w:rsidRPr="005916A2">
              <w:rPr>
                <w:rFonts w:asciiTheme="minorEastAsia" w:hAnsiTheme="minorEastAsia" w:hint="eastAsia"/>
                <w:sz w:val="20"/>
                <w:szCs w:val="20"/>
              </w:rPr>
              <w:t>今後について不透明とみる声が多かった。</w:t>
            </w:r>
          </w:p>
        </w:tc>
      </w:tr>
    </w:tbl>
    <w:p w:rsidR="00CB067F" w:rsidRPr="00924631" w:rsidRDefault="00CB067F" w:rsidP="00924631">
      <w:pPr>
        <w:widowControl/>
        <w:snapToGrid w:val="0"/>
        <w:jc w:val="left"/>
        <w:rPr>
          <w:rFonts w:asciiTheme="majorEastAsia" w:eastAsiaTheme="majorEastAsia" w:hAnsiTheme="majorEastAsia"/>
          <w:sz w:val="8"/>
          <w:szCs w:val="8"/>
        </w:rPr>
      </w:pPr>
      <w:bookmarkStart w:id="0" w:name="_GoBack"/>
      <w:bookmarkEnd w:id="0"/>
    </w:p>
    <w:sectPr w:rsidR="00CB067F" w:rsidRPr="00924631"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2D" w:rsidRDefault="0040022D" w:rsidP="002B15B0">
      <w:r>
        <w:separator/>
      </w:r>
    </w:p>
  </w:endnote>
  <w:endnote w:type="continuationSeparator" w:id="0">
    <w:p w:rsidR="0040022D" w:rsidRDefault="0040022D"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2D" w:rsidRDefault="0040022D" w:rsidP="002B15B0">
      <w:r>
        <w:separator/>
      </w:r>
    </w:p>
  </w:footnote>
  <w:footnote w:type="continuationSeparator" w:id="0">
    <w:p w:rsidR="0040022D" w:rsidRDefault="0040022D"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5198"/>
    <w:rsid w:val="00041BB9"/>
    <w:rsid w:val="0004408A"/>
    <w:rsid w:val="000521EC"/>
    <w:rsid w:val="00056F27"/>
    <w:rsid w:val="000577E3"/>
    <w:rsid w:val="00070044"/>
    <w:rsid w:val="00075D4C"/>
    <w:rsid w:val="000767D3"/>
    <w:rsid w:val="000854B4"/>
    <w:rsid w:val="00092A32"/>
    <w:rsid w:val="0009578E"/>
    <w:rsid w:val="000A245B"/>
    <w:rsid w:val="000A7073"/>
    <w:rsid w:val="000C7FB0"/>
    <w:rsid w:val="000D243E"/>
    <w:rsid w:val="000D2956"/>
    <w:rsid w:val="000D38D3"/>
    <w:rsid w:val="000F659A"/>
    <w:rsid w:val="00103140"/>
    <w:rsid w:val="00117E33"/>
    <w:rsid w:val="00121998"/>
    <w:rsid w:val="00125F6A"/>
    <w:rsid w:val="001304A7"/>
    <w:rsid w:val="00133527"/>
    <w:rsid w:val="001378B1"/>
    <w:rsid w:val="00142BEE"/>
    <w:rsid w:val="001512FD"/>
    <w:rsid w:val="00156D5E"/>
    <w:rsid w:val="0016371F"/>
    <w:rsid w:val="00164204"/>
    <w:rsid w:val="00165A70"/>
    <w:rsid w:val="00166B08"/>
    <w:rsid w:val="001705A2"/>
    <w:rsid w:val="00175D3D"/>
    <w:rsid w:val="0017622B"/>
    <w:rsid w:val="00177B13"/>
    <w:rsid w:val="00177D9E"/>
    <w:rsid w:val="001808CB"/>
    <w:rsid w:val="00180BAB"/>
    <w:rsid w:val="00190447"/>
    <w:rsid w:val="001931CB"/>
    <w:rsid w:val="00196D22"/>
    <w:rsid w:val="001A34E0"/>
    <w:rsid w:val="001A53F0"/>
    <w:rsid w:val="001A6386"/>
    <w:rsid w:val="001B1D2E"/>
    <w:rsid w:val="001B402F"/>
    <w:rsid w:val="001B644B"/>
    <w:rsid w:val="001B6A98"/>
    <w:rsid w:val="001C0083"/>
    <w:rsid w:val="001D1FFB"/>
    <w:rsid w:val="001D62C1"/>
    <w:rsid w:val="001E5C7A"/>
    <w:rsid w:val="001E5FAC"/>
    <w:rsid w:val="001F39B2"/>
    <w:rsid w:val="001F5929"/>
    <w:rsid w:val="00203997"/>
    <w:rsid w:val="00205AE7"/>
    <w:rsid w:val="0021082A"/>
    <w:rsid w:val="00212D96"/>
    <w:rsid w:val="00223D14"/>
    <w:rsid w:val="00232C60"/>
    <w:rsid w:val="0023618D"/>
    <w:rsid w:val="00241AD8"/>
    <w:rsid w:val="00252D44"/>
    <w:rsid w:val="002572AA"/>
    <w:rsid w:val="00257CE4"/>
    <w:rsid w:val="002609B1"/>
    <w:rsid w:val="00260B89"/>
    <w:rsid w:val="00260FE1"/>
    <w:rsid w:val="0026471A"/>
    <w:rsid w:val="0026503B"/>
    <w:rsid w:val="00266174"/>
    <w:rsid w:val="00271EE3"/>
    <w:rsid w:val="002806C5"/>
    <w:rsid w:val="00283B37"/>
    <w:rsid w:val="002846B7"/>
    <w:rsid w:val="00295D3E"/>
    <w:rsid w:val="002A191F"/>
    <w:rsid w:val="002A40DF"/>
    <w:rsid w:val="002B15B0"/>
    <w:rsid w:val="002B2C44"/>
    <w:rsid w:val="002B3AC4"/>
    <w:rsid w:val="002B7DBD"/>
    <w:rsid w:val="002C5ACE"/>
    <w:rsid w:val="002D6ABD"/>
    <w:rsid w:val="002D71B8"/>
    <w:rsid w:val="002E0200"/>
    <w:rsid w:val="002E075C"/>
    <w:rsid w:val="002E1AD3"/>
    <w:rsid w:val="002E3677"/>
    <w:rsid w:val="002E545F"/>
    <w:rsid w:val="002F672F"/>
    <w:rsid w:val="002F7204"/>
    <w:rsid w:val="00305009"/>
    <w:rsid w:val="003069F0"/>
    <w:rsid w:val="003073D6"/>
    <w:rsid w:val="00311E4E"/>
    <w:rsid w:val="0031479A"/>
    <w:rsid w:val="00322487"/>
    <w:rsid w:val="00323964"/>
    <w:rsid w:val="0032701A"/>
    <w:rsid w:val="0033028F"/>
    <w:rsid w:val="00332EDE"/>
    <w:rsid w:val="003347A5"/>
    <w:rsid w:val="00340E68"/>
    <w:rsid w:val="00344E14"/>
    <w:rsid w:val="0034700A"/>
    <w:rsid w:val="00352265"/>
    <w:rsid w:val="00352610"/>
    <w:rsid w:val="00363BAC"/>
    <w:rsid w:val="0036544E"/>
    <w:rsid w:val="00370F43"/>
    <w:rsid w:val="003740D6"/>
    <w:rsid w:val="00376D2E"/>
    <w:rsid w:val="003853C5"/>
    <w:rsid w:val="003930B2"/>
    <w:rsid w:val="003977BC"/>
    <w:rsid w:val="003A2537"/>
    <w:rsid w:val="003A38B7"/>
    <w:rsid w:val="003A59FF"/>
    <w:rsid w:val="003B0CE9"/>
    <w:rsid w:val="003B31A3"/>
    <w:rsid w:val="003C357C"/>
    <w:rsid w:val="003E0E0F"/>
    <w:rsid w:val="003E0E6B"/>
    <w:rsid w:val="003E3EEA"/>
    <w:rsid w:val="003F397D"/>
    <w:rsid w:val="003F3BC2"/>
    <w:rsid w:val="0040022D"/>
    <w:rsid w:val="00400AED"/>
    <w:rsid w:val="004153C8"/>
    <w:rsid w:val="00425764"/>
    <w:rsid w:val="004302F9"/>
    <w:rsid w:val="00435075"/>
    <w:rsid w:val="004363A7"/>
    <w:rsid w:val="00442F56"/>
    <w:rsid w:val="0044376C"/>
    <w:rsid w:val="00447D7D"/>
    <w:rsid w:val="00450D1B"/>
    <w:rsid w:val="00450F7E"/>
    <w:rsid w:val="004514A5"/>
    <w:rsid w:val="00453155"/>
    <w:rsid w:val="00465F11"/>
    <w:rsid w:val="00465FD1"/>
    <w:rsid w:val="00472698"/>
    <w:rsid w:val="00473D4B"/>
    <w:rsid w:val="00477B8E"/>
    <w:rsid w:val="00480472"/>
    <w:rsid w:val="00480740"/>
    <w:rsid w:val="0048431E"/>
    <w:rsid w:val="0048460E"/>
    <w:rsid w:val="00496170"/>
    <w:rsid w:val="00496630"/>
    <w:rsid w:val="00496EBE"/>
    <w:rsid w:val="004A0902"/>
    <w:rsid w:val="004A4E51"/>
    <w:rsid w:val="004A65AD"/>
    <w:rsid w:val="004B5BB4"/>
    <w:rsid w:val="004C5B98"/>
    <w:rsid w:val="004D1D75"/>
    <w:rsid w:val="004E077B"/>
    <w:rsid w:val="004F0FD8"/>
    <w:rsid w:val="005023F0"/>
    <w:rsid w:val="00504106"/>
    <w:rsid w:val="00505AEF"/>
    <w:rsid w:val="00522D59"/>
    <w:rsid w:val="00526EEB"/>
    <w:rsid w:val="00535A35"/>
    <w:rsid w:val="00543226"/>
    <w:rsid w:val="00543F66"/>
    <w:rsid w:val="0054739E"/>
    <w:rsid w:val="00547437"/>
    <w:rsid w:val="00554C2D"/>
    <w:rsid w:val="005664EA"/>
    <w:rsid w:val="005668D8"/>
    <w:rsid w:val="00571847"/>
    <w:rsid w:val="00581634"/>
    <w:rsid w:val="005829CB"/>
    <w:rsid w:val="00583C0B"/>
    <w:rsid w:val="005841BF"/>
    <w:rsid w:val="00586351"/>
    <w:rsid w:val="005916A2"/>
    <w:rsid w:val="00591E57"/>
    <w:rsid w:val="0059339A"/>
    <w:rsid w:val="00597AEB"/>
    <w:rsid w:val="005A0E09"/>
    <w:rsid w:val="005A2C58"/>
    <w:rsid w:val="005B16EE"/>
    <w:rsid w:val="005B31CC"/>
    <w:rsid w:val="005C1B2A"/>
    <w:rsid w:val="005C2115"/>
    <w:rsid w:val="005C6311"/>
    <w:rsid w:val="005D22E8"/>
    <w:rsid w:val="005F0A5F"/>
    <w:rsid w:val="005F16CA"/>
    <w:rsid w:val="005F2BEA"/>
    <w:rsid w:val="00603492"/>
    <w:rsid w:val="00604397"/>
    <w:rsid w:val="006043FE"/>
    <w:rsid w:val="00604EA5"/>
    <w:rsid w:val="00605B4A"/>
    <w:rsid w:val="00614824"/>
    <w:rsid w:val="0061557A"/>
    <w:rsid w:val="00615831"/>
    <w:rsid w:val="006166D9"/>
    <w:rsid w:val="00620CF9"/>
    <w:rsid w:val="00624D1A"/>
    <w:rsid w:val="00625C6F"/>
    <w:rsid w:val="00630A6B"/>
    <w:rsid w:val="0063170C"/>
    <w:rsid w:val="006349C8"/>
    <w:rsid w:val="00645E29"/>
    <w:rsid w:val="0064706F"/>
    <w:rsid w:val="00647ABE"/>
    <w:rsid w:val="00661442"/>
    <w:rsid w:val="00670B8C"/>
    <w:rsid w:val="006727CC"/>
    <w:rsid w:val="00676783"/>
    <w:rsid w:val="00681CA8"/>
    <w:rsid w:val="006922DC"/>
    <w:rsid w:val="006951D9"/>
    <w:rsid w:val="006A2024"/>
    <w:rsid w:val="006A23D0"/>
    <w:rsid w:val="006C11B5"/>
    <w:rsid w:val="006C7AFD"/>
    <w:rsid w:val="006D2FAF"/>
    <w:rsid w:val="006D3D49"/>
    <w:rsid w:val="006D60CB"/>
    <w:rsid w:val="006D6FB3"/>
    <w:rsid w:val="006F29B6"/>
    <w:rsid w:val="006F706B"/>
    <w:rsid w:val="00717D85"/>
    <w:rsid w:val="007202E3"/>
    <w:rsid w:val="00721687"/>
    <w:rsid w:val="00722734"/>
    <w:rsid w:val="00722D2B"/>
    <w:rsid w:val="00723E11"/>
    <w:rsid w:val="00726983"/>
    <w:rsid w:val="00732C07"/>
    <w:rsid w:val="007331FB"/>
    <w:rsid w:val="00742594"/>
    <w:rsid w:val="0075106D"/>
    <w:rsid w:val="007738FA"/>
    <w:rsid w:val="007765E1"/>
    <w:rsid w:val="00780E26"/>
    <w:rsid w:val="00783D37"/>
    <w:rsid w:val="00791F61"/>
    <w:rsid w:val="00792675"/>
    <w:rsid w:val="007978FB"/>
    <w:rsid w:val="00797930"/>
    <w:rsid w:val="007A01CE"/>
    <w:rsid w:val="007D08CB"/>
    <w:rsid w:val="007D640E"/>
    <w:rsid w:val="007E522E"/>
    <w:rsid w:val="0080464F"/>
    <w:rsid w:val="008100E0"/>
    <w:rsid w:val="00827C22"/>
    <w:rsid w:val="00830069"/>
    <w:rsid w:val="00837CA9"/>
    <w:rsid w:val="00844D50"/>
    <w:rsid w:val="008628FB"/>
    <w:rsid w:val="00862CCB"/>
    <w:rsid w:val="00863EE1"/>
    <w:rsid w:val="008713D0"/>
    <w:rsid w:val="00875E73"/>
    <w:rsid w:val="00877605"/>
    <w:rsid w:val="0088089D"/>
    <w:rsid w:val="00882321"/>
    <w:rsid w:val="00885629"/>
    <w:rsid w:val="00885DF0"/>
    <w:rsid w:val="00892FF2"/>
    <w:rsid w:val="008950EE"/>
    <w:rsid w:val="0089543C"/>
    <w:rsid w:val="008A4752"/>
    <w:rsid w:val="008A6DCD"/>
    <w:rsid w:val="008A7915"/>
    <w:rsid w:val="008A7A5D"/>
    <w:rsid w:val="008B6B92"/>
    <w:rsid w:val="008C05EC"/>
    <w:rsid w:val="008C05FC"/>
    <w:rsid w:val="008C2933"/>
    <w:rsid w:val="008C2D13"/>
    <w:rsid w:val="008C465A"/>
    <w:rsid w:val="008D418B"/>
    <w:rsid w:val="008D539F"/>
    <w:rsid w:val="008E0309"/>
    <w:rsid w:val="008E483F"/>
    <w:rsid w:val="008E70CB"/>
    <w:rsid w:val="008E7E9E"/>
    <w:rsid w:val="008F17A2"/>
    <w:rsid w:val="008F1BBB"/>
    <w:rsid w:val="00903AAE"/>
    <w:rsid w:val="00906799"/>
    <w:rsid w:val="0092287C"/>
    <w:rsid w:val="00924631"/>
    <w:rsid w:val="00935951"/>
    <w:rsid w:val="009409C2"/>
    <w:rsid w:val="00940E9A"/>
    <w:rsid w:val="00941B96"/>
    <w:rsid w:val="00941D1D"/>
    <w:rsid w:val="00941D61"/>
    <w:rsid w:val="00942814"/>
    <w:rsid w:val="0094445C"/>
    <w:rsid w:val="00950DC7"/>
    <w:rsid w:val="00953F6C"/>
    <w:rsid w:val="009552D6"/>
    <w:rsid w:val="00986F67"/>
    <w:rsid w:val="00992785"/>
    <w:rsid w:val="009958C3"/>
    <w:rsid w:val="009A4020"/>
    <w:rsid w:val="009A5859"/>
    <w:rsid w:val="009B1227"/>
    <w:rsid w:val="009B389F"/>
    <w:rsid w:val="009B4790"/>
    <w:rsid w:val="009B578C"/>
    <w:rsid w:val="009B6C24"/>
    <w:rsid w:val="009C2853"/>
    <w:rsid w:val="009C64AA"/>
    <w:rsid w:val="009C67AC"/>
    <w:rsid w:val="009D1A8D"/>
    <w:rsid w:val="009D3E3F"/>
    <w:rsid w:val="009D420E"/>
    <w:rsid w:val="009D51CE"/>
    <w:rsid w:val="009E0451"/>
    <w:rsid w:val="009F4D2F"/>
    <w:rsid w:val="00A069FC"/>
    <w:rsid w:val="00A2111E"/>
    <w:rsid w:val="00A276ED"/>
    <w:rsid w:val="00A30550"/>
    <w:rsid w:val="00A3111C"/>
    <w:rsid w:val="00A411CC"/>
    <w:rsid w:val="00A43D85"/>
    <w:rsid w:val="00A47FCC"/>
    <w:rsid w:val="00A520F7"/>
    <w:rsid w:val="00A53D4C"/>
    <w:rsid w:val="00A5610D"/>
    <w:rsid w:val="00A579C1"/>
    <w:rsid w:val="00A57A25"/>
    <w:rsid w:val="00A60053"/>
    <w:rsid w:val="00A6350E"/>
    <w:rsid w:val="00A80A05"/>
    <w:rsid w:val="00A901CD"/>
    <w:rsid w:val="00A94597"/>
    <w:rsid w:val="00AB4608"/>
    <w:rsid w:val="00AB4AE0"/>
    <w:rsid w:val="00AB650E"/>
    <w:rsid w:val="00AC2135"/>
    <w:rsid w:val="00AC5BA5"/>
    <w:rsid w:val="00AD0662"/>
    <w:rsid w:val="00AD12A3"/>
    <w:rsid w:val="00AD2511"/>
    <w:rsid w:val="00AD796A"/>
    <w:rsid w:val="00AE0AE8"/>
    <w:rsid w:val="00AF3800"/>
    <w:rsid w:val="00AF3D18"/>
    <w:rsid w:val="00B10B2A"/>
    <w:rsid w:val="00B153B0"/>
    <w:rsid w:val="00B2110C"/>
    <w:rsid w:val="00B2238A"/>
    <w:rsid w:val="00B343D1"/>
    <w:rsid w:val="00B438EC"/>
    <w:rsid w:val="00B45B46"/>
    <w:rsid w:val="00B46477"/>
    <w:rsid w:val="00B528BF"/>
    <w:rsid w:val="00B54129"/>
    <w:rsid w:val="00B56765"/>
    <w:rsid w:val="00B765A4"/>
    <w:rsid w:val="00B77D43"/>
    <w:rsid w:val="00B81AFE"/>
    <w:rsid w:val="00B830E0"/>
    <w:rsid w:val="00B878D3"/>
    <w:rsid w:val="00B9127B"/>
    <w:rsid w:val="00B923A9"/>
    <w:rsid w:val="00BB09F9"/>
    <w:rsid w:val="00BB5814"/>
    <w:rsid w:val="00BB6A68"/>
    <w:rsid w:val="00BB7350"/>
    <w:rsid w:val="00BC1CB2"/>
    <w:rsid w:val="00BC4D6D"/>
    <w:rsid w:val="00BC52E0"/>
    <w:rsid w:val="00BD02D6"/>
    <w:rsid w:val="00BD0E46"/>
    <w:rsid w:val="00BD146D"/>
    <w:rsid w:val="00BD7663"/>
    <w:rsid w:val="00BD7E13"/>
    <w:rsid w:val="00BE331A"/>
    <w:rsid w:val="00BE3C91"/>
    <w:rsid w:val="00BF0ECA"/>
    <w:rsid w:val="00BF4DBC"/>
    <w:rsid w:val="00C01535"/>
    <w:rsid w:val="00C11539"/>
    <w:rsid w:val="00C1190F"/>
    <w:rsid w:val="00C1430B"/>
    <w:rsid w:val="00C229D9"/>
    <w:rsid w:val="00C23799"/>
    <w:rsid w:val="00C3073D"/>
    <w:rsid w:val="00C30A15"/>
    <w:rsid w:val="00C36D2A"/>
    <w:rsid w:val="00C41F7B"/>
    <w:rsid w:val="00C45A56"/>
    <w:rsid w:val="00C47A35"/>
    <w:rsid w:val="00C52608"/>
    <w:rsid w:val="00C5423F"/>
    <w:rsid w:val="00C6165A"/>
    <w:rsid w:val="00C63BB8"/>
    <w:rsid w:val="00C66E97"/>
    <w:rsid w:val="00C67053"/>
    <w:rsid w:val="00C73224"/>
    <w:rsid w:val="00C760FC"/>
    <w:rsid w:val="00C81251"/>
    <w:rsid w:val="00C847EE"/>
    <w:rsid w:val="00C84952"/>
    <w:rsid w:val="00C856F9"/>
    <w:rsid w:val="00C85FB9"/>
    <w:rsid w:val="00C924F8"/>
    <w:rsid w:val="00CA2760"/>
    <w:rsid w:val="00CA5E87"/>
    <w:rsid w:val="00CA749E"/>
    <w:rsid w:val="00CB067F"/>
    <w:rsid w:val="00CB3841"/>
    <w:rsid w:val="00CC3690"/>
    <w:rsid w:val="00CC5BC7"/>
    <w:rsid w:val="00CD2FD2"/>
    <w:rsid w:val="00CD559B"/>
    <w:rsid w:val="00CD642A"/>
    <w:rsid w:val="00CE038C"/>
    <w:rsid w:val="00CE0699"/>
    <w:rsid w:val="00CE5847"/>
    <w:rsid w:val="00CF37AA"/>
    <w:rsid w:val="00CF5F87"/>
    <w:rsid w:val="00CF788C"/>
    <w:rsid w:val="00D0027B"/>
    <w:rsid w:val="00D05AF5"/>
    <w:rsid w:val="00D10CBE"/>
    <w:rsid w:val="00D118DA"/>
    <w:rsid w:val="00D1698A"/>
    <w:rsid w:val="00D2292C"/>
    <w:rsid w:val="00D30F83"/>
    <w:rsid w:val="00D31C9D"/>
    <w:rsid w:val="00D34256"/>
    <w:rsid w:val="00D3475A"/>
    <w:rsid w:val="00D47639"/>
    <w:rsid w:val="00D554E4"/>
    <w:rsid w:val="00D62DFD"/>
    <w:rsid w:val="00D664A7"/>
    <w:rsid w:val="00D72416"/>
    <w:rsid w:val="00D749DC"/>
    <w:rsid w:val="00D75859"/>
    <w:rsid w:val="00D77A64"/>
    <w:rsid w:val="00D81D08"/>
    <w:rsid w:val="00D838EE"/>
    <w:rsid w:val="00D85753"/>
    <w:rsid w:val="00D87045"/>
    <w:rsid w:val="00D87BB5"/>
    <w:rsid w:val="00D9023B"/>
    <w:rsid w:val="00D90895"/>
    <w:rsid w:val="00D95317"/>
    <w:rsid w:val="00DA011F"/>
    <w:rsid w:val="00DA2123"/>
    <w:rsid w:val="00DA2ABA"/>
    <w:rsid w:val="00DA4A34"/>
    <w:rsid w:val="00DB1470"/>
    <w:rsid w:val="00DB3834"/>
    <w:rsid w:val="00DB4731"/>
    <w:rsid w:val="00DC1D25"/>
    <w:rsid w:val="00DC3D37"/>
    <w:rsid w:val="00DC6C24"/>
    <w:rsid w:val="00DD01DC"/>
    <w:rsid w:val="00DD701B"/>
    <w:rsid w:val="00DD7F97"/>
    <w:rsid w:val="00DE171E"/>
    <w:rsid w:val="00DE35AD"/>
    <w:rsid w:val="00DE74A3"/>
    <w:rsid w:val="00E00D26"/>
    <w:rsid w:val="00E030E2"/>
    <w:rsid w:val="00E07E79"/>
    <w:rsid w:val="00E1226C"/>
    <w:rsid w:val="00E131D7"/>
    <w:rsid w:val="00E157ED"/>
    <w:rsid w:val="00E226C2"/>
    <w:rsid w:val="00E248AE"/>
    <w:rsid w:val="00E30BEF"/>
    <w:rsid w:val="00E33E1D"/>
    <w:rsid w:val="00E3499B"/>
    <w:rsid w:val="00E35BBF"/>
    <w:rsid w:val="00E4176F"/>
    <w:rsid w:val="00E45124"/>
    <w:rsid w:val="00E55421"/>
    <w:rsid w:val="00E73B1B"/>
    <w:rsid w:val="00E936A7"/>
    <w:rsid w:val="00EA6856"/>
    <w:rsid w:val="00EB074B"/>
    <w:rsid w:val="00EB3791"/>
    <w:rsid w:val="00EB59F4"/>
    <w:rsid w:val="00EB6231"/>
    <w:rsid w:val="00EB7EAD"/>
    <w:rsid w:val="00EC01A4"/>
    <w:rsid w:val="00EC0BD0"/>
    <w:rsid w:val="00EC7BEE"/>
    <w:rsid w:val="00ED6EF7"/>
    <w:rsid w:val="00EE4966"/>
    <w:rsid w:val="00EF016C"/>
    <w:rsid w:val="00EF43E9"/>
    <w:rsid w:val="00EF4F86"/>
    <w:rsid w:val="00EF7F6E"/>
    <w:rsid w:val="00F03C42"/>
    <w:rsid w:val="00F052DC"/>
    <w:rsid w:val="00F05660"/>
    <w:rsid w:val="00F153B1"/>
    <w:rsid w:val="00F165A8"/>
    <w:rsid w:val="00F21C05"/>
    <w:rsid w:val="00F252F5"/>
    <w:rsid w:val="00F40624"/>
    <w:rsid w:val="00F4193B"/>
    <w:rsid w:val="00F41C24"/>
    <w:rsid w:val="00F577F2"/>
    <w:rsid w:val="00F63566"/>
    <w:rsid w:val="00F6402D"/>
    <w:rsid w:val="00F72293"/>
    <w:rsid w:val="00F75A3C"/>
    <w:rsid w:val="00F843CB"/>
    <w:rsid w:val="00F849C6"/>
    <w:rsid w:val="00F928F7"/>
    <w:rsid w:val="00FA0D9F"/>
    <w:rsid w:val="00FA1AA0"/>
    <w:rsid w:val="00FA5B24"/>
    <w:rsid w:val="00FA6698"/>
    <w:rsid w:val="00FB1366"/>
    <w:rsid w:val="00FB2812"/>
    <w:rsid w:val="00FB3BDB"/>
    <w:rsid w:val="00FC1B7F"/>
    <w:rsid w:val="00FC1EEC"/>
    <w:rsid w:val="00FD3D25"/>
    <w:rsid w:val="00FD4CC6"/>
    <w:rsid w:val="00FD6C1B"/>
    <w:rsid w:val="00FE013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71668562062479468"/>
        </c:manualLayout>
      </c:layout>
      <c:lineChart>
        <c:grouping val="standard"/>
        <c:varyColors val="0"/>
        <c:ser>
          <c:idx val="0"/>
          <c:order val="0"/>
          <c:tx>
            <c:strRef>
              <c:f>'Sheet1 (2)'!$A$9:$B$9</c:f>
              <c:strCache>
                <c:ptCount val="1"/>
                <c:pt idx="0">
                  <c:v>景況判断（大阪） 全産業</c:v>
                </c:pt>
              </c:strCache>
            </c:strRef>
          </c:tx>
          <c:spPr>
            <a:ln w="6350">
              <a:solidFill>
                <a:schemeClr val="tx1"/>
              </a:solidFill>
              <a:prstDash val="lgDashDot"/>
            </a:ln>
          </c:spPr>
          <c:marker>
            <c:symbol val="none"/>
          </c:marker>
          <c:cat>
            <c:multiLvlStrRef>
              <c:f>'Sheet1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2013年</c:v>
                  </c:pt>
                  <c:pt idx="2">
                    <c:v>2014年</c:v>
                  </c:pt>
                  <c:pt idx="6">
                    <c:v>2015年</c:v>
                  </c:pt>
                  <c:pt idx="10">
                    <c:v>2016年</c:v>
                  </c:pt>
                </c:lvl>
              </c:multiLvlStrCache>
            </c:multiLvlStrRef>
          </c:cat>
          <c:val>
            <c:numRef>
              <c:f>'Sheet1 (2)'!$E$9:$O$9</c:f>
              <c:numCache>
                <c:formatCode>General</c:formatCode>
                <c:ptCount val="11"/>
                <c:pt idx="0">
                  <c:v>-16.5</c:v>
                </c:pt>
                <c:pt idx="1">
                  <c:v>-11.8</c:v>
                </c:pt>
                <c:pt idx="2">
                  <c:v>-6.6</c:v>
                </c:pt>
                <c:pt idx="3">
                  <c:v>-23.6</c:v>
                </c:pt>
                <c:pt idx="4">
                  <c:v>-15.3</c:v>
                </c:pt>
                <c:pt idx="5">
                  <c:v>-17.5</c:v>
                </c:pt>
                <c:pt idx="6">
                  <c:v>-16.899999999999999</c:v>
                </c:pt>
                <c:pt idx="7">
                  <c:v>-17.399999999999999</c:v>
                </c:pt>
                <c:pt idx="8" formatCode="0.0">
                  <c:v>-16</c:v>
                </c:pt>
                <c:pt idx="9" formatCode="0.0">
                  <c:v>-15.6</c:v>
                </c:pt>
                <c:pt idx="10" formatCode="0.0">
                  <c:v>-19.399999999999999</c:v>
                </c:pt>
              </c:numCache>
            </c:numRef>
          </c:val>
          <c:smooth val="0"/>
        </c:ser>
        <c:ser>
          <c:idx val="1"/>
          <c:order val="1"/>
          <c:tx>
            <c:strRef>
              <c:f>'Sheet1 (2)'!$A$10:$B$10</c:f>
              <c:strCache>
                <c:ptCount val="1"/>
                <c:pt idx="0">
                  <c:v>景況判断（大阪） 製造業</c:v>
                </c:pt>
              </c:strCache>
            </c:strRef>
          </c:tx>
          <c:spPr>
            <a:ln w="6350">
              <a:solidFill>
                <a:schemeClr val="tx1"/>
              </a:solidFill>
            </a:ln>
          </c:spPr>
          <c:marker>
            <c:symbol val="none"/>
          </c:marker>
          <c:cat>
            <c:multiLvlStrRef>
              <c:f>'Sheet1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2013年</c:v>
                  </c:pt>
                  <c:pt idx="2">
                    <c:v>2014年</c:v>
                  </c:pt>
                  <c:pt idx="6">
                    <c:v>2015年</c:v>
                  </c:pt>
                  <c:pt idx="10">
                    <c:v>2016年</c:v>
                  </c:pt>
                </c:lvl>
              </c:multiLvlStrCache>
            </c:multiLvlStrRef>
          </c:cat>
          <c:val>
            <c:numRef>
              <c:f>'Sheet1 (2)'!$E$10:$O$10</c:f>
              <c:numCache>
                <c:formatCode>General</c:formatCode>
                <c:ptCount val="11"/>
                <c:pt idx="0">
                  <c:v>-7.7</c:v>
                </c:pt>
                <c:pt idx="1">
                  <c:v>-2.6</c:v>
                </c:pt>
                <c:pt idx="2">
                  <c:v>4.8</c:v>
                </c:pt>
                <c:pt idx="3">
                  <c:v>-11.8</c:v>
                </c:pt>
                <c:pt idx="4">
                  <c:v>-4.7</c:v>
                </c:pt>
                <c:pt idx="5" formatCode="0.0">
                  <c:v>-10</c:v>
                </c:pt>
                <c:pt idx="6" formatCode="0.0">
                  <c:v>-10</c:v>
                </c:pt>
                <c:pt idx="7" formatCode="0.0">
                  <c:v>-14.3</c:v>
                </c:pt>
                <c:pt idx="8" formatCode="0.0">
                  <c:v>-9.8000000000000007</c:v>
                </c:pt>
                <c:pt idx="9" formatCode="0.0">
                  <c:v>-9.9</c:v>
                </c:pt>
                <c:pt idx="10" formatCode="0.0">
                  <c:v>-17.7</c:v>
                </c:pt>
              </c:numCache>
            </c:numRef>
          </c:val>
          <c:smooth val="0"/>
        </c:ser>
        <c:ser>
          <c:idx val="2"/>
          <c:order val="2"/>
          <c:tx>
            <c:strRef>
              <c:f>'Sheet1 (2)'!$A$11:$B$11</c:f>
              <c:strCache>
                <c:ptCount val="1"/>
                <c:pt idx="0">
                  <c:v>景況判断（大阪） 非製造業</c:v>
                </c:pt>
              </c:strCache>
            </c:strRef>
          </c:tx>
          <c:spPr>
            <a:ln w="6350">
              <a:solidFill>
                <a:schemeClr val="tx1"/>
              </a:solidFill>
              <a:prstDash val="sysDash"/>
            </a:ln>
          </c:spPr>
          <c:marker>
            <c:symbol val="none"/>
          </c:marker>
          <c:cat>
            <c:multiLvlStrRef>
              <c:f>'Sheet1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2013年</c:v>
                  </c:pt>
                  <c:pt idx="2">
                    <c:v>2014年</c:v>
                  </c:pt>
                  <c:pt idx="6">
                    <c:v>2015年</c:v>
                  </c:pt>
                  <c:pt idx="10">
                    <c:v>2016年</c:v>
                  </c:pt>
                </c:lvl>
              </c:multiLvlStrCache>
            </c:multiLvlStrRef>
          </c:cat>
          <c:val>
            <c:numRef>
              <c:f>'Sheet1 (2)'!$E$11:$O$11</c:f>
              <c:numCache>
                <c:formatCode>General</c:formatCode>
                <c:ptCount val="11"/>
                <c:pt idx="0" formatCode="0.0">
                  <c:v>-20</c:v>
                </c:pt>
                <c:pt idx="1">
                  <c:v>-15.7</c:v>
                </c:pt>
                <c:pt idx="2">
                  <c:v>-11.2</c:v>
                </c:pt>
                <c:pt idx="3">
                  <c:v>-28.4</c:v>
                </c:pt>
                <c:pt idx="4">
                  <c:v>-19.8</c:v>
                </c:pt>
                <c:pt idx="5" formatCode="0.0_ ">
                  <c:v>-20.6</c:v>
                </c:pt>
                <c:pt idx="6" formatCode="0.0_ ">
                  <c:v>-20.2</c:v>
                </c:pt>
                <c:pt idx="7" formatCode="0.0_ ">
                  <c:v>-18.5</c:v>
                </c:pt>
                <c:pt idx="8" formatCode="0.0_ ">
                  <c:v>-18.399999999999999</c:v>
                </c:pt>
                <c:pt idx="9" formatCode="0.0_ ">
                  <c:v>-18.399999999999999</c:v>
                </c:pt>
                <c:pt idx="10" formatCode="0.0_ ">
                  <c:v>-20.100000000000001</c:v>
                </c:pt>
              </c:numCache>
            </c:numRef>
          </c:val>
          <c:smooth val="0"/>
        </c:ser>
        <c:ser>
          <c:idx val="3"/>
          <c:order val="3"/>
          <c:spPr>
            <a:ln w="6350">
              <a:solidFill>
                <a:schemeClr val="tx1"/>
              </a:solidFill>
            </a:ln>
          </c:spPr>
          <c:marker>
            <c:symbol val="none"/>
          </c:marker>
          <c:cat>
            <c:multiLvlStrRef>
              <c:f>'Sheet1 (2)'!$E$1:$O$2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2013年</c:v>
                  </c:pt>
                  <c:pt idx="2">
                    <c:v>2014年</c:v>
                  </c:pt>
                  <c:pt idx="6">
                    <c:v>2015年</c:v>
                  </c:pt>
                  <c:pt idx="10">
                    <c:v>2016年</c:v>
                  </c:pt>
                </c:lvl>
              </c:multiLvlStrCache>
            </c:multiLvlStrRef>
          </c:cat>
          <c:val>
            <c:numRef>
              <c:f>'Sheet1 (2)'!$E$12:$O$12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87049728"/>
        <c:axId val="39495936"/>
      </c:lineChart>
      <c:catAx>
        <c:axId val="87049728"/>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39495936"/>
        <c:crossesAt val="-45"/>
        <c:auto val="1"/>
        <c:lblAlgn val="ctr"/>
        <c:lblOffset val="100"/>
        <c:noMultiLvlLbl val="0"/>
      </c:catAx>
      <c:valAx>
        <c:axId val="39495936"/>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87049728"/>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0.66381</cdr:x>
      <cdr:y>0.23842</cdr:y>
    </cdr:from>
    <cdr:to>
      <cdr:x>0.78022</cdr:x>
      <cdr:y>0.34503</cdr:y>
    </cdr:to>
    <cdr:sp macro="" textlink="">
      <cdr:nvSpPr>
        <cdr:cNvPr id="2" name="正方形/長方形 1"/>
        <cdr:cNvSpPr/>
      </cdr:nvSpPr>
      <cdr:spPr>
        <a:xfrm xmlns:a="http://schemas.openxmlformats.org/drawingml/2006/main">
          <a:off x="3584575" y="660399"/>
          <a:ext cx="628639" cy="29527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0.81315</cdr:x>
      <cdr:y>0.27064</cdr:y>
    </cdr:from>
    <cdr:to>
      <cdr:x>0.83431</cdr:x>
      <cdr:y>0.35661</cdr:y>
    </cdr:to>
    <cdr:cxnSp macro="">
      <cdr:nvCxnSpPr>
        <cdr:cNvPr id="4" name="直線矢印コネクタ 3"/>
        <cdr:cNvCxnSpPr/>
      </cdr:nvCxnSpPr>
      <cdr:spPr>
        <a:xfrm xmlns:a="http://schemas.openxmlformats.org/drawingml/2006/main" flipH="1">
          <a:off x="4391538" y="714054"/>
          <a:ext cx="114312" cy="22682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0.77072</cdr:x>
      <cdr:y>0.46906</cdr:y>
    </cdr:from>
    <cdr:to>
      <cdr:x>0.81315</cdr:x>
      <cdr:y>0.59206</cdr:y>
    </cdr:to>
    <cdr:cxnSp macro="">
      <cdr:nvCxnSpPr>
        <cdr:cNvPr id="9" name="直線矢印コネクタ 8"/>
        <cdr:cNvCxnSpPr/>
      </cdr:nvCxnSpPr>
      <cdr:spPr>
        <a:xfrm xmlns:a="http://schemas.openxmlformats.org/drawingml/2006/main" flipV="1">
          <a:off x="4162425" y="1237578"/>
          <a:ext cx="229112" cy="324522"/>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0.85019</cdr:x>
      <cdr:y>0.54781</cdr:y>
    </cdr:from>
    <cdr:to>
      <cdr:x>0.8837</cdr:x>
      <cdr:y>0.66129</cdr:y>
    </cdr:to>
    <cdr:cxnSp macro="">
      <cdr:nvCxnSpPr>
        <cdr:cNvPr id="13" name="直線矢印コネクタ 12"/>
        <cdr:cNvCxnSpPr/>
      </cdr:nvCxnSpPr>
      <cdr:spPr>
        <a:xfrm xmlns:a="http://schemas.openxmlformats.org/drawingml/2006/main" flipV="1">
          <a:off x="4591588" y="1445351"/>
          <a:ext cx="180996" cy="299408"/>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0.79022</cdr:x>
      <cdr:y>0.17762</cdr:y>
    </cdr:from>
    <cdr:to>
      <cdr:x>0.92427</cdr:x>
      <cdr:y>0.28422</cdr:y>
    </cdr:to>
    <cdr:sp macro="" textlink="">
      <cdr:nvSpPr>
        <cdr:cNvPr id="18" name="正方形/長方形 17"/>
        <cdr:cNvSpPr/>
      </cdr:nvSpPr>
      <cdr:spPr>
        <a:xfrm xmlns:a="http://schemas.openxmlformats.org/drawingml/2006/main">
          <a:off x="4267697" y="468631"/>
          <a:ext cx="723985" cy="28126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製造業</a:t>
          </a:r>
          <a:endParaRPr lang="ja-JP" sz="800">
            <a:solidFill>
              <a:sysClr val="windowText" lastClr="000000"/>
            </a:solidFill>
          </a:endParaRPr>
        </a:p>
      </cdr:txBody>
    </cdr:sp>
  </cdr:relSizeAnchor>
  <cdr:relSizeAnchor xmlns:cdr="http://schemas.openxmlformats.org/drawingml/2006/chartDrawing">
    <cdr:from>
      <cdr:x>0.70202</cdr:x>
      <cdr:y>0.59044</cdr:y>
    </cdr:from>
    <cdr:to>
      <cdr:x>0.82902</cdr:x>
      <cdr:y>0.69017</cdr:y>
    </cdr:to>
    <cdr:sp macro="" textlink="">
      <cdr:nvSpPr>
        <cdr:cNvPr id="19" name="正方形/長方形 18"/>
        <cdr:cNvSpPr/>
      </cdr:nvSpPr>
      <cdr:spPr>
        <a:xfrm xmlns:a="http://schemas.openxmlformats.org/drawingml/2006/main">
          <a:off x="3791389" y="1557842"/>
          <a:ext cx="685881" cy="26311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全産業</a:t>
          </a:r>
          <a:endParaRPr lang="ja-JP" sz="800">
            <a:solidFill>
              <a:sysClr val="windowText" lastClr="000000"/>
            </a:solidFill>
          </a:endParaRPr>
        </a:p>
      </cdr:txBody>
    </cdr:sp>
  </cdr:relSizeAnchor>
  <cdr:relSizeAnchor xmlns:cdr="http://schemas.openxmlformats.org/drawingml/2006/chartDrawing">
    <cdr:from>
      <cdr:x>0.77787</cdr:x>
      <cdr:y>0.63905</cdr:y>
    </cdr:from>
    <cdr:to>
      <cdr:x>0.91898</cdr:x>
      <cdr:y>0.74565</cdr:y>
    </cdr:to>
    <cdr:sp macro="" textlink="">
      <cdr:nvSpPr>
        <cdr:cNvPr id="20" name="正方形/長方形 19"/>
        <cdr:cNvSpPr/>
      </cdr:nvSpPr>
      <cdr:spPr>
        <a:xfrm xmlns:a="http://schemas.openxmlformats.org/drawingml/2006/main">
          <a:off x="4201023" y="1132170"/>
          <a:ext cx="762089" cy="18885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非製造業</a:t>
          </a:r>
          <a:endParaRPr lang="ja-JP" sz="8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29</cp:revision>
  <cp:lastPrinted>2016-01-28T06:34:00Z</cp:lastPrinted>
  <dcterms:created xsi:type="dcterms:W3CDTF">2016-04-26T05:02:00Z</dcterms:created>
  <dcterms:modified xsi:type="dcterms:W3CDTF">2016-05-10T01:29:00Z</dcterms:modified>
</cp:coreProperties>
</file>