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4" w:type="dxa"/>
        <w:jc w:val="center"/>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8504"/>
      </w:tblGrid>
      <w:tr w:rsidR="003853C5" w:rsidRPr="00DB1955" w:rsidTr="003853C5">
        <w:trPr>
          <w:trHeight w:val="510"/>
          <w:jc w:val="center"/>
        </w:trPr>
        <w:tc>
          <w:tcPr>
            <w:tcW w:w="8504" w:type="dxa"/>
            <w:tcBorders>
              <w:top w:val="single" w:sz="18" w:space="0" w:color="auto"/>
              <w:bottom w:val="single" w:sz="18" w:space="0" w:color="auto"/>
            </w:tcBorders>
            <w:vAlign w:val="center"/>
          </w:tcPr>
          <w:p w:rsidR="003853C5" w:rsidRPr="003853C5" w:rsidRDefault="003853C5" w:rsidP="00581634">
            <w:pPr>
              <w:snapToGrid w:val="0"/>
              <w:jc w:val="center"/>
              <w:rPr>
                <w:rFonts w:ascii="ＭＳ ゴシック" w:eastAsia="ＭＳ ゴシック" w:hAnsi="ＭＳ ゴシック"/>
                <w:color w:val="000000"/>
                <w:sz w:val="28"/>
                <w:szCs w:val="28"/>
              </w:rPr>
            </w:pPr>
            <w:r w:rsidRPr="003853C5">
              <w:rPr>
                <w:rFonts w:asciiTheme="majorEastAsia" w:eastAsiaTheme="majorEastAsia" w:hAnsiTheme="majorEastAsia" w:hint="eastAsia"/>
                <w:sz w:val="28"/>
                <w:szCs w:val="28"/>
              </w:rPr>
              <w:t>中小企業の動き（平成2</w:t>
            </w:r>
            <w:r w:rsidR="00892FF2">
              <w:rPr>
                <w:rFonts w:asciiTheme="majorEastAsia" w:eastAsiaTheme="majorEastAsia" w:hAnsiTheme="majorEastAsia" w:hint="eastAsia"/>
                <w:sz w:val="28"/>
                <w:szCs w:val="28"/>
              </w:rPr>
              <w:t>7</w:t>
            </w:r>
            <w:r w:rsidRPr="003853C5">
              <w:rPr>
                <w:rFonts w:asciiTheme="majorEastAsia" w:eastAsiaTheme="majorEastAsia" w:hAnsiTheme="majorEastAsia" w:hint="eastAsia"/>
                <w:sz w:val="28"/>
                <w:szCs w:val="28"/>
              </w:rPr>
              <w:t>年</w:t>
            </w:r>
            <w:r w:rsidR="00581634">
              <w:rPr>
                <w:rFonts w:asciiTheme="majorEastAsia" w:eastAsiaTheme="majorEastAsia" w:hAnsiTheme="majorEastAsia" w:hint="eastAsia"/>
                <w:sz w:val="28"/>
                <w:szCs w:val="28"/>
              </w:rPr>
              <w:t>４</w:t>
            </w:r>
            <w:r w:rsidRPr="003853C5">
              <w:rPr>
                <w:rFonts w:asciiTheme="majorEastAsia" w:eastAsiaTheme="majorEastAsia" w:hAnsiTheme="majorEastAsia" w:hint="eastAsia"/>
                <w:sz w:val="28"/>
                <w:szCs w:val="28"/>
              </w:rPr>
              <w:t>～</w:t>
            </w:r>
            <w:r w:rsidR="00581634">
              <w:rPr>
                <w:rFonts w:asciiTheme="majorEastAsia" w:eastAsiaTheme="majorEastAsia" w:hAnsiTheme="majorEastAsia" w:hint="eastAsia"/>
                <w:sz w:val="28"/>
                <w:szCs w:val="28"/>
              </w:rPr>
              <w:t>６</w:t>
            </w:r>
            <w:r w:rsidRPr="003853C5">
              <w:rPr>
                <w:rFonts w:asciiTheme="majorEastAsia" w:eastAsiaTheme="majorEastAsia" w:hAnsiTheme="majorEastAsia" w:hint="eastAsia"/>
                <w:sz w:val="28"/>
                <w:szCs w:val="28"/>
              </w:rPr>
              <w:t>月期</w:t>
            </w:r>
            <w:r w:rsidR="00376D2E">
              <w:rPr>
                <w:rFonts w:asciiTheme="majorEastAsia" w:eastAsiaTheme="majorEastAsia" w:hAnsiTheme="majorEastAsia" w:hint="eastAsia"/>
                <w:sz w:val="28"/>
                <w:szCs w:val="28"/>
              </w:rPr>
              <w:t>／業種別景気動向調査</w:t>
            </w:r>
            <w:r w:rsidRPr="003853C5">
              <w:rPr>
                <w:rFonts w:asciiTheme="majorEastAsia" w:eastAsiaTheme="majorEastAsia" w:hAnsiTheme="majorEastAsia" w:hint="eastAsia"/>
                <w:sz w:val="28"/>
                <w:szCs w:val="28"/>
              </w:rPr>
              <w:t>）</w:t>
            </w:r>
          </w:p>
        </w:tc>
      </w:tr>
    </w:tbl>
    <w:p w:rsidR="00885629" w:rsidRPr="00892FF2" w:rsidRDefault="00885629" w:rsidP="00AB650E">
      <w:pPr>
        <w:rPr>
          <w:rFonts w:asciiTheme="majorEastAsia" w:eastAsiaTheme="majorEastAsia" w:hAnsiTheme="majorEastAsia"/>
          <w:sz w:val="8"/>
          <w:szCs w:val="8"/>
        </w:rPr>
        <w:sectPr w:rsidR="00885629" w:rsidRPr="00892FF2" w:rsidSect="00586351">
          <w:pgSz w:w="11906" w:h="16838" w:code="9"/>
          <w:pgMar w:top="1418" w:right="1701" w:bottom="1134" w:left="1701" w:header="851" w:footer="992" w:gutter="0"/>
          <w:cols w:space="425"/>
          <w:docGrid w:type="lines" w:linePitch="292"/>
        </w:sectPr>
      </w:pPr>
    </w:p>
    <w:p w:rsidR="00133527" w:rsidRDefault="00370F43" w:rsidP="00133527">
      <w:pPr>
        <w:rPr>
          <w:rFonts w:asciiTheme="majorEastAsia" w:eastAsiaTheme="majorEastAsia" w:hAnsiTheme="majorEastAsia"/>
          <w:szCs w:val="21"/>
        </w:rPr>
      </w:pPr>
      <w:r w:rsidRPr="00370F43">
        <w:rPr>
          <w:rFonts w:asciiTheme="majorEastAsia" w:eastAsiaTheme="majorEastAsia" w:hAnsiTheme="majorEastAsia" w:hint="eastAsia"/>
          <w:szCs w:val="21"/>
        </w:rPr>
        <w:lastRenderedPageBreak/>
        <w:t>１．</w:t>
      </w:r>
      <w:r w:rsidR="00F03C42" w:rsidRPr="00370F43">
        <w:rPr>
          <w:rFonts w:asciiTheme="majorEastAsia" w:eastAsiaTheme="majorEastAsia" w:hAnsiTheme="majorEastAsia" w:hint="eastAsia"/>
          <w:szCs w:val="21"/>
        </w:rPr>
        <w:t>中小企業</w:t>
      </w:r>
      <w:r w:rsidR="00722D2B">
        <w:rPr>
          <w:rFonts w:asciiTheme="majorEastAsia" w:eastAsiaTheme="majorEastAsia" w:hAnsiTheme="majorEastAsia" w:hint="eastAsia"/>
          <w:szCs w:val="21"/>
        </w:rPr>
        <w:t>の</w:t>
      </w:r>
      <w:r w:rsidR="003B0CE9">
        <w:rPr>
          <w:rFonts w:asciiTheme="majorEastAsia" w:eastAsiaTheme="majorEastAsia" w:hAnsiTheme="majorEastAsia" w:hint="eastAsia"/>
          <w:szCs w:val="21"/>
        </w:rPr>
        <w:t>景況</w:t>
      </w:r>
    </w:p>
    <w:p w:rsidR="00E00D26" w:rsidRDefault="004363A7" w:rsidP="00133527">
      <w:pPr>
        <w:ind w:firstLineChars="100" w:firstLine="210"/>
        <w:rPr>
          <w:rFonts w:asciiTheme="minorEastAsia" w:hAnsiTheme="minorEastAsia"/>
          <w:szCs w:val="21"/>
        </w:rPr>
      </w:pPr>
      <w:r>
        <w:rPr>
          <w:rFonts w:asciiTheme="minorEastAsia" w:hAnsiTheme="minorEastAsia" w:hint="eastAsia"/>
          <w:szCs w:val="21"/>
        </w:rPr>
        <w:t>「</w:t>
      </w:r>
      <w:r w:rsidR="00CF5F87" w:rsidRPr="00CF5F87">
        <w:rPr>
          <w:rFonts w:asciiTheme="minorEastAsia" w:hAnsiTheme="minorEastAsia" w:hint="eastAsia"/>
          <w:szCs w:val="21"/>
        </w:rPr>
        <w:t>中小企業景況調査</w:t>
      </w:r>
      <w:r>
        <w:rPr>
          <w:rFonts w:asciiTheme="minorEastAsia" w:hAnsiTheme="minorEastAsia" w:hint="eastAsia"/>
          <w:szCs w:val="21"/>
        </w:rPr>
        <w:t>」</w:t>
      </w:r>
      <w:r w:rsidR="00CF5F87" w:rsidRPr="00FD3D25">
        <w:rPr>
          <w:rFonts w:asciiTheme="minorEastAsia" w:hAnsiTheme="minorEastAsia" w:hint="eastAsia"/>
          <w:sz w:val="18"/>
          <w:szCs w:val="18"/>
        </w:rPr>
        <w:t>（中小企業庁</w:t>
      </w:r>
      <w:r w:rsidR="00C85FB9" w:rsidRPr="00FD3D25">
        <w:rPr>
          <w:rFonts w:asciiTheme="minorEastAsia" w:hAnsiTheme="minorEastAsia" w:hint="eastAsia"/>
          <w:sz w:val="18"/>
          <w:szCs w:val="18"/>
        </w:rPr>
        <w:t>･</w:t>
      </w:r>
      <w:r w:rsidR="00CF5F87" w:rsidRPr="00FD3D25">
        <w:rPr>
          <w:rFonts w:asciiTheme="minorEastAsia" w:hAnsiTheme="minorEastAsia" w:hint="eastAsia"/>
          <w:sz w:val="18"/>
          <w:szCs w:val="18"/>
        </w:rPr>
        <w:t>独立行政法人中小企業基盤整備機構</w:t>
      </w:r>
      <w:r w:rsidR="00CF5F87" w:rsidRPr="00442F56">
        <w:rPr>
          <w:rFonts w:asciiTheme="minorEastAsia" w:hAnsiTheme="minorEastAsia" w:hint="eastAsia"/>
          <w:szCs w:val="21"/>
        </w:rPr>
        <w:t>）</w:t>
      </w:r>
      <w:r w:rsidR="00442F56" w:rsidRPr="00442F56">
        <w:rPr>
          <w:rFonts w:asciiTheme="minorEastAsia" w:hAnsiTheme="minorEastAsia" w:hint="eastAsia"/>
          <w:szCs w:val="21"/>
        </w:rPr>
        <w:t>によると</w:t>
      </w:r>
      <w:r w:rsidR="00CF5F87" w:rsidRPr="00442F56">
        <w:rPr>
          <w:rFonts w:asciiTheme="minorEastAsia" w:hAnsiTheme="minorEastAsia" w:hint="eastAsia"/>
          <w:szCs w:val="21"/>
        </w:rPr>
        <w:t>、</w:t>
      </w:r>
      <w:r w:rsidR="00E00D26">
        <w:rPr>
          <w:rFonts w:asciiTheme="minorEastAsia" w:hAnsiTheme="minorEastAsia" w:hint="eastAsia"/>
          <w:szCs w:val="21"/>
        </w:rPr>
        <w:t>大阪府の業況判断</w:t>
      </w:r>
      <w:r w:rsidR="00E00D26" w:rsidRPr="00E00D26">
        <w:rPr>
          <w:rFonts w:asciiTheme="minorEastAsia" w:hAnsiTheme="minorEastAsia" w:hint="eastAsia"/>
          <w:szCs w:val="21"/>
        </w:rPr>
        <w:t>ＤＩ</w:t>
      </w:r>
      <w:r w:rsidR="00E00D26">
        <w:rPr>
          <w:rFonts w:asciiTheme="minorEastAsia" w:hAnsiTheme="minorEastAsia" w:hint="eastAsia"/>
          <w:szCs w:val="21"/>
        </w:rPr>
        <w:t>は</w:t>
      </w:r>
      <w:r w:rsidR="00442F56">
        <w:rPr>
          <w:rFonts w:asciiTheme="minorEastAsia" w:hAnsiTheme="minorEastAsia" w:hint="eastAsia"/>
          <w:szCs w:val="21"/>
        </w:rPr>
        <w:t>、</w:t>
      </w:r>
      <w:r w:rsidR="00C63BB8">
        <w:rPr>
          <w:rFonts w:asciiTheme="minorEastAsia" w:hAnsiTheme="minorEastAsia" w:hint="eastAsia"/>
          <w:szCs w:val="21"/>
        </w:rPr>
        <w:t>全産業</w:t>
      </w:r>
      <w:r w:rsidR="0009578E">
        <w:rPr>
          <w:rFonts w:asciiTheme="minorEastAsia" w:hAnsiTheme="minorEastAsia" w:hint="eastAsia"/>
          <w:szCs w:val="21"/>
        </w:rPr>
        <w:t>で</w:t>
      </w:r>
      <w:r w:rsidR="00F63566">
        <w:rPr>
          <w:rFonts w:asciiTheme="minorEastAsia" w:hAnsiTheme="minorEastAsia" w:hint="eastAsia"/>
          <w:szCs w:val="21"/>
        </w:rPr>
        <w:t>は</w:t>
      </w:r>
      <w:r w:rsidR="00C63BB8">
        <w:rPr>
          <w:rFonts w:asciiTheme="minorEastAsia" w:hAnsiTheme="minorEastAsia" w:hint="eastAsia"/>
          <w:szCs w:val="21"/>
        </w:rPr>
        <w:t>前期より</w:t>
      </w:r>
      <w:r w:rsidR="001C0083">
        <w:rPr>
          <w:rFonts w:asciiTheme="minorEastAsia" w:hAnsiTheme="minorEastAsia" w:hint="eastAsia"/>
          <w:szCs w:val="21"/>
        </w:rPr>
        <w:t>マイナス</w:t>
      </w:r>
      <w:r w:rsidR="008A6DCD">
        <w:rPr>
          <w:rFonts w:asciiTheme="minorEastAsia" w:hAnsiTheme="minorEastAsia" w:hint="eastAsia"/>
          <w:szCs w:val="21"/>
        </w:rPr>
        <w:t>幅</w:t>
      </w:r>
      <w:r w:rsidR="00442F56">
        <w:rPr>
          <w:rFonts w:asciiTheme="minorEastAsia" w:hAnsiTheme="minorEastAsia" w:hint="eastAsia"/>
          <w:szCs w:val="21"/>
        </w:rPr>
        <w:t>が</w:t>
      </w:r>
      <w:r w:rsidR="001D1FFB">
        <w:rPr>
          <w:rFonts w:asciiTheme="minorEastAsia" w:hAnsiTheme="minorEastAsia" w:hint="eastAsia"/>
          <w:szCs w:val="21"/>
        </w:rPr>
        <w:t>0.</w:t>
      </w:r>
      <w:r w:rsidR="00581634">
        <w:rPr>
          <w:rFonts w:asciiTheme="minorEastAsia" w:hAnsiTheme="minorEastAsia" w:hint="eastAsia"/>
          <w:szCs w:val="21"/>
        </w:rPr>
        <w:t>5拡大</w:t>
      </w:r>
      <w:r w:rsidR="008A6DCD">
        <w:rPr>
          <w:rFonts w:asciiTheme="minorEastAsia" w:hAnsiTheme="minorEastAsia" w:hint="eastAsia"/>
          <w:szCs w:val="21"/>
        </w:rPr>
        <w:t>し</w:t>
      </w:r>
      <w:r w:rsidR="0009578E">
        <w:rPr>
          <w:rFonts w:asciiTheme="minorEastAsia" w:hAnsiTheme="minorEastAsia" w:hint="eastAsia"/>
          <w:szCs w:val="21"/>
        </w:rPr>
        <w:t>－17.4となった</w:t>
      </w:r>
      <w:r w:rsidR="00473D4B">
        <w:rPr>
          <w:rFonts w:asciiTheme="minorEastAsia" w:hAnsiTheme="minorEastAsia" w:hint="eastAsia"/>
          <w:szCs w:val="21"/>
        </w:rPr>
        <w:t>。</w:t>
      </w:r>
      <w:r w:rsidR="00C63BB8">
        <w:rPr>
          <w:rFonts w:asciiTheme="minorEastAsia" w:hAnsiTheme="minorEastAsia" w:hint="eastAsia"/>
          <w:szCs w:val="21"/>
        </w:rPr>
        <w:t>全国及び近畿</w:t>
      </w:r>
      <w:r w:rsidR="00723E11">
        <w:rPr>
          <w:rFonts w:asciiTheme="minorEastAsia" w:hAnsiTheme="minorEastAsia" w:hint="eastAsia"/>
          <w:szCs w:val="21"/>
        </w:rPr>
        <w:t>と比較すると、</w:t>
      </w:r>
      <w:r w:rsidR="00581634">
        <w:rPr>
          <w:rFonts w:asciiTheme="minorEastAsia" w:hAnsiTheme="minorEastAsia" w:hint="eastAsia"/>
          <w:szCs w:val="21"/>
        </w:rPr>
        <w:t>全国よりややマイナス幅が小さく</w:t>
      </w:r>
      <w:r w:rsidR="00B765A4">
        <w:rPr>
          <w:rFonts w:asciiTheme="minorEastAsia" w:hAnsiTheme="minorEastAsia" w:hint="eastAsia"/>
          <w:szCs w:val="21"/>
        </w:rPr>
        <w:t>、</w:t>
      </w:r>
      <w:r w:rsidR="00581634">
        <w:rPr>
          <w:rFonts w:asciiTheme="minorEastAsia" w:hAnsiTheme="minorEastAsia" w:hint="eastAsia"/>
          <w:szCs w:val="21"/>
        </w:rPr>
        <w:t>近畿と</w:t>
      </w:r>
      <w:r w:rsidR="00B765A4">
        <w:rPr>
          <w:rFonts w:asciiTheme="minorEastAsia" w:hAnsiTheme="minorEastAsia" w:hint="eastAsia"/>
          <w:szCs w:val="21"/>
        </w:rPr>
        <w:t>ほぼ</w:t>
      </w:r>
      <w:r w:rsidR="00581634">
        <w:rPr>
          <w:rFonts w:asciiTheme="minorEastAsia" w:hAnsiTheme="minorEastAsia" w:hint="eastAsia"/>
          <w:szCs w:val="21"/>
        </w:rPr>
        <w:t>同水準</w:t>
      </w:r>
      <w:r w:rsidR="00B765A4">
        <w:rPr>
          <w:rFonts w:asciiTheme="minorEastAsia" w:hAnsiTheme="minorEastAsia" w:hint="eastAsia"/>
          <w:szCs w:val="21"/>
        </w:rPr>
        <w:t>となった。</w:t>
      </w:r>
      <w:r w:rsidR="00723E11">
        <w:rPr>
          <w:rFonts w:asciiTheme="minorEastAsia" w:hAnsiTheme="minorEastAsia" w:hint="eastAsia"/>
          <w:szCs w:val="21"/>
        </w:rPr>
        <w:t>また、</w:t>
      </w:r>
      <w:r w:rsidR="008E483F">
        <w:rPr>
          <w:rFonts w:asciiTheme="minorEastAsia" w:hAnsiTheme="minorEastAsia" w:hint="eastAsia"/>
          <w:szCs w:val="21"/>
        </w:rPr>
        <w:t>製造業</w:t>
      </w:r>
      <w:r w:rsidR="00581634">
        <w:rPr>
          <w:rFonts w:asciiTheme="minorEastAsia" w:hAnsiTheme="minorEastAsia" w:hint="eastAsia"/>
          <w:szCs w:val="21"/>
        </w:rPr>
        <w:t>は</w:t>
      </w:r>
      <w:r w:rsidR="0009578E">
        <w:rPr>
          <w:rFonts w:asciiTheme="minorEastAsia" w:hAnsiTheme="minorEastAsia" w:hint="eastAsia"/>
          <w:szCs w:val="21"/>
        </w:rPr>
        <w:t>、－14.3と全産業よりも</w:t>
      </w:r>
      <w:r w:rsidR="00723E11">
        <w:rPr>
          <w:rFonts w:asciiTheme="minorEastAsia" w:hAnsiTheme="minorEastAsia" w:hint="eastAsia"/>
          <w:szCs w:val="21"/>
        </w:rPr>
        <w:t>マイナス幅が</w:t>
      </w:r>
      <w:r w:rsidR="00F63566">
        <w:rPr>
          <w:rFonts w:asciiTheme="minorEastAsia" w:hAnsiTheme="minorEastAsia" w:hint="eastAsia"/>
          <w:szCs w:val="21"/>
        </w:rPr>
        <w:t>やや</w:t>
      </w:r>
      <w:r w:rsidR="00723E11">
        <w:rPr>
          <w:rFonts w:asciiTheme="minorEastAsia" w:hAnsiTheme="minorEastAsia" w:hint="eastAsia"/>
          <w:szCs w:val="21"/>
        </w:rPr>
        <w:t>小さいものの</w:t>
      </w:r>
      <w:r w:rsidR="0009578E">
        <w:rPr>
          <w:rFonts w:asciiTheme="minorEastAsia" w:hAnsiTheme="minorEastAsia" w:hint="eastAsia"/>
          <w:szCs w:val="21"/>
        </w:rPr>
        <w:t>、</w:t>
      </w:r>
      <w:r w:rsidR="00723E11">
        <w:rPr>
          <w:rFonts w:asciiTheme="minorEastAsia" w:hAnsiTheme="minorEastAsia" w:hint="eastAsia"/>
          <w:szCs w:val="21"/>
        </w:rPr>
        <w:t>前期差</w:t>
      </w:r>
      <w:r w:rsidR="00A5610D">
        <w:rPr>
          <w:rFonts w:asciiTheme="minorEastAsia" w:hAnsiTheme="minorEastAsia" w:hint="eastAsia"/>
          <w:szCs w:val="21"/>
        </w:rPr>
        <w:t>がマイナス</w:t>
      </w:r>
      <w:r w:rsidR="00723E11">
        <w:rPr>
          <w:rFonts w:asciiTheme="minorEastAsia" w:hAnsiTheme="minorEastAsia" w:hint="eastAsia"/>
          <w:szCs w:val="21"/>
        </w:rPr>
        <w:t>4.3と大きく、</w:t>
      </w:r>
      <w:r w:rsidR="0009578E">
        <w:rPr>
          <w:rFonts w:asciiTheme="minorEastAsia" w:hAnsiTheme="minorEastAsia" w:hint="eastAsia"/>
          <w:szCs w:val="21"/>
        </w:rPr>
        <w:t>一方、</w:t>
      </w:r>
      <w:r w:rsidR="00723E11">
        <w:rPr>
          <w:rFonts w:asciiTheme="minorEastAsia" w:hAnsiTheme="minorEastAsia" w:hint="eastAsia"/>
          <w:szCs w:val="21"/>
        </w:rPr>
        <w:t>非製造業では</w:t>
      </w:r>
      <w:r w:rsidR="0009578E">
        <w:rPr>
          <w:rFonts w:asciiTheme="minorEastAsia" w:hAnsiTheme="minorEastAsia" w:hint="eastAsia"/>
          <w:szCs w:val="21"/>
        </w:rPr>
        <w:t>、</w:t>
      </w:r>
      <w:r w:rsidR="00723E11">
        <w:rPr>
          <w:rFonts w:asciiTheme="minorEastAsia" w:hAnsiTheme="minorEastAsia" w:hint="eastAsia"/>
          <w:szCs w:val="21"/>
        </w:rPr>
        <w:t>前期差がプラスとなって推移</w:t>
      </w:r>
      <w:r w:rsidR="00C63BB8">
        <w:rPr>
          <w:rFonts w:asciiTheme="minorEastAsia" w:hAnsiTheme="minorEastAsia" w:hint="eastAsia"/>
          <w:szCs w:val="21"/>
        </w:rPr>
        <w:t>した。</w:t>
      </w:r>
    </w:p>
    <w:p w:rsidR="00A5610D" w:rsidRDefault="00E00D26" w:rsidP="00AD2511">
      <w:pPr>
        <w:ind w:firstLineChars="100" w:firstLine="210"/>
        <w:rPr>
          <w:rFonts w:asciiTheme="minorEastAsia" w:hAnsiTheme="minorEastAsia"/>
          <w:szCs w:val="21"/>
        </w:rPr>
      </w:pPr>
      <w:r w:rsidRPr="008F1BBB">
        <w:rPr>
          <w:rFonts w:asciiTheme="minorEastAsia" w:hAnsiTheme="minorEastAsia" w:hint="eastAsia"/>
          <w:szCs w:val="21"/>
        </w:rPr>
        <w:t>上記の推移を受けて、</w:t>
      </w:r>
      <w:r w:rsidR="00526EEB">
        <w:rPr>
          <w:rFonts w:asciiTheme="minorEastAsia" w:hAnsiTheme="minorEastAsia" w:hint="eastAsia"/>
          <w:szCs w:val="21"/>
        </w:rPr>
        <w:t>今期の</w:t>
      </w:r>
      <w:r w:rsidR="00CF5F87" w:rsidRPr="00DA011F">
        <w:rPr>
          <w:rFonts w:asciiTheme="minorEastAsia" w:hAnsiTheme="minorEastAsia" w:hint="eastAsia"/>
          <w:szCs w:val="21"/>
        </w:rPr>
        <w:t>全国</w:t>
      </w:r>
      <w:r w:rsidR="008E483F">
        <w:rPr>
          <w:rFonts w:asciiTheme="minorEastAsia" w:hAnsiTheme="minorEastAsia" w:hint="eastAsia"/>
          <w:szCs w:val="21"/>
        </w:rPr>
        <w:t>及び近畿</w:t>
      </w:r>
      <w:r w:rsidR="00CF5F87" w:rsidRPr="00DA011F">
        <w:rPr>
          <w:rFonts w:asciiTheme="minorEastAsia" w:hAnsiTheme="minorEastAsia" w:hint="eastAsia"/>
          <w:szCs w:val="21"/>
        </w:rPr>
        <w:t>の</w:t>
      </w:r>
      <w:r w:rsidR="004363A7">
        <w:rPr>
          <w:rFonts w:asciiTheme="minorEastAsia" w:hAnsiTheme="minorEastAsia" w:hint="eastAsia"/>
          <w:szCs w:val="21"/>
        </w:rPr>
        <w:t>中小企業の業況</w:t>
      </w:r>
      <w:r w:rsidR="00A80A05">
        <w:rPr>
          <w:rFonts w:asciiTheme="minorEastAsia" w:hAnsiTheme="minorEastAsia" w:hint="eastAsia"/>
          <w:szCs w:val="21"/>
        </w:rPr>
        <w:t>は</w:t>
      </w:r>
      <w:r w:rsidR="004363A7">
        <w:rPr>
          <w:rFonts w:asciiTheme="minorEastAsia" w:hAnsiTheme="minorEastAsia" w:hint="eastAsia"/>
          <w:szCs w:val="21"/>
        </w:rPr>
        <w:t>、</w:t>
      </w:r>
      <w:r w:rsidR="00CF5F87" w:rsidRPr="00DA011F">
        <w:rPr>
          <w:rFonts w:asciiTheme="minorEastAsia" w:hAnsiTheme="minorEastAsia" w:hint="eastAsia"/>
          <w:szCs w:val="21"/>
        </w:rPr>
        <w:t>「</w:t>
      </w:r>
      <w:r w:rsidR="008E483F">
        <w:rPr>
          <w:rFonts w:asciiTheme="minorEastAsia" w:hAnsiTheme="minorEastAsia" w:hint="eastAsia"/>
          <w:szCs w:val="21"/>
        </w:rPr>
        <w:t>持ち直しの動き</w:t>
      </w:r>
      <w:r w:rsidR="00442F56">
        <w:rPr>
          <w:rFonts w:asciiTheme="minorEastAsia" w:hAnsiTheme="minorEastAsia" w:hint="eastAsia"/>
          <w:szCs w:val="21"/>
        </w:rPr>
        <w:t>を示しているもの</w:t>
      </w:r>
      <w:r w:rsidR="008E483F">
        <w:rPr>
          <w:rFonts w:asciiTheme="minorEastAsia" w:hAnsiTheme="minorEastAsia" w:hint="eastAsia"/>
          <w:szCs w:val="21"/>
        </w:rPr>
        <w:t>の、</w:t>
      </w:r>
      <w:r w:rsidR="001D1FFB">
        <w:rPr>
          <w:rFonts w:asciiTheme="minorEastAsia" w:hAnsiTheme="minorEastAsia" w:hint="eastAsia"/>
          <w:szCs w:val="21"/>
        </w:rPr>
        <w:t>一部業種に</w:t>
      </w:r>
      <w:r w:rsidR="00442F56">
        <w:rPr>
          <w:rFonts w:asciiTheme="minorEastAsia" w:hAnsiTheme="minorEastAsia" w:hint="eastAsia"/>
          <w:szCs w:val="21"/>
        </w:rPr>
        <w:t>足踏みが</w:t>
      </w:r>
      <w:r w:rsidR="001D1FFB">
        <w:rPr>
          <w:rFonts w:asciiTheme="minorEastAsia" w:hAnsiTheme="minorEastAsia" w:hint="eastAsia"/>
          <w:szCs w:val="21"/>
        </w:rPr>
        <w:t>見られる</w:t>
      </w:r>
      <w:r w:rsidR="0033028F">
        <w:rPr>
          <w:rFonts w:asciiTheme="minorEastAsia" w:hAnsiTheme="minorEastAsia" w:hint="eastAsia"/>
          <w:szCs w:val="21"/>
        </w:rPr>
        <w:t>」</w:t>
      </w:r>
      <w:r w:rsidR="004363A7">
        <w:rPr>
          <w:rFonts w:asciiTheme="minorEastAsia" w:hAnsiTheme="minorEastAsia" w:hint="eastAsia"/>
          <w:szCs w:val="21"/>
        </w:rPr>
        <w:t>と</w:t>
      </w:r>
      <w:r w:rsidR="00723E11">
        <w:rPr>
          <w:rFonts w:asciiTheme="minorEastAsia" w:hAnsiTheme="minorEastAsia" w:hint="eastAsia"/>
          <w:szCs w:val="21"/>
        </w:rPr>
        <w:t>前期同様の</w:t>
      </w:r>
      <w:r w:rsidR="004363A7">
        <w:rPr>
          <w:rFonts w:asciiTheme="minorEastAsia" w:hAnsiTheme="minorEastAsia" w:hint="eastAsia"/>
          <w:szCs w:val="21"/>
        </w:rPr>
        <w:t>判断</w:t>
      </w:r>
      <w:r w:rsidR="00723E11">
        <w:rPr>
          <w:rFonts w:asciiTheme="minorEastAsia" w:hAnsiTheme="minorEastAsia" w:hint="eastAsia"/>
          <w:szCs w:val="21"/>
        </w:rPr>
        <w:t>となっている。</w:t>
      </w:r>
    </w:p>
    <w:p w:rsidR="00AD2511" w:rsidRPr="00271EE3" w:rsidRDefault="00844D50" w:rsidP="00AD2511">
      <w:pPr>
        <w:ind w:firstLineChars="100" w:firstLine="210"/>
        <w:rPr>
          <w:rFonts w:asciiTheme="minorEastAsia" w:hAnsiTheme="minorEastAsia"/>
          <w:szCs w:val="21"/>
        </w:rPr>
      </w:pPr>
      <w:r w:rsidRPr="00271EE3">
        <w:rPr>
          <w:rFonts w:asciiTheme="minorEastAsia" w:hAnsiTheme="minorEastAsia" w:hint="eastAsia"/>
          <w:szCs w:val="21"/>
        </w:rPr>
        <w:t>近畿の</w:t>
      </w:r>
      <w:r w:rsidR="00526EEB" w:rsidRPr="00271EE3">
        <w:rPr>
          <w:rFonts w:asciiTheme="minorEastAsia" w:hAnsiTheme="minorEastAsia" w:hint="eastAsia"/>
          <w:szCs w:val="21"/>
        </w:rPr>
        <w:t>各業種</w:t>
      </w:r>
      <w:r w:rsidR="00AB4608" w:rsidRPr="00271EE3">
        <w:rPr>
          <w:rFonts w:asciiTheme="minorEastAsia" w:hAnsiTheme="minorEastAsia" w:hint="eastAsia"/>
          <w:szCs w:val="21"/>
        </w:rPr>
        <w:t>の</w:t>
      </w:r>
      <w:r w:rsidR="004363A7" w:rsidRPr="00271EE3">
        <w:rPr>
          <w:rFonts w:asciiTheme="minorEastAsia" w:hAnsiTheme="minorEastAsia" w:hint="eastAsia"/>
          <w:szCs w:val="21"/>
        </w:rPr>
        <w:t>業況</w:t>
      </w:r>
      <w:r w:rsidR="00AD2511" w:rsidRPr="00271EE3">
        <w:rPr>
          <w:rFonts w:asciiTheme="minorEastAsia" w:hAnsiTheme="minorEastAsia" w:hint="eastAsia"/>
          <w:szCs w:val="21"/>
        </w:rPr>
        <w:t>判断</w:t>
      </w:r>
      <w:r w:rsidR="004363A7" w:rsidRPr="00271EE3">
        <w:rPr>
          <w:rFonts w:asciiTheme="minorEastAsia" w:hAnsiTheme="minorEastAsia" w:hint="eastAsia"/>
          <w:szCs w:val="21"/>
        </w:rPr>
        <w:t>は</w:t>
      </w:r>
      <w:r w:rsidR="00D10CBE" w:rsidRPr="00271EE3">
        <w:rPr>
          <w:rFonts w:asciiTheme="minorEastAsia" w:hAnsiTheme="minorEastAsia" w:hint="eastAsia"/>
          <w:szCs w:val="21"/>
        </w:rPr>
        <w:t>、</w:t>
      </w:r>
      <w:r w:rsidR="00827C22" w:rsidRPr="00827C22">
        <w:rPr>
          <w:rFonts w:asciiTheme="minorEastAsia" w:hAnsiTheme="minorEastAsia" w:hint="eastAsia"/>
          <w:szCs w:val="21"/>
        </w:rPr>
        <w:t>マイナスからプラスの水準に転じた</w:t>
      </w:r>
      <w:r w:rsidR="00827C22">
        <w:rPr>
          <w:rFonts w:asciiTheme="minorEastAsia" w:hAnsiTheme="minorEastAsia" w:hint="eastAsia"/>
          <w:szCs w:val="21"/>
        </w:rPr>
        <w:t>の</w:t>
      </w:r>
      <w:r w:rsidR="005023F0">
        <w:rPr>
          <w:rFonts w:asciiTheme="minorEastAsia" w:hAnsiTheme="minorEastAsia" w:hint="eastAsia"/>
          <w:szCs w:val="21"/>
        </w:rPr>
        <w:t>が</w:t>
      </w:r>
      <w:r w:rsidR="00D3475A">
        <w:rPr>
          <w:rFonts w:asciiTheme="minorEastAsia" w:hAnsiTheme="minorEastAsia" w:hint="eastAsia"/>
          <w:szCs w:val="21"/>
        </w:rPr>
        <w:t>、</w:t>
      </w:r>
      <w:r w:rsidR="00C63BB8">
        <w:rPr>
          <w:rFonts w:asciiTheme="minorEastAsia" w:hAnsiTheme="minorEastAsia" w:hint="eastAsia"/>
          <w:szCs w:val="21"/>
        </w:rPr>
        <w:t>パルプ･紙・紙加工品</w:t>
      </w:r>
      <w:r w:rsidR="00827C22">
        <w:rPr>
          <w:rFonts w:asciiTheme="minorEastAsia" w:hAnsiTheme="minorEastAsia" w:hint="eastAsia"/>
          <w:szCs w:val="21"/>
        </w:rPr>
        <w:t>（前期差10.1）</w:t>
      </w:r>
      <w:r w:rsidR="002D6ABD">
        <w:rPr>
          <w:rFonts w:asciiTheme="minorEastAsia" w:hAnsiTheme="minorEastAsia" w:hint="eastAsia"/>
          <w:szCs w:val="21"/>
        </w:rPr>
        <w:t>、</w:t>
      </w:r>
      <w:r w:rsidR="00723E11">
        <w:rPr>
          <w:rFonts w:asciiTheme="minorEastAsia" w:hAnsiTheme="minorEastAsia" w:hint="eastAsia"/>
          <w:szCs w:val="21"/>
        </w:rPr>
        <w:t>化学</w:t>
      </w:r>
      <w:r w:rsidR="00827C22">
        <w:rPr>
          <w:rFonts w:asciiTheme="minorEastAsia" w:hAnsiTheme="minorEastAsia" w:hint="eastAsia"/>
          <w:szCs w:val="21"/>
        </w:rPr>
        <w:t>（11.0）</w:t>
      </w:r>
      <w:r w:rsidR="00723E11">
        <w:rPr>
          <w:rFonts w:asciiTheme="minorEastAsia" w:hAnsiTheme="minorEastAsia" w:hint="eastAsia"/>
          <w:szCs w:val="21"/>
        </w:rPr>
        <w:t>、情報</w:t>
      </w:r>
      <w:r w:rsidR="002D6ABD">
        <w:rPr>
          <w:rFonts w:asciiTheme="minorEastAsia" w:hAnsiTheme="minorEastAsia" w:hint="eastAsia"/>
          <w:szCs w:val="21"/>
        </w:rPr>
        <w:t>通信･広告</w:t>
      </w:r>
      <w:r w:rsidR="00827C22">
        <w:rPr>
          <w:rFonts w:asciiTheme="minorEastAsia" w:hAnsiTheme="minorEastAsia" w:hint="eastAsia"/>
          <w:szCs w:val="21"/>
        </w:rPr>
        <w:t>（8.4）、</w:t>
      </w:r>
      <w:r w:rsidR="00827C22" w:rsidRPr="00827C22">
        <w:rPr>
          <w:rFonts w:asciiTheme="minorEastAsia" w:hAnsiTheme="minorEastAsia" w:hint="eastAsia"/>
          <w:szCs w:val="21"/>
        </w:rPr>
        <w:t>マイナス幅が縮小したの</w:t>
      </w:r>
      <w:r w:rsidR="005023F0">
        <w:rPr>
          <w:rFonts w:asciiTheme="minorEastAsia" w:hAnsiTheme="minorEastAsia" w:hint="eastAsia"/>
          <w:szCs w:val="21"/>
        </w:rPr>
        <w:t>が</w:t>
      </w:r>
      <w:r w:rsidR="00D3475A">
        <w:rPr>
          <w:rFonts w:asciiTheme="minorEastAsia" w:hAnsiTheme="minorEastAsia" w:hint="eastAsia"/>
          <w:szCs w:val="21"/>
        </w:rPr>
        <w:t>、</w:t>
      </w:r>
      <w:r w:rsidR="00827C22" w:rsidRPr="00827C22">
        <w:rPr>
          <w:rFonts w:asciiTheme="minorEastAsia" w:hAnsiTheme="minorEastAsia" w:hint="eastAsia"/>
          <w:szCs w:val="21"/>
        </w:rPr>
        <w:t>木材･木製品（前期差24.2）、</w:t>
      </w:r>
      <w:r w:rsidR="00827C22">
        <w:rPr>
          <w:rFonts w:asciiTheme="minorEastAsia" w:hAnsiTheme="minorEastAsia" w:hint="eastAsia"/>
          <w:szCs w:val="21"/>
        </w:rPr>
        <w:t>電気･情報通信機械･電子部品（21.8）、建設業（6.9）、対個人サービス業（7.5）、</w:t>
      </w:r>
      <w:r w:rsidRPr="00F153B1">
        <w:rPr>
          <w:rFonts w:asciiTheme="minorEastAsia" w:hAnsiTheme="minorEastAsia" w:hint="eastAsia"/>
          <w:szCs w:val="21"/>
        </w:rPr>
        <w:t>マイナ</w:t>
      </w:r>
      <w:r w:rsidRPr="00F153B1">
        <w:rPr>
          <w:rFonts w:asciiTheme="minorEastAsia" w:hAnsiTheme="minorEastAsia" w:hint="eastAsia"/>
          <w:szCs w:val="21"/>
        </w:rPr>
        <w:lastRenderedPageBreak/>
        <w:t>ス</w:t>
      </w:r>
      <w:r w:rsidR="00D118DA" w:rsidRPr="00F153B1">
        <w:rPr>
          <w:rFonts w:asciiTheme="minorEastAsia" w:hAnsiTheme="minorEastAsia" w:hint="eastAsia"/>
          <w:szCs w:val="21"/>
        </w:rPr>
        <w:t>幅</w:t>
      </w:r>
      <w:r w:rsidR="00260FE1" w:rsidRPr="00F153B1">
        <w:rPr>
          <w:rFonts w:asciiTheme="minorEastAsia" w:hAnsiTheme="minorEastAsia" w:hint="eastAsia"/>
          <w:szCs w:val="21"/>
        </w:rPr>
        <w:t>が拡大したの</w:t>
      </w:r>
      <w:r w:rsidR="005023F0">
        <w:rPr>
          <w:rFonts w:asciiTheme="minorEastAsia" w:hAnsiTheme="minorEastAsia" w:hint="eastAsia"/>
          <w:szCs w:val="21"/>
        </w:rPr>
        <w:t>が</w:t>
      </w:r>
      <w:r w:rsidR="00D3475A">
        <w:rPr>
          <w:rFonts w:asciiTheme="minorEastAsia" w:hAnsiTheme="minorEastAsia" w:hint="eastAsia"/>
          <w:szCs w:val="21"/>
        </w:rPr>
        <w:t>、</w:t>
      </w:r>
      <w:r w:rsidR="00723E11">
        <w:rPr>
          <w:rFonts w:asciiTheme="minorEastAsia" w:hAnsiTheme="minorEastAsia" w:hint="eastAsia"/>
          <w:szCs w:val="21"/>
        </w:rPr>
        <w:t>家具･装備品（前期差</w:t>
      </w:r>
      <w:r w:rsidR="00827C22">
        <w:rPr>
          <w:rFonts w:asciiTheme="minorEastAsia" w:hAnsiTheme="minorEastAsia" w:hint="eastAsia"/>
          <w:szCs w:val="21"/>
        </w:rPr>
        <w:t>▲27.6</w:t>
      </w:r>
      <w:r w:rsidR="00723E11">
        <w:rPr>
          <w:rFonts w:asciiTheme="minorEastAsia" w:hAnsiTheme="minorEastAsia" w:hint="eastAsia"/>
          <w:szCs w:val="21"/>
        </w:rPr>
        <w:t>）</w:t>
      </w:r>
      <w:r w:rsidR="00827C22">
        <w:rPr>
          <w:rFonts w:asciiTheme="minorEastAsia" w:hAnsiTheme="minorEastAsia" w:hint="eastAsia"/>
          <w:szCs w:val="21"/>
        </w:rPr>
        <w:t>、輸送用機械器具（▲6.6）、飲食･宿泊業（▲9.9）</w:t>
      </w:r>
      <w:r w:rsidR="00271EE3" w:rsidRPr="00271EE3">
        <w:rPr>
          <w:rFonts w:asciiTheme="minorEastAsia" w:hAnsiTheme="minorEastAsia" w:hint="eastAsia"/>
          <w:szCs w:val="21"/>
        </w:rPr>
        <w:t>など</w:t>
      </w:r>
      <w:r w:rsidR="00827C22">
        <w:rPr>
          <w:rFonts w:asciiTheme="minorEastAsia" w:hAnsiTheme="minorEastAsia" w:hint="eastAsia"/>
          <w:szCs w:val="21"/>
        </w:rPr>
        <w:t>で</w:t>
      </w:r>
      <w:r w:rsidR="00271EE3" w:rsidRPr="00271EE3">
        <w:rPr>
          <w:rFonts w:asciiTheme="minorEastAsia" w:hAnsiTheme="minorEastAsia" w:hint="eastAsia"/>
          <w:szCs w:val="21"/>
        </w:rPr>
        <w:t>、</w:t>
      </w:r>
      <w:r w:rsidR="00BD7663">
        <w:rPr>
          <w:rFonts w:asciiTheme="minorEastAsia" w:hAnsiTheme="minorEastAsia" w:hint="eastAsia"/>
          <w:szCs w:val="21"/>
        </w:rPr>
        <w:t>マイナス幅が大きく</w:t>
      </w:r>
      <w:r w:rsidR="00D118DA">
        <w:rPr>
          <w:rFonts w:asciiTheme="minorEastAsia" w:hAnsiTheme="minorEastAsia" w:hint="eastAsia"/>
          <w:szCs w:val="21"/>
        </w:rPr>
        <w:t>足踏み</w:t>
      </w:r>
      <w:r w:rsidR="005023F0">
        <w:rPr>
          <w:rFonts w:asciiTheme="minorEastAsia" w:hAnsiTheme="minorEastAsia" w:hint="eastAsia"/>
          <w:szCs w:val="21"/>
        </w:rPr>
        <w:t>である</w:t>
      </w:r>
      <w:r w:rsidR="00D118DA">
        <w:rPr>
          <w:rFonts w:asciiTheme="minorEastAsia" w:hAnsiTheme="minorEastAsia" w:hint="eastAsia"/>
          <w:szCs w:val="21"/>
        </w:rPr>
        <w:t>のは、繊維工業（</w:t>
      </w:r>
      <w:r w:rsidR="00F72293">
        <w:rPr>
          <w:rFonts w:asciiTheme="minorEastAsia" w:hAnsiTheme="minorEastAsia" w:hint="eastAsia"/>
          <w:szCs w:val="21"/>
        </w:rPr>
        <w:t>今期</w:t>
      </w:r>
      <w:r w:rsidR="00D118DA">
        <w:rPr>
          <w:rFonts w:asciiTheme="minorEastAsia" w:hAnsiTheme="minorEastAsia" w:hint="eastAsia"/>
          <w:szCs w:val="21"/>
        </w:rPr>
        <w:t>▲21.</w:t>
      </w:r>
      <w:r w:rsidR="00BD7663">
        <w:rPr>
          <w:rFonts w:asciiTheme="minorEastAsia" w:hAnsiTheme="minorEastAsia" w:hint="eastAsia"/>
          <w:szCs w:val="21"/>
        </w:rPr>
        <w:t>7</w:t>
      </w:r>
      <w:r w:rsidR="00D118DA">
        <w:rPr>
          <w:rFonts w:asciiTheme="minorEastAsia" w:hAnsiTheme="minorEastAsia" w:hint="eastAsia"/>
          <w:szCs w:val="21"/>
        </w:rPr>
        <w:t>）、印刷（▲1</w:t>
      </w:r>
      <w:r w:rsidR="00BD7663">
        <w:rPr>
          <w:rFonts w:asciiTheme="minorEastAsia" w:hAnsiTheme="minorEastAsia" w:hint="eastAsia"/>
          <w:szCs w:val="21"/>
        </w:rPr>
        <w:t>6.2</w:t>
      </w:r>
      <w:r w:rsidR="00D118DA">
        <w:rPr>
          <w:rFonts w:asciiTheme="minorEastAsia" w:hAnsiTheme="minorEastAsia" w:hint="eastAsia"/>
          <w:szCs w:val="21"/>
        </w:rPr>
        <w:t>）、</w:t>
      </w:r>
      <w:r w:rsidR="00A5610D">
        <w:rPr>
          <w:rFonts w:asciiTheme="minorEastAsia" w:hAnsiTheme="minorEastAsia" w:hint="eastAsia"/>
          <w:szCs w:val="21"/>
        </w:rPr>
        <w:t>窯業･土石製品（▲18.3）、</w:t>
      </w:r>
      <w:r w:rsidR="00A579C1">
        <w:rPr>
          <w:rFonts w:asciiTheme="minorEastAsia" w:hAnsiTheme="minorEastAsia" w:hint="eastAsia"/>
          <w:szCs w:val="21"/>
        </w:rPr>
        <w:t>鉄鋼･非鉄金属</w:t>
      </w:r>
      <w:r w:rsidR="002D6ABD">
        <w:rPr>
          <w:rFonts w:asciiTheme="minorEastAsia" w:hAnsiTheme="minorEastAsia" w:hint="eastAsia"/>
          <w:szCs w:val="21"/>
        </w:rPr>
        <w:t>（▲</w:t>
      </w:r>
      <w:r w:rsidR="00BD7663">
        <w:rPr>
          <w:rFonts w:asciiTheme="minorEastAsia" w:hAnsiTheme="minorEastAsia" w:hint="eastAsia"/>
          <w:szCs w:val="21"/>
        </w:rPr>
        <w:t>25.8</w:t>
      </w:r>
      <w:r w:rsidR="002D6ABD">
        <w:rPr>
          <w:rFonts w:asciiTheme="minorEastAsia" w:hAnsiTheme="minorEastAsia" w:hint="eastAsia"/>
          <w:szCs w:val="21"/>
        </w:rPr>
        <w:t>）、小売業（▲2</w:t>
      </w:r>
      <w:r w:rsidR="00A579C1">
        <w:rPr>
          <w:rFonts w:asciiTheme="minorEastAsia" w:hAnsiTheme="minorEastAsia" w:hint="eastAsia"/>
          <w:szCs w:val="21"/>
        </w:rPr>
        <w:t>9.9</w:t>
      </w:r>
      <w:r w:rsidR="002D6ABD">
        <w:rPr>
          <w:rFonts w:asciiTheme="minorEastAsia" w:hAnsiTheme="minorEastAsia" w:hint="eastAsia"/>
          <w:szCs w:val="21"/>
        </w:rPr>
        <w:t>）</w:t>
      </w:r>
      <w:r w:rsidR="00A579C1">
        <w:rPr>
          <w:rFonts w:asciiTheme="minorEastAsia" w:hAnsiTheme="minorEastAsia" w:hint="eastAsia"/>
          <w:szCs w:val="21"/>
        </w:rPr>
        <w:t>など</w:t>
      </w:r>
      <w:r w:rsidR="002D6ABD">
        <w:rPr>
          <w:rFonts w:asciiTheme="minorEastAsia" w:hAnsiTheme="minorEastAsia" w:hint="eastAsia"/>
          <w:szCs w:val="21"/>
        </w:rPr>
        <w:t>である</w:t>
      </w:r>
      <w:r w:rsidR="00271EE3">
        <w:rPr>
          <w:rFonts w:asciiTheme="minorEastAsia" w:hAnsiTheme="minorEastAsia" w:hint="eastAsia"/>
          <w:szCs w:val="21"/>
        </w:rPr>
        <w:t>。</w:t>
      </w:r>
    </w:p>
    <w:p w:rsidR="00133527" w:rsidRDefault="00E157ED" w:rsidP="00681CA8">
      <w:pPr>
        <w:ind w:firstLineChars="100" w:firstLine="210"/>
        <w:rPr>
          <w:rFonts w:asciiTheme="minorEastAsia" w:hAnsiTheme="minorEastAsia"/>
          <w:szCs w:val="21"/>
        </w:rPr>
      </w:pPr>
      <w:r>
        <w:rPr>
          <w:rFonts w:asciiTheme="minorEastAsia" w:hAnsiTheme="minorEastAsia" w:hint="eastAsia"/>
          <w:szCs w:val="21"/>
        </w:rPr>
        <w:t>経営上の問題点は、前期に続</w:t>
      </w:r>
      <w:r w:rsidR="00604EA5">
        <w:rPr>
          <w:rFonts w:asciiTheme="minorEastAsia" w:hAnsiTheme="minorEastAsia" w:hint="eastAsia"/>
          <w:szCs w:val="21"/>
        </w:rPr>
        <w:t>いて、</w:t>
      </w:r>
      <w:r w:rsidR="000F659A">
        <w:rPr>
          <w:rFonts w:asciiTheme="minorEastAsia" w:hAnsiTheme="minorEastAsia" w:hint="eastAsia"/>
          <w:szCs w:val="21"/>
        </w:rPr>
        <w:t>需要の</w:t>
      </w:r>
      <w:r w:rsidR="00AD2511">
        <w:rPr>
          <w:rFonts w:asciiTheme="minorEastAsia" w:hAnsiTheme="minorEastAsia" w:hint="eastAsia"/>
          <w:szCs w:val="21"/>
        </w:rPr>
        <w:t>停滞</w:t>
      </w:r>
      <w:r>
        <w:rPr>
          <w:rFonts w:asciiTheme="minorEastAsia" w:hAnsiTheme="minorEastAsia" w:hint="eastAsia"/>
          <w:szCs w:val="21"/>
        </w:rPr>
        <w:t>、</w:t>
      </w:r>
      <w:r w:rsidR="000F659A">
        <w:rPr>
          <w:rFonts w:asciiTheme="minorEastAsia" w:hAnsiTheme="minorEastAsia" w:hint="eastAsia"/>
          <w:szCs w:val="21"/>
        </w:rPr>
        <w:t>原材料価格</w:t>
      </w:r>
      <w:r w:rsidR="000767D3">
        <w:rPr>
          <w:rFonts w:asciiTheme="minorEastAsia" w:hAnsiTheme="minorEastAsia" w:hint="eastAsia"/>
          <w:szCs w:val="21"/>
        </w:rPr>
        <w:t>や</w:t>
      </w:r>
      <w:r w:rsidR="000F659A">
        <w:rPr>
          <w:rFonts w:asciiTheme="minorEastAsia" w:hAnsiTheme="minorEastAsia" w:hint="eastAsia"/>
          <w:szCs w:val="21"/>
        </w:rPr>
        <w:t>仕入単価の上昇などが、全業種に共通してみられ</w:t>
      </w:r>
      <w:r w:rsidR="00681CA8">
        <w:rPr>
          <w:rFonts w:asciiTheme="minorEastAsia" w:hAnsiTheme="minorEastAsia" w:hint="eastAsia"/>
          <w:szCs w:val="21"/>
        </w:rPr>
        <w:t>た</w:t>
      </w:r>
      <w:r w:rsidR="000F659A">
        <w:rPr>
          <w:rFonts w:asciiTheme="minorEastAsia" w:hAnsiTheme="minorEastAsia" w:hint="eastAsia"/>
          <w:szCs w:val="21"/>
        </w:rPr>
        <w:t>。</w:t>
      </w:r>
    </w:p>
    <w:p w:rsidR="0009578E" w:rsidRPr="005023F0" w:rsidRDefault="0009578E" w:rsidP="005023F0">
      <w:pPr>
        <w:snapToGrid w:val="0"/>
        <w:ind w:firstLineChars="100" w:firstLine="210"/>
        <w:rPr>
          <w:rFonts w:asciiTheme="minorEastAsia" w:hAnsiTheme="minorEastAsia"/>
          <w:szCs w:val="21"/>
        </w:rPr>
      </w:pPr>
    </w:p>
    <w:p w:rsidR="003347A5" w:rsidRPr="00647ABE" w:rsidRDefault="003347A5" w:rsidP="00006465">
      <w:pPr>
        <w:ind w:leftChars="-50" w:left="-105" w:rightChars="-50" w:right="-105"/>
        <w:jc w:val="center"/>
        <w:rPr>
          <w:rFonts w:asciiTheme="majorEastAsia" w:eastAsiaTheme="majorEastAsia" w:hAnsiTheme="majorEastAsia"/>
          <w:szCs w:val="21"/>
        </w:rPr>
      </w:pPr>
      <w:r w:rsidRPr="00647ABE">
        <w:rPr>
          <w:rFonts w:asciiTheme="majorEastAsia" w:eastAsiaTheme="majorEastAsia" w:hAnsiTheme="majorEastAsia" w:hint="eastAsia"/>
          <w:szCs w:val="21"/>
        </w:rPr>
        <w:t>表１</w:t>
      </w:r>
      <w:r w:rsidR="00006465">
        <w:rPr>
          <w:rFonts w:asciiTheme="majorEastAsia" w:eastAsiaTheme="majorEastAsia" w:hAnsiTheme="majorEastAsia" w:hint="eastAsia"/>
          <w:szCs w:val="21"/>
        </w:rPr>
        <w:t xml:space="preserve"> </w:t>
      </w:r>
      <w:r w:rsidR="00A5610D">
        <w:rPr>
          <w:rFonts w:asciiTheme="majorEastAsia" w:eastAsiaTheme="majorEastAsia" w:hAnsiTheme="majorEastAsia" w:hint="eastAsia"/>
          <w:szCs w:val="21"/>
        </w:rPr>
        <w:t>４</w:t>
      </w:r>
      <w:r w:rsidR="00792675" w:rsidRPr="00647ABE">
        <w:rPr>
          <w:rFonts w:asciiTheme="majorEastAsia" w:eastAsiaTheme="majorEastAsia" w:hAnsiTheme="majorEastAsia" w:hint="eastAsia"/>
          <w:szCs w:val="21"/>
        </w:rPr>
        <w:t>～</w:t>
      </w:r>
      <w:r w:rsidR="00A5610D">
        <w:rPr>
          <w:rFonts w:asciiTheme="majorEastAsia" w:eastAsiaTheme="majorEastAsia" w:hAnsiTheme="majorEastAsia" w:hint="eastAsia"/>
          <w:szCs w:val="21"/>
        </w:rPr>
        <w:t>６</w:t>
      </w:r>
      <w:r w:rsidR="00792675" w:rsidRPr="00647ABE">
        <w:rPr>
          <w:rFonts w:asciiTheme="majorEastAsia" w:eastAsiaTheme="majorEastAsia" w:hAnsiTheme="majorEastAsia" w:hint="eastAsia"/>
          <w:szCs w:val="21"/>
        </w:rPr>
        <w:t>月期</w:t>
      </w:r>
      <w:r w:rsidR="00792675">
        <w:rPr>
          <w:rFonts w:asciiTheme="majorEastAsia" w:eastAsiaTheme="majorEastAsia" w:hAnsiTheme="majorEastAsia" w:hint="eastAsia"/>
          <w:szCs w:val="21"/>
        </w:rPr>
        <w:t>の</w:t>
      </w:r>
      <w:r w:rsidRPr="00647ABE">
        <w:rPr>
          <w:rFonts w:asciiTheme="majorEastAsia" w:eastAsiaTheme="majorEastAsia" w:hAnsiTheme="majorEastAsia" w:hint="eastAsia"/>
          <w:szCs w:val="21"/>
        </w:rPr>
        <w:t>中小企業の業況判断ＤＩ</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8"/>
        <w:gridCol w:w="1028"/>
        <w:gridCol w:w="1029"/>
      </w:tblGrid>
      <w:tr w:rsidR="005B16EE" w:rsidTr="005C1B2A">
        <w:trPr>
          <w:trHeight w:val="135"/>
        </w:trPr>
        <w:tc>
          <w:tcPr>
            <w:tcW w:w="1248" w:type="pct"/>
            <w:tcBorders>
              <w:top w:val="nil"/>
              <w:left w:val="nil"/>
              <w:bottom w:val="nil"/>
            </w:tcBorders>
            <w:shd w:val="clear" w:color="auto" w:fill="FFFFFF" w:themeFill="background1"/>
          </w:tcPr>
          <w:p w:rsidR="005B16EE" w:rsidRPr="00006465" w:rsidRDefault="005B16EE" w:rsidP="005B16EE">
            <w:pPr>
              <w:snapToGrid w:val="0"/>
              <w:jc w:val="left"/>
              <w:rPr>
                <w:rFonts w:asciiTheme="minorEastAsia" w:hAnsiTheme="minorEastAsia"/>
                <w:sz w:val="18"/>
                <w:szCs w:val="18"/>
              </w:rPr>
            </w:pPr>
          </w:p>
        </w:tc>
        <w:tc>
          <w:tcPr>
            <w:tcW w:w="3752" w:type="pct"/>
            <w:gridSpan w:val="3"/>
            <w:shd w:val="clear" w:color="auto" w:fill="B8CCE4" w:themeFill="accent1" w:themeFillTint="66"/>
          </w:tcPr>
          <w:p w:rsidR="005B16EE" w:rsidRPr="002E3677" w:rsidRDefault="005B16EE" w:rsidP="00CA5E87">
            <w:pPr>
              <w:snapToGrid w:val="0"/>
              <w:jc w:val="center"/>
              <w:rPr>
                <w:rFonts w:asciiTheme="minorEastAsia" w:hAnsiTheme="minorEastAsia"/>
                <w:sz w:val="18"/>
                <w:szCs w:val="18"/>
              </w:rPr>
            </w:pPr>
            <w:r w:rsidRPr="002E3677">
              <w:rPr>
                <w:rFonts w:asciiTheme="minorEastAsia" w:hAnsiTheme="minorEastAsia" w:hint="eastAsia"/>
                <w:sz w:val="18"/>
                <w:szCs w:val="18"/>
              </w:rPr>
              <w:t>業況判断ＤＩ（前期</w:t>
            </w:r>
            <w:r w:rsidR="00CA5E87">
              <w:rPr>
                <w:rFonts w:asciiTheme="minorEastAsia" w:hAnsiTheme="minorEastAsia" w:hint="eastAsia"/>
                <w:sz w:val="18"/>
                <w:szCs w:val="18"/>
              </w:rPr>
              <w:t>差</w:t>
            </w:r>
            <w:r w:rsidRPr="002E3677">
              <w:rPr>
                <w:rFonts w:asciiTheme="minorEastAsia" w:hAnsiTheme="minorEastAsia" w:hint="eastAsia"/>
                <w:sz w:val="18"/>
                <w:szCs w:val="18"/>
              </w:rPr>
              <w:t>）</w:t>
            </w:r>
          </w:p>
        </w:tc>
      </w:tr>
      <w:tr w:rsidR="005B16EE" w:rsidTr="005C1B2A">
        <w:trPr>
          <w:trHeight w:val="142"/>
        </w:trPr>
        <w:tc>
          <w:tcPr>
            <w:tcW w:w="1248" w:type="pct"/>
            <w:tcBorders>
              <w:top w:val="nil"/>
              <w:left w:val="nil"/>
            </w:tcBorders>
            <w:shd w:val="clear" w:color="auto" w:fill="FFFFFF" w:themeFill="background1"/>
            <w:vAlign w:val="center"/>
          </w:tcPr>
          <w:p w:rsidR="00F6402D" w:rsidRPr="002E3677" w:rsidRDefault="00F6402D" w:rsidP="005B16EE">
            <w:pPr>
              <w:snapToGrid w:val="0"/>
              <w:rPr>
                <w:rFonts w:asciiTheme="minorEastAsia" w:hAnsiTheme="minorEastAsia"/>
                <w:sz w:val="18"/>
                <w:szCs w:val="18"/>
              </w:rPr>
            </w:pP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全国</w:t>
            </w:r>
          </w:p>
        </w:tc>
        <w:tc>
          <w:tcPr>
            <w:tcW w:w="1250"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近畿</w:t>
            </w:r>
          </w:p>
        </w:tc>
        <w:tc>
          <w:tcPr>
            <w:tcW w:w="1252" w:type="pct"/>
            <w:shd w:val="clear" w:color="auto" w:fill="B8CCE4" w:themeFill="accent1" w:themeFillTint="66"/>
          </w:tcPr>
          <w:p w:rsidR="00F6402D" w:rsidRPr="002E3677" w:rsidRDefault="00F6402D" w:rsidP="005B16EE">
            <w:pPr>
              <w:snapToGrid w:val="0"/>
              <w:jc w:val="center"/>
              <w:rPr>
                <w:rFonts w:asciiTheme="minorEastAsia" w:hAnsiTheme="minorEastAsia"/>
                <w:sz w:val="18"/>
                <w:szCs w:val="18"/>
              </w:rPr>
            </w:pPr>
            <w:r w:rsidRPr="002E3677">
              <w:rPr>
                <w:rFonts w:asciiTheme="minorEastAsia" w:hAnsiTheme="minorEastAsia" w:hint="eastAsia"/>
                <w:sz w:val="18"/>
                <w:szCs w:val="18"/>
              </w:rPr>
              <w:t>大阪府</w:t>
            </w:r>
          </w:p>
        </w:tc>
      </w:tr>
      <w:tr w:rsidR="003347A5" w:rsidTr="005C1B2A">
        <w:trPr>
          <w:trHeight w:val="127"/>
        </w:trPr>
        <w:tc>
          <w:tcPr>
            <w:tcW w:w="1248" w:type="pct"/>
            <w:shd w:val="clear" w:color="auto" w:fill="B8CCE4" w:themeFill="accent1" w:themeFillTint="66"/>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全産業</w:t>
            </w:r>
          </w:p>
        </w:tc>
        <w:tc>
          <w:tcPr>
            <w:tcW w:w="1250" w:type="pct"/>
          </w:tcPr>
          <w:p w:rsidR="00006465"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581634">
              <w:rPr>
                <w:rFonts w:asciiTheme="minorEastAsia" w:hAnsiTheme="minorEastAsia" w:hint="eastAsia"/>
                <w:sz w:val="18"/>
                <w:szCs w:val="18"/>
              </w:rPr>
              <w:t>18.7</w:t>
            </w:r>
            <w:r w:rsidR="00006465">
              <w:rPr>
                <w:rFonts w:asciiTheme="minorEastAsia" w:hAnsiTheme="minorEastAsia" w:hint="eastAsia"/>
                <w:sz w:val="18"/>
                <w:szCs w:val="18"/>
              </w:rPr>
              <w:t xml:space="preserve"> </w:t>
            </w:r>
          </w:p>
          <w:p w:rsidR="00F6402D" w:rsidRPr="002E3677" w:rsidRDefault="005B16EE" w:rsidP="00581634">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581634">
              <w:rPr>
                <w:rFonts w:asciiTheme="minorEastAsia" w:hAnsiTheme="minorEastAsia" w:hint="eastAsia"/>
                <w:sz w:val="18"/>
                <w:szCs w:val="18"/>
              </w:rPr>
              <w:t>▲0.9</w:t>
            </w:r>
            <w:r w:rsidRPr="002E3677">
              <w:rPr>
                <w:rFonts w:asciiTheme="minorEastAsia" w:hAnsiTheme="minorEastAsia" w:hint="eastAsia"/>
                <w:sz w:val="18"/>
                <w:szCs w:val="18"/>
              </w:rPr>
              <w:t>)</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CA5E87">
              <w:rPr>
                <w:rFonts w:asciiTheme="minorEastAsia" w:hAnsiTheme="minorEastAsia" w:hint="eastAsia"/>
                <w:sz w:val="18"/>
                <w:szCs w:val="18"/>
              </w:rPr>
              <w:t>1</w:t>
            </w:r>
            <w:r w:rsidR="007331FB">
              <w:rPr>
                <w:rFonts w:asciiTheme="minorEastAsia" w:hAnsiTheme="minorEastAsia" w:hint="eastAsia"/>
                <w:sz w:val="18"/>
                <w:szCs w:val="18"/>
              </w:rPr>
              <w:t>7.</w:t>
            </w:r>
            <w:r w:rsidR="00581634">
              <w:rPr>
                <w:rFonts w:asciiTheme="minorEastAsia" w:hAnsiTheme="minorEastAsia" w:hint="eastAsia"/>
                <w:sz w:val="18"/>
                <w:szCs w:val="18"/>
              </w:rPr>
              <w:t>6</w:t>
            </w:r>
          </w:p>
          <w:p w:rsidR="000F659A" w:rsidRPr="002E3677" w:rsidRDefault="005B16EE" w:rsidP="00581634">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581634">
              <w:rPr>
                <w:rFonts w:asciiTheme="minorEastAsia" w:hAnsiTheme="minorEastAsia" w:hint="eastAsia"/>
                <w:sz w:val="18"/>
                <w:szCs w:val="18"/>
              </w:rPr>
              <w:t>▲0.5</w:t>
            </w:r>
            <w:r w:rsidRPr="002E3677">
              <w:rPr>
                <w:rFonts w:asciiTheme="minorEastAsia" w:hAnsiTheme="minorEastAsia" w:hint="eastAsia"/>
                <w:sz w:val="18"/>
                <w:szCs w:val="18"/>
              </w:rPr>
              <w:t>)</w:t>
            </w:r>
          </w:p>
        </w:tc>
        <w:tc>
          <w:tcPr>
            <w:tcW w:w="1252"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CA5E87">
              <w:rPr>
                <w:rFonts w:asciiTheme="minorEastAsia" w:hAnsiTheme="minorEastAsia" w:hint="eastAsia"/>
                <w:sz w:val="18"/>
                <w:szCs w:val="18"/>
              </w:rPr>
              <w:t>1</w:t>
            </w:r>
            <w:r w:rsidR="00581634">
              <w:rPr>
                <w:rFonts w:asciiTheme="minorEastAsia" w:hAnsiTheme="minorEastAsia" w:hint="eastAsia"/>
                <w:sz w:val="18"/>
                <w:szCs w:val="18"/>
              </w:rPr>
              <w:t>7.4</w:t>
            </w:r>
          </w:p>
          <w:p w:rsidR="005B16EE" w:rsidRPr="002E3677" w:rsidRDefault="005B16EE" w:rsidP="00581634">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581634">
              <w:rPr>
                <w:rFonts w:asciiTheme="minorEastAsia" w:hAnsiTheme="minorEastAsia" w:hint="eastAsia"/>
                <w:sz w:val="18"/>
                <w:szCs w:val="18"/>
              </w:rPr>
              <w:t>▲</w:t>
            </w:r>
            <w:r w:rsidR="007331FB">
              <w:rPr>
                <w:rFonts w:asciiTheme="minorEastAsia" w:hAnsiTheme="minorEastAsia" w:hint="eastAsia"/>
                <w:sz w:val="18"/>
                <w:szCs w:val="18"/>
              </w:rPr>
              <w:t>0.</w:t>
            </w:r>
            <w:r w:rsidR="00581634">
              <w:rPr>
                <w:rFonts w:asciiTheme="minorEastAsia" w:hAnsiTheme="minorEastAsia" w:hint="eastAsia"/>
                <w:sz w:val="18"/>
                <w:szCs w:val="18"/>
              </w:rPr>
              <w:t>5</w:t>
            </w:r>
            <w:r w:rsidRPr="002E3677">
              <w:rPr>
                <w:rFonts w:asciiTheme="minorEastAsia" w:hAnsiTheme="minorEastAsia" w:hint="eastAsia"/>
                <w:sz w:val="18"/>
                <w:szCs w:val="18"/>
              </w:rPr>
              <w:t>)</w:t>
            </w:r>
          </w:p>
        </w:tc>
      </w:tr>
      <w:tr w:rsidR="003347A5" w:rsidTr="005C1B2A">
        <w:trPr>
          <w:trHeight w:val="150"/>
        </w:trPr>
        <w:tc>
          <w:tcPr>
            <w:tcW w:w="1248" w:type="pct"/>
            <w:shd w:val="clear" w:color="auto" w:fill="B8CCE4" w:themeFill="accent1" w:themeFillTint="66"/>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製造業</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CA5E87">
              <w:rPr>
                <w:rFonts w:asciiTheme="minorEastAsia" w:hAnsiTheme="minorEastAsia" w:hint="eastAsia"/>
                <w:sz w:val="18"/>
                <w:szCs w:val="18"/>
              </w:rPr>
              <w:t>1</w:t>
            </w:r>
            <w:r w:rsidR="00581634">
              <w:rPr>
                <w:rFonts w:asciiTheme="minorEastAsia" w:hAnsiTheme="minorEastAsia" w:hint="eastAsia"/>
                <w:sz w:val="18"/>
                <w:szCs w:val="18"/>
              </w:rPr>
              <w:t>5.6</w:t>
            </w:r>
          </w:p>
          <w:p w:rsidR="000F659A" w:rsidRPr="002E3677" w:rsidRDefault="005B16EE" w:rsidP="00581634">
            <w:pPr>
              <w:wordWrap w:val="0"/>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581634">
              <w:rPr>
                <w:rFonts w:asciiTheme="minorEastAsia" w:hAnsiTheme="minorEastAsia" w:hint="eastAsia"/>
                <w:sz w:val="18"/>
                <w:szCs w:val="18"/>
              </w:rPr>
              <w:t>▲1.5</w:t>
            </w:r>
            <w:r w:rsidRPr="002E3677">
              <w:rPr>
                <w:rFonts w:asciiTheme="minorEastAsia" w:hAnsiTheme="minorEastAsia" w:hint="eastAsia"/>
                <w:sz w:val="18"/>
                <w:szCs w:val="18"/>
              </w:rPr>
              <w:t>)</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FD3D25">
              <w:rPr>
                <w:rFonts w:asciiTheme="minorEastAsia" w:hAnsiTheme="minorEastAsia" w:hint="eastAsia"/>
                <w:sz w:val="18"/>
                <w:szCs w:val="18"/>
              </w:rPr>
              <w:t>1</w:t>
            </w:r>
            <w:r w:rsidR="007331FB">
              <w:rPr>
                <w:rFonts w:asciiTheme="minorEastAsia" w:hAnsiTheme="minorEastAsia" w:hint="eastAsia"/>
                <w:sz w:val="18"/>
                <w:szCs w:val="18"/>
              </w:rPr>
              <w:t>3.</w:t>
            </w:r>
            <w:r w:rsidR="00581634">
              <w:rPr>
                <w:rFonts w:asciiTheme="minorEastAsia" w:hAnsiTheme="minorEastAsia" w:hint="eastAsia"/>
                <w:sz w:val="18"/>
                <w:szCs w:val="18"/>
              </w:rPr>
              <w:t>7</w:t>
            </w:r>
          </w:p>
          <w:p w:rsidR="005B16EE" w:rsidRPr="002E3677" w:rsidRDefault="005B16EE" w:rsidP="00581634">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581634">
              <w:rPr>
                <w:rFonts w:asciiTheme="minorEastAsia" w:hAnsiTheme="minorEastAsia" w:hint="eastAsia"/>
                <w:sz w:val="18"/>
                <w:szCs w:val="18"/>
              </w:rPr>
              <w:t>0.2</w:t>
            </w:r>
            <w:r w:rsidRPr="002E3677">
              <w:rPr>
                <w:rFonts w:asciiTheme="minorEastAsia" w:hAnsiTheme="minorEastAsia" w:hint="eastAsia"/>
                <w:sz w:val="18"/>
                <w:szCs w:val="18"/>
              </w:rPr>
              <w:t>)</w:t>
            </w:r>
          </w:p>
        </w:tc>
        <w:tc>
          <w:tcPr>
            <w:tcW w:w="1252"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581634">
              <w:rPr>
                <w:rFonts w:asciiTheme="minorEastAsia" w:hAnsiTheme="minorEastAsia" w:hint="eastAsia"/>
                <w:sz w:val="18"/>
                <w:szCs w:val="18"/>
              </w:rPr>
              <w:t>14.3</w:t>
            </w:r>
          </w:p>
          <w:p w:rsidR="005B16EE" w:rsidRPr="002E3677" w:rsidRDefault="005B16EE" w:rsidP="00581634">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581634">
              <w:rPr>
                <w:rFonts w:asciiTheme="minorEastAsia" w:hAnsiTheme="minorEastAsia" w:hint="eastAsia"/>
                <w:sz w:val="18"/>
                <w:szCs w:val="18"/>
              </w:rPr>
              <w:t>▲4.3</w:t>
            </w:r>
            <w:r w:rsidRPr="002E3677">
              <w:rPr>
                <w:rFonts w:asciiTheme="minorEastAsia" w:hAnsiTheme="minorEastAsia" w:hint="eastAsia"/>
                <w:sz w:val="18"/>
                <w:szCs w:val="18"/>
              </w:rPr>
              <w:t>)</w:t>
            </w:r>
          </w:p>
        </w:tc>
      </w:tr>
      <w:tr w:rsidR="003347A5" w:rsidTr="005C1B2A">
        <w:trPr>
          <w:trHeight w:val="285"/>
        </w:trPr>
        <w:tc>
          <w:tcPr>
            <w:tcW w:w="1248" w:type="pct"/>
            <w:shd w:val="clear" w:color="auto" w:fill="B8CCE4" w:themeFill="accent1" w:themeFillTint="66"/>
            <w:vAlign w:val="center"/>
          </w:tcPr>
          <w:p w:rsidR="00F6402D" w:rsidRPr="002E3677" w:rsidRDefault="00F6402D" w:rsidP="005B16EE">
            <w:pPr>
              <w:snapToGrid w:val="0"/>
              <w:rPr>
                <w:rFonts w:asciiTheme="minorEastAsia" w:hAnsiTheme="minorEastAsia"/>
                <w:sz w:val="18"/>
                <w:szCs w:val="18"/>
              </w:rPr>
            </w:pPr>
            <w:r w:rsidRPr="002E3677">
              <w:rPr>
                <w:rFonts w:asciiTheme="minorEastAsia" w:hAnsiTheme="minorEastAsia" w:hint="eastAsia"/>
                <w:sz w:val="18"/>
                <w:szCs w:val="18"/>
              </w:rPr>
              <w:t>非製造業</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7331FB">
              <w:rPr>
                <w:rFonts w:asciiTheme="minorEastAsia" w:hAnsiTheme="minorEastAsia" w:hint="eastAsia"/>
                <w:sz w:val="18"/>
                <w:szCs w:val="18"/>
              </w:rPr>
              <w:t>19.</w:t>
            </w:r>
            <w:r w:rsidR="00581634">
              <w:rPr>
                <w:rFonts w:asciiTheme="minorEastAsia" w:hAnsiTheme="minorEastAsia" w:hint="eastAsia"/>
                <w:sz w:val="18"/>
                <w:szCs w:val="18"/>
              </w:rPr>
              <w:t>6</w:t>
            </w:r>
          </w:p>
          <w:p w:rsidR="000F659A" w:rsidRPr="002E3677" w:rsidRDefault="005B16EE" w:rsidP="00581634">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581634">
              <w:rPr>
                <w:rFonts w:asciiTheme="minorEastAsia" w:hAnsiTheme="minorEastAsia" w:hint="eastAsia"/>
                <w:sz w:val="18"/>
                <w:szCs w:val="18"/>
              </w:rPr>
              <w:t>▲0.3</w:t>
            </w:r>
            <w:r w:rsidRPr="002E3677">
              <w:rPr>
                <w:rFonts w:asciiTheme="minorEastAsia" w:hAnsiTheme="minorEastAsia" w:hint="eastAsia"/>
                <w:sz w:val="18"/>
                <w:szCs w:val="18"/>
              </w:rPr>
              <w:t>)</w:t>
            </w:r>
          </w:p>
        </w:tc>
        <w:tc>
          <w:tcPr>
            <w:tcW w:w="1250"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7331FB">
              <w:rPr>
                <w:rFonts w:asciiTheme="minorEastAsia" w:hAnsiTheme="minorEastAsia" w:hint="eastAsia"/>
                <w:sz w:val="18"/>
                <w:szCs w:val="18"/>
              </w:rPr>
              <w:t>18.</w:t>
            </w:r>
            <w:r w:rsidR="00581634">
              <w:rPr>
                <w:rFonts w:asciiTheme="minorEastAsia" w:hAnsiTheme="minorEastAsia" w:hint="eastAsia"/>
                <w:sz w:val="18"/>
                <w:szCs w:val="18"/>
              </w:rPr>
              <w:t>9</w:t>
            </w:r>
          </w:p>
          <w:p w:rsidR="005B16EE" w:rsidRPr="002E3677" w:rsidRDefault="005B16EE" w:rsidP="00581634">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581634">
              <w:rPr>
                <w:rFonts w:asciiTheme="minorEastAsia" w:hAnsiTheme="minorEastAsia" w:hint="eastAsia"/>
                <w:sz w:val="18"/>
                <w:szCs w:val="18"/>
              </w:rPr>
              <w:t>▲0.3</w:t>
            </w:r>
            <w:r w:rsidRPr="002E3677">
              <w:rPr>
                <w:rFonts w:asciiTheme="minorEastAsia" w:hAnsiTheme="minorEastAsia" w:hint="eastAsia"/>
                <w:sz w:val="18"/>
                <w:szCs w:val="18"/>
              </w:rPr>
              <w:t>)</w:t>
            </w:r>
          </w:p>
        </w:tc>
        <w:tc>
          <w:tcPr>
            <w:tcW w:w="1252" w:type="pct"/>
          </w:tcPr>
          <w:p w:rsidR="00F6402D" w:rsidRPr="002E3677" w:rsidRDefault="00133527" w:rsidP="005B16EE">
            <w:pPr>
              <w:snapToGrid w:val="0"/>
              <w:ind w:rightChars="50" w:right="105"/>
              <w:jc w:val="right"/>
              <w:rPr>
                <w:rFonts w:asciiTheme="minorEastAsia" w:hAnsiTheme="minorEastAsia"/>
                <w:sz w:val="18"/>
                <w:szCs w:val="18"/>
              </w:rPr>
            </w:pPr>
            <w:r>
              <w:rPr>
                <w:rFonts w:asciiTheme="minorEastAsia" w:hAnsiTheme="minorEastAsia" w:hint="eastAsia"/>
                <w:sz w:val="18"/>
                <w:szCs w:val="18"/>
              </w:rPr>
              <w:t>－</w:t>
            </w:r>
            <w:r w:rsidR="00581634">
              <w:rPr>
                <w:rFonts w:asciiTheme="minorEastAsia" w:hAnsiTheme="minorEastAsia" w:hint="eastAsia"/>
                <w:sz w:val="18"/>
                <w:szCs w:val="18"/>
              </w:rPr>
              <w:t>18.5</w:t>
            </w:r>
          </w:p>
          <w:p w:rsidR="005B16EE" w:rsidRPr="002E3677" w:rsidRDefault="005B16EE" w:rsidP="00581634">
            <w:pPr>
              <w:snapToGrid w:val="0"/>
              <w:ind w:rightChars="50" w:right="105"/>
              <w:jc w:val="right"/>
              <w:rPr>
                <w:rFonts w:asciiTheme="minorEastAsia" w:hAnsiTheme="minorEastAsia"/>
                <w:sz w:val="18"/>
                <w:szCs w:val="18"/>
              </w:rPr>
            </w:pPr>
            <w:r w:rsidRPr="002E3677">
              <w:rPr>
                <w:rFonts w:asciiTheme="minorEastAsia" w:hAnsiTheme="minorEastAsia" w:hint="eastAsia"/>
                <w:sz w:val="18"/>
                <w:szCs w:val="18"/>
              </w:rPr>
              <w:t>(</w:t>
            </w:r>
            <w:r w:rsidR="00581634">
              <w:rPr>
                <w:rFonts w:asciiTheme="minorEastAsia" w:hAnsiTheme="minorEastAsia" w:hint="eastAsia"/>
                <w:sz w:val="18"/>
                <w:szCs w:val="18"/>
              </w:rPr>
              <w:t>1.7</w:t>
            </w:r>
            <w:r w:rsidRPr="002E3677">
              <w:rPr>
                <w:rFonts w:asciiTheme="minorEastAsia" w:hAnsiTheme="minorEastAsia" w:hint="eastAsia"/>
                <w:sz w:val="18"/>
                <w:szCs w:val="18"/>
              </w:rPr>
              <w:t>)</w:t>
            </w:r>
          </w:p>
        </w:tc>
      </w:tr>
    </w:tbl>
    <w:p w:rsidR="00F6402D" w:rsidRDefault="005B16EE" w:rsidP="005664EA">
      <w:pPr>
        <w:snapToGrid w:val="0"/>
        <w:ind w:left="480" w:hangingChars="300" w:hanging="480"/>
        <w:rPr>
          <w:rFonts w:asciiTheme="minorEastAsia" w:hAnsiTheme="minorEastAsia"/>
          <w:sz w:val="16"/>
          <w:szCs w:val="16"/>
        </w:rPr>
      </w:pPr>
      <w:r w:rsidRPr="003347A5">
        <w:rPr>
          <w:rFonts w:asciiTheme="minorEastAsia" w:hAnsiTheme="minorEastAsia" w:hint="eastAsia"/>
          <w:sz w:val="16"/>
          <w:szCs w:val="16"/>
        </w:rPr>
        <w:t>出所：</w:t>
      </w:r>
      <w:r w:rsidRPr="003347A5">
        <w:rPr>
          <w:rFonts w:hint="eastAsia"/>
          <w:sz w:val="16"/>
          <w:szCs w:val="16"/>
        </w:rPr>
        <w:t xml:space="preserve"> </w:t>
      </w:r>
      <w:r w:rsidRPr="003347A5">
        <w:rPr>
          <w:rFonts w:asciiTheme="minorEastAsia" w:hAnsiTheme="minorEastAsia" w:hint="eastAsia"/>
          <w:sz w:val="16"/>
          <w:szCs w:val="16"/>
        </w:rPr>
        <w:t>中小企業庁・独立行政法人中小企業基盤整備機構。</w:t>
      </w:r>
    </w:p>
    <w:p w:rsidR="00133527" w:rsidRDefault="005664EA" w:rsidP="00271EE3">
      <w:pPr>
        <w:snapToGrid w:val="0"/>
        <w:ind w:left="320" w:hangingChars="200" w:hanging="320"/>
        <w:rPr>
          <w:rFonts w:asciiTheme="minorEastAsia" w:hAnsiTheme="minorEastAsia"/>
          <w:sz w:val="16"/>
          <w:szCs w:val="16"/>
        </w:rPr>
        <w:sectPr w:rsidR="00133527" w:rsidSect="00133527">
          <w:type w:val="continuous"/>
          <w:pgSz w:w="11906" w:h="16838" w:code="9"/>
          <w:pgMar w:top="1418" w:right="1701" w:bottom="1134" w:left="1701" w:header="851" w:footer="992" w:gutter="0"/>
          <w:cols w:num="2" w:space="425"/>
          <w:docGrid w:type="lines" w:linePitch="292"/>
        </w:sectPr>
      </w:pPr>
      <w:r>
        <w:rPr>
          <w:rFonts w:asciiTheme="minorEastAsia" w:hAnsiTheme="minorEastAsia" w:hint="eastAsia"/>
          <w:sz w:val="16"/>
          <w:szCs w:val="16"/>
        </w:rPr>
        <w:t>(注)ＤＩは、</w:t>
      </w:r>
      <w:r w:rsidRPr="005664EA">
        <w:rPr>
          <w:rFonts w:asciiTheme="minorEastAsia" w:hAnsiTheme="minorEastAsia" w:hint="eastAsia"/>
          <w:sz w:val="16"/>
          <w:szCs w:val="16"/>
        </w:rPr>
        <w:t>「好転」企業割合から「悪化」企業割合を差し引いた値</w:t>
      </w:r>
      <w:r w:rsidR="00620CF9">
        <w:rPr>
          <w:rFonts w:asciiTheme="minorEastAsia" w:hAnsiTheme="minorEastAsia" w:hint="eastAsia"/>
          <w:sz w:val="16"/>
          <w:szCs w:val="16"/>
        </w:rPr>
        <w:t>。</w:t>
      </w:r>
    </w:p>
    <w:p w:rsidR="00133527" w:rsidRPr="005023F0" w:rsidRDefault="00133527" w:rsidP="005023F0">
      <w:pPr>
        <w:snapToGrid w:val="0"/>
        <w:ind w:left="160" w:hangingChars="200" w:hanging="160"/>
        <w:rPr>
          <w:rFonts w:asciiTheme="majorEastAsia" w:eastAsiaTheme="majorEastAsia" w:hAnsiTheme="majorEastAsia"/>
          <w:sz w:val="8"/>
          <w:szCs w:val="8"/>
        </w:rPr>
        <w:sectPr w:rsidR="00133527" w:rsidRPr="005023F0" w:rsidSect="00133527">
          <w:type w:val="continuous"/>
          <w:pgSz w:w="11906" w:h="16838" w:code="9"/>
          <w:pgMar w:top="1418" w:right="1701" w:bottom="1134" w:left="1701" w:header="851" w:footer="992" w:gutter="0"/>
          <w:cols w:num="2" w:space="425"/>
          <w:docGrid w:type="lines" w:linePitch="292"/>
        </w:sectPr>
      </w:pPr>
    </w:p>
    <w:p w:rsidR="00C11539" w:rsidRDefault="00C11539" w:rsidP="00C11539">
      <w:pPr>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図　大阪府の中小企業の業況判断ＤＩの推移</w:t>
      </w:r>
    </w:p>
    <w:p w:rsidR="00EB3791" w:rsidRDefault="00DB4731" w:rsidP="00C11539">
      <w:pPr>
        <w:jc w:val="center"/>
        <w:rPr>
          <w:rFonts w:asciiTheme="majorEastAsia" w:eastAsiaTheme="majorEastAsia" w:hAnsiTheme="majorEastAsia"/>
          <w:szCs w:val="21"/>
        </w:rPr>
      </w:pPr>
      <w:r>
        <w:rPr>
          <w:noProof/>
        </w:rPr>
        <mc:AlternateContent>
          <mc:Choice Requires="wps">
            <w:drawing>
              <wp:anchor distT="0" distB="0" distL="114300" distR="114300" simplePos="0" relativeHeight="251673600" behindDoc="0" locked="0" layoutInCell="1" allowOverlap="1" wp14:anchorId="1CBE98BA" wp14:editId="56F5E6EB">
                <wp:simplePos x="0" y="0"/>
                <wp:positionH relativeFrom="column">
                  <wp:posOffset>3453765</wp:posOffset>
                </wp:positionH>
                <wp:positionV relativeFrom="paragraph">
                  <wp:posOffset>217170</wp:posOffset>
                </wp:positionV>
                <wp:extent cx="45085" cy="238125"/>
                <wp:effectExtent l="57150" t="0" r="50165" b="66675"/>
                <wp:wrapNone/>
                <wp:docPr id="8" name="直線矢印コネクタ 1"/>
                <wp:cNvGraphicFramePr/>
                <a:graphic xmlns:a="http://schemas.openxmlformats.org/drawingml/2006/main">
                  <a:graphicData uri="http://schemas.microsoft.com/office/word/2010/wordprocessingShape">
                    <wps:wsp>
                      <wps:cNvCnPr/>
                      <wps:spPr>
                        <a:xfrm>
                          <a:off x="0" y="0"/>
                          <a:ext cx="45085" cy="2381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271.95pt;margin-top:17.1pt;width:3.5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" strokecolor="windowText">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702B5A7C" wp14:editId="4A3B4CF2">
                <wp:simplePos x="0" y="0"/>
                <wp:positionH relativeFrom="column">
                  <wp:posOffset>3199130</wp:posOffset>
                </wp:positionH>
                <wp:positionV relativeFrom="paragraph">
                  <wp:posOffset>9525</wp:posOffset>
                </wp:positionV>
                <wp:extent cx="600075" cy="266700"/>
                <wp:effectExtent l="0" t="0" r="28575" b="19050"/>
                <wp:wrapNone/>
                <wp:docPr id="7" name="正方形/長方形 1"/>
                <wp:cNvGraphicFramePr/>
                <a:graphic xmlns:a="http://schemas.openxmlformats.org/drawingml/2006/main">
                  <a:graphicData uri="http://schemas.microsoft.com/office/word/2010/wordprocessingShape">
                    <wps:wsp>
                      <wps:cNvSpPr/>
                      <wps:spPr>
                        <a:xfrm>
                          <a:off x="0" y="0"/>
                          <a:ext cx="600075" cy="266700"/>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5D22E8" w:rsidRPr="00C6165A" w:rsidRDefault="005D22E8"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1.9pt;margin-top:.75pt;width:47.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" fillcolor="window" strokecolor="window" strokeweight="2pt">
                <v:fill opacity="0"/>
                <v:textbox>
                  <w:txbxContent>
                    <w:p w:rsidR="005D22E8" w:rsidRPr="00C6165A" w:rsidRDefault="005D22E8"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製造業</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6003AA2B" wp14:editId="07A40DB0">
                <wp:simplePos x="0" y="0"/>
                <wp:positionH relativeFrom="column">
                  <wp:posOffset>2025015</wp:posOffset>
                </wp:positionH>
                <wp:positionV relativeFrom="paragraph">
                  <wp:posOffset>226695</wp:posOffset>
                </wp:positionV>
                <wp:extent cx="285750" cy="352425"/>
                <wp:effectExtent l="0" t="0" r="76200" b="47625"/>
                <wp:wrapNone/>
                <wp:docPr id="11" name="直線矢印コネクタ 1"/>
                <wp:cNvGraphicFramePr/>
                <a:graphic xmlns:a="http://schemas.openxmlformats.org/drawingml/2006/main">
                  <a:graphicData uri="http://schemas.microsoft.com/office/word/2010/wordprocessingShape">
                    <wps:wsp>
                      <wps:cNvCnPr/>
                      <wps:spPr>
                        <a:xfrm>
                          <a:off x="0" y="0"/>
                          <a:ext cx="285750" cy="3524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 o:spid="_x0000_s1026" type="#_x0000_t32" style="position:absolute;left:0;text-align:left;margin-left:159.45pt;margin-top:17.85pt;width:22.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" strokecolor="windowText">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3BADD927" wp14:editId="17707A32">
                <wp:simplePos x="0" y="0"/>
                <wp:positionH relativeFrom="column">
                  <wp:posOffset>1653540</wp:posOffset>
                </wp:positionH>
                <wp:positionV relativeFrom="paragraph">
                  <wp:posOffset>12065</wp:posOffset>
                </wp:positionV>
                <wp:extent cx="657225" cy="266700"/>
                <wp:effectExtent l="0" t="0" r="28575" b="19050"/>
                <wp:wrapNone/>
                <wp:docPr id="5" name="正方形/長方形 1"/>
                <wp:cNvGraphicFramePr/>
                <a:graphic xmlns:a="http://schemas.openxmlformats.org/drawingml/2006/main">
                  <a:graphicData uri="http://schemas.microsoft.com/office/word/2010/wordprocessingShape">
                    <wps:wsp>
                      <wps:cNvSpPr/>
                      <wps:spPr>
                        <a:xfrm>
                          <a:off x="0" y="0"/>
                          <a:ext cx="657225" cy="266700"/>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5D22E8" w:rsidRPr="00C6165A" w:rsidRDefault="005D22E8"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30.2pt;margin-top:.95pt;width:51.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" fillcolor="window" strokecolor="window" strokeweight="2pt">
                <v:fill opacity="0"/>
                <v:textbox>
                  <w:txbxContent>
                    <w:p w:rsidR="005D22E8" w:rsidRPr="00C6165A" w:rsidRDefault="005D22E8" w:rsidP="00C11539">
                      <w:pPr>
                        <w:pStyle w:val="Web"/>
                        <w:spacing w:before="0" w:beforeAutospacing="0" w:after="0" w:afterAutospacing="0"/>
                        <w:jc w:val="center"/>
                        <w:rPr>
                          <w:rFonts w:asciiTheme="minorEastAsia" w:eastAsiaTheme="minorEastAsia" w:hAnsiTheme="minorEastAsia"/>
                          <w:sz w:val="18"/>
                          <w:szCs w:val="18"/>
                        </w:rPr>
                      </w:pPr>
                      <w:r w:rsidRPr="00C6165A">
                        <w:rPr>
                          <w:rFonts w:asciiTheme="minorEastAsia" w:eastAsiaTheme="minorEastAsia" w:hAnsiTheme="minorEastAsia" w:hint="eastAsia"/>
                          <w:sz w:val="18"/>
                          <w:szCs w:val="18"/>
                        </w:rPr>
                        <w:t>全産業</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10C9F83" wp14:editId="6C504C23">
                <wp:simplePos x="0" y="0"/>
                <wp:positionH relativeFrom="column">
                  <wp:posOffset>777240</wp:posOffset>
                </wp:positionH>
                <wp:positionV relativeFrom="paragraph">
                  <wp:posOffset>371475</wp:posOffset>
                </wp:positionV>
                <wp:extent cx="685800" cy="276225"/>
                <wp:effectExtent l="0" t="0" r="19050" b="28575"/>
                <wp:wrapNone/>
                <wp:docPr id="4" name="正方形/長方形 1"/>
                <wp:cNvGraphicFramePr/>
                <a:graphic xmlns:a="http://schemas.openxmlformats.org/drawingml/2006/main">
                  <a:graphicData uri="http://schemas.microsoft.com/office/word/2010/wordprocessingShape">
                    <wps:wsp>
                      <wps:cNvSpPr/>
                      <wps:spPr>
                        <a:xfrm>
                          <a:off x="0" y="0"/>
                          <a:ext cx="685800" cy="276225"/>
                        </a:xfrm>
                        <a:prstGeom prst="rect">
                          <a:avLst/>
                        </a:prstGeom>
                        <a:solidFill>
                          <a:sysClr val="window" lastClr="FFFFFF">
                            <a:alpha val="0"/>
                          </a:sysClr>
                        </a:solidFill>
                        <a:ln w="25400" cap="flat" cmpd="sng" algn="ctr">
                          <a:solidFill>
                            <a:sysClr val="window" lastClr="FFFFFF"/>
                          </a:solidFill>
                          <a:prstDash val="solid"/>
                        </a:ln>
                        <a:effectLst/>
                      </wps:spPr>
                      <wps:txbx>
                        <w:txbxContent>
                          <w:p w:rsidR="005D22E8" w:rsidRDefault="005D22E8"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61.2pt;margin-top:29.25pt;width:54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" fillcolor="window" strokecolor="window" strokeweight="2pt">
                <v:fill opacity="0"/>
                <v:textbox>
                  <w:txbxContent>
                    <w:p w:rsidR="005D22E8" w:rsidRDefault="005D22E8" w:rsidP="00C11539">
                      <w:pPr>
                        <w:pStyle w:val="Web"/>
                        <w:spacing w:before="0" w:beforeAutospacing="0" w:after="0" w:afterAutospacing="0"/>
                      </w:pPr>
                      <w:r>
                        <w:rPr>
                          <w:rFonts w:ascii="ＭＳ 明朝" w:eastAsia="ＭＳ 明朝" w:hAnsi="ＭＳ 明朝" w:hint="eastAsia"/>
                          <w:color w:val="000000"/>
                          <w:sz w:val="18"/>
                          <w:szCs w:val="18"/>
                        </w:rPr>
                        <w:t>非製造業</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5F85DBF7" wp14:editId="2D54794F">
                <wp:simplePos x="0" y="0"/>
                <wp:positionH relativeFrom="column">
                  <wp:posOffset>1386840</wp:posOffset>
                </wp:positionH>
                <wp:positionV relativeFrom="paragraph">
                  <wp:posOffset>535940</wp:posOffset>
                </wp:positionV>
                <wp:extent cx="523875" cy="238125"/>
                <wp:effectExtent l="0" t="0" r="85725" b="66675"/>
                <wp:wrapNone/>
                <wp:docPr id="12" name="直線矢印コネクタ 1"/>
                <wp:cNvGraphicFramePr/>
                <a:graphic xmlns:a="http://schemas.openxmlformats.org/drawingml/2006/main">
                  <a:graphicData uri="http://schemas.microsoft.com/office/word/2010/wordprocessingShape">
                    <wps:wsp>
                      <wps:cNvCnPr/>
                      <wps:spPr>
                        <a:xfrm>
                          <a:off x="0" y="0"/>
                          <a:ext cx="523875" cy="2381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 o:spid="_x0000_s1026" type="#_x0000_t32" style="position:absolute;left:0;text-align:left;margin-left:109.2pt;margin-top:42.2pt;width:41.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" strokecolor="windowText">
                <v:stroke endarrow="open"/>
              </v:shape>
            </w:pict>
          </mc:Fallback>
        </mc:AlternateContent>
      </w:r>
      <w:r w:rsidR="008D418B">
        <w:rPr>
          <w:noProof/>
        </w:rPr>
        <w:drawing>
          <wp:inline distT="0" distB="0" distL="0" distR="0" wp14:anchorId="3566AC94" wp14:editId="3EF77704">
            <wp:extent cx="5400675" cy="164782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53C5" w:rsidRPr="009D51CE" w:rsidRDefault="009D51CE" w:rsidP="00C11539">
      <w:pPr>
        <w:rPr>
          <w:rFonts w:asciiTheme="minorEastAsia" w:hAnsiTheme="minorEastAsia"/>
          <w:sz w:val="18"/>
          <w:szCs w:val="18"/>
        </w:rPr>
      </w:pPr>
      <w:r w:rsidRPr="009D51CE">
        <w:rPr>
          <w:rFonts w:asciiTheme="minorEastAsia" w:hAnsiTheme="minorEastAsia" w:hint="eastAsia"/>
          <w:sz w:val="18"/>
          <w:szCs w:val="18"/>
        </w:rPr>
        <w:t>資料：</w:t>
      </w:r>
      <w:r w:rsidR="00882321">
        <w:rPr>
          <w:rFonts w:asciiTheme="minorEastAsia" w:hAnsiTheme="minorEastAsia" w:hint="eastAsia"/>
          <w:sz w:val="18"/>
          <w:szCs w:val="18"/>
        </w:rPr>
        <w:t>中小企業庁･</w:t>
      </w:r>
      <w:r w:rsidR="008D418B">
        <w:rPr>
          <w:rFonts w:asciiTheme="minorEastAsia" w:hAnsiTheme="minorEastAsia" w:hint="eastAsia"/>
          <w:sz w:val="18"/>
          <w:szCs w:val="18"/>
        </w:rPr>
        <w:t>独立行政法人中小企業基盤整備機構</w:t>
      </w:r>
      <w:r w:rsidRPr="009D51CE">
        <w:rPr>
          <w:rFonts w:asciiTheme="minorEastAsia" w:hAnsiTheme="minorEastAsia" w:hint="eastAsia"/>
          <w:sz w:val="18"/>
          <w:szCs w:val="18"/>
        </w:rPr>
        <w:t>「第1</w:t>
      </w:r>
      <w:r w:rsidR="008D418B">
        <w:rPr>
          <w:rFonts w:asciiTheme="minorEastAsia" w:hAnsiTheme="minorEastAsia" w:hint="eastAsia"/>
          <w:sz w:val="18"/>
          <w:szCs w:val="18"/>
        </w:rPr>
        <w:t>40</w:t>
      </w:r>
      <w:r w:rsidRPr="009D51CE">
        <w:rPr>
          <w:rFonts w:asciiTheme="minorEastAsia" w:hAnsiTheme="minorEastAsia" w:hint="eastAsia"/>
          <w:sz w:val="18"/>
          <w:szCs w:val="18"/>
        </w:rPr>
        <w:t>回中小企業景況調査（</w:t>
      </w:r>
      <w:r w:rsidR="008D418B">
        <w:rPr>
          <w:rFonts w:asciiTheme="minorEastAsia" w:hAnsiTheme="minorEastAsia" w:hint="eastAsia"/>
          <w:sz w:val="18"/>
          <w:szCs w:val="18"/>
        </w:rPr>
        <w:t>2015</w:t>
      </w:r>
      <w:r w:rsidRPr="009D51CE">
        <w:rPr>
          <w:rFonts w:asciiTheme="minorEastAsia" w:hAnsiTheme="minorEastAsia" w:hint="eastAsia"/>
          <w:sz w:val="18"/>
          <w:szCs w:val="18"/>
        </w:rPr>
        <w:t>年</w:t>
      </w:r>
      <w:r w:rsidR="008D418B">
        <w:rPr>
          <w:rFonts w:asciiTheme="minorEastAsia" w:hAnsiTheme="minorEastAsia" w:hint="eastAsia"/>
          <w:sz w:val="18"/>
          <w:szCs w:val="18"/>
        </w:rPr>
        <w:t>４</w:t>
      </w:r>
      <w:r w:rsidRPr="009D51CE">
        <w:rPr>
          <w:rFonts w:asciiTheme="minorEastAsia" w:hAnsiTheme="minorEastAsia" w:hint="eastAsia"/>
          <w:sz w:val="18"/>
          <w:szCs w:val="18"/>
        </w:rPr>
        <w:t>-</w:t>
      </w:r>
      <w:r w:rsidR="008D418B">
        <w:rPr>
          <w:rFonts w:asciiTheme="minorEastAsia" w:hAnsiTheme="minorEastAsia" w:hint="eastAsia"/>
          <w:sz w:val="18"/>
          <w:szCs w:val="18"/>
        </w:rPr>
        <w:t>６</w:t>
      </w:r>
      <w:r w:rsidRPr="009D51CE">
        <w:rPr>
          <w:rFonts w:asciiTheme="minorEastAsia" w:hAnsiTheme="minorEastAsia" w:hint="eastAsia"/>
          <w:sz w:val="18"/>
          <w:szCs w:val="18"/>
        </w:rPr>
        <w:t>月期）」</w:t>
      </w:r>
      <w:r w:rsidR="005B16EE">
        <w:rPr>
          <w:rFonts w:asciiTheme="minorEastAsia" w:hAnsiTheme="minorEastAsia" w:hint="eastAsia"/>
          <w:sz w:val="18"/>
          <w:szCs w:val="18"/>
        </w:rPr>
        <w:t>。</w:t>
      </w:r>
    </w:p>
    <w:p w:rsidR="009D51CE" w:rsidRPr="008D418B" w:rsidRDefault="009D51CE" w:rsidP="005023F0">
      <w:pPr>
        <w:snapToGrid w:val="0"/>
        <w:ind w:firstLineChars="100" w:firstLine="80"/>
        <w:rPr>
          <w:rFonts w:asciiTheme="minorEastAsia" w:hAnsiTheme="minorEastAsia"/>
          <w:sz w:val="8"/>
          <w:szCs w:val="8"/>
        </w:rPr>
      </w:pPr>
    </w:p>
    <w:p w:rsidR="00CF5F87" w:rsidRDefault="00B343D1" w:rsidP="00B343D1">
      <w:pPr>
        <w:jc w:val="center"/>
        <w:rPr>
          <w:rFonts w:asciiTheme="majorEastAsia" w:eastAsiaTheme="majorEastAsia" w:hAnsiTheme="majorEastAsia"/>
          <w:szCs w:val="21"/>
        </w:rPr>
      </w:pPr>
      <w:r>
        <w:rPr>
          <w:rFonts w:asciiTheme="majorEastAsia" w:eastAsiaTheme="majorEastAsia" w:hAnsiTheme="majorEastAsia" w:hint="eastAsia"/>
          <w:szCs w:val="21"/>
        </w:rPr>
        <w:t>表</w:t>
      </w:r>
      <w:r w:rsidR="008F1BBB">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　</w:t>
      </w:r>
      <w:r w:rsidR="00E248AE">
        <w:rPr>
          <w:rFonts w:asciiTheme="majorEastAsia" w:eastAsiaTheme="majorEastAsia" w:hAnsiTheme="majorEastAsia" w:hint="eastAsia"/>
          <w:szCs w:val="21"/>
        </w:rPr>
        <w:t>近畿における</w:t>
      </w:r>
      <w:r>
        <w:rPr>
          <w:rFonts w:asciiTheme="majorEastAsia" w:eastAsiaTheme="majorEastAsia" w:hAnsiTheme="majorEastAsia" w:hint="eastAsia"/>
          <w:szCs w:val="21"/>
        </w:rPr>
        <w:t>経営上の問題点（問題点１位に挙げた企業割合）</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552"/>
        <w:gridCol w:w="1701"/>
        <w:gridCol w:w="2976"/>
      </w:tblGrid>
      <w:tr w:rsidR="003347A5" w:rsidTr="005C1B2A">
        <w:trPr>
          <w:trHeight w:val="165"/>
        </w:trPr>
        <w:tc>
          <w:tcPr>
            <w:tcW w:w="1276" w:type="dxa"/>
            <w:tcBorders>
              <w:top w:val="nil"/>
              <w:left w:val="nil"/>
            </w:tcBorders>
            <w:shd w:val="clear" w:color="auto" w:fill="FFFFFF" w:themeFill="background1"/>
            <w:vAlign w:val="center"/>
          </w:tcPr>
          <w:p w:rsidR="003347A5" w:rsidRPr="003347A5" w:rsidRDefault="003347A5" w:rsidP="00B343D1">
            <w:pPr>
              <w:snapToGrid w:val="0"/>
              <w:rPr>
                <w:rFonts w:asciiTheme="minorEastAsia" w:hAnsiTheme="minorEastAsia"/>
                <w:szCs w:val="21"/>
              </w:rPr>
            </w:pPr>
          </w:p>
        </w:tc>
        <w:tc>
          <w:tcPr>
            <w:tcW w:w="7229" w:type="dxa"/>
            <w:gridSpan w:val="3"/>
            <w:shd w:val="clear" w:color="auto" w:fill="B8CCE4" w:themeFill="accent1" w:themeFillTint="66"/>
          </w:tcPr>
          <w:p w:rsidR="003347A5" w:rsidRPr="00647ABE" w:rsidRDefault="0016371F" w:rsidP="0016371F">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上</w:t>
            </w:r>
            <w:r w:rsidRPr="005C1B2A">
              <w:rPr>
                <w:rFonts w:asciiTheme="majorEastAsia" w:eastAsiaTheme="majorEastAsia" w:hAnsiTheme="majorEastAsia" w:hint="eastAsia"/>
                <w:szCs w:val="21"/>
                <w:shd w:val="clear" w:color="auto" w:fill="B8CCE4" w:themeFill="accent1" w:themeFillTint="66"/>
              </w:rPr>
              <w:t>段：今期</w:t>
            </w:r>
            <w:r w:rsidR="003347A5" w:rsidRPr="005C1B2A">
              <w:rPr>
                <w:rFonts w:asciiTheme="majorEastAsia" w:eastAsiaTheme="majorEastAsia" w:hAnsiTheme="majorEastAsia" w:hint="eastAsia"/>
                <w:szCs w:val="21"/>
                <w:shd w:val="clear" w:color="auto" w:fill="B8CCE4" w:themeFill="accent1" w:themeFillTint="66"/>
              </w:rPr>
              <w:t>直面している経営上の問題点（１位～３位）</w:t>
            </w:r>
            <w:r w:rsidRPr="005C1B2A">
              <w:rPr>
                <w:rFonts w:asciiTheme="majorEastAsia" w:eastAsiaTheme="majorEastAsia" w:hAnsiTheme="majorEastAsia" w:hint="eastAsia"/>
                <w:szCs w:val="21"/>
                <w:shd w:val="clear" w:color="auto" w:fill="B8CCE4" w:themeFill="accent1" w:themeFillTint="66"/>
              </w:rPr>
              <w:t>／下段：</w:t>
            </w:r>
            <w:r w:rsidR="00B343D1" w:rsidRPr="005C1B2A">
              <w:rPr>
                <w:rFonts w:asciiTheme="majorEastAsia" w:eastAsiaTheme="majorEastAsia" w:hAnsiTheme="majorEastAsia" w:hint="eastAsia"/>
                <w:szCs w:val="21"/>
                <w:shd w:val="clear" w:color="auto" w:fill="B8CCE4" w:themeFill="accent1" w:themeFillTint="66"/>
              </w:rPr>
              <w:t>（％）</w:t>
            </w:r>
          </w:p>
        </w:tc>
      </w:tr>
      <w:tr w:rsidR="008F1BBB" w:rsidTr="005C1B2A">
        <w:trPr>
          <w:trHeight w:val="255"/>
        </w:trPr>
        <w:tc>
          <w:tcPr>
            <w:tcW w:w="1276" w:type="dxa"/>
            <w:vMerge w:val="restart"/>
            <w:shd w:val="clear" w:color="auto" w:fill="B8CCE4" w:themeFill="accent1" w:themeFillTint="66"/>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製造業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1701"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原材料価格の上昇</w:t>
            </w:r>
          </w:p>
        </w:tc>
        <w:tc>
          <w:tcPr>
            <w:tcW w:w="2976" w:type="dxa"/>
            <w:tcBorders>
              <w:bottom w:val="dotted" w:sz="4" w:space="0" w:color="auto"/>
            </w:tcBorders>
            <w:vAlign w:val="center"/>
          </w:tcPr>
          <w:p w:rsidR="008F1BBB" w:rsidRPr="0016371F" w:rsidRDefault="003B0CE9" w:rsidP="00056F27">
            <w:pPr>
              <w:snapToGrid w:val="0"/>
              <w:rPr>
                <w:rFonts w:asciiTheme="minorEastAsia" w:hAnsiTheme="minorEastAsia"/>
                <w:sz w:val="18"/>
                <w:szCs w:val="18"/>
              </w:rPr>
            </w:pPr>
            <w:r>
              <w:rPr>
                <w:rFonts w:asciiTheme="minorEastAsia" w:hAnsiTheme="minorEastAsia" w:hint="eastAsia"/>
                <w:sz w:val="18"/>
                <w:szCs w:val="18"/>
              </w:rPr>
              <w:t>製品</w:t>
            </w:r>
            <w:r w:rsidR="00056F27">
              <w:rPr>
                <w:rFonts w:asciiTheme="minorEastAsia" w:hAnsiTheme="minorEastAsia" w:hint="eastAsia"/>
                <w:sz w:val="18"/>
                <w:szCs w:val="18"/>
              </w:rPr>
              <w:t>（加工）単価の低下･上昇難</w:t>
            </w:r>
          </w:p>
        </w:tc>
      </w:tr>
      <w:tr w:rsidR="008F1BBB" w:rsidTr="005C1B2A">
        <w:trPr>
          <w:trHeight w:val="197"/>
        </w:trPr>
        <w:tc>
          <w:tcPr>
            <w:tcW w:w="1276" w:type="dxa"/>
            <w:vMerge/>
            <w:shd w:val="clear" w:color="auto" w:fill="B8CCE4" w:themeFill="accent1" w:themeFillTint="66"/>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A5610D" w:rsidP="00A5610D">
            <w:pPr>
              <w:snapToGrid w:val="0"/>
              <w:jc w:val="right"/>
              <w:rPr>
                <w:rFonts w:asciiTheme="minorEastAsia" w:hAnsiTheme="minorEastAsia"/>
                <w:szCs w:val="21"/>
              </w:rPr>
            </w:pPr>
            <w:r>
              <w:rPr>
                <w:rFonts w:asciiTheme="minorEastAsia" w:hAnsiTheme="minorEastAsia" w:hint="eastAsia"/>
                <w:szCs w:val="21"/>
              </w:rPr>
              <w:t>23.9（</w:t>
            </w:r>
            <w:r w:rsidR="002D6ABD">
              <w:rPr>
                <w:rFonts w:asciiTheme="minorEastAsia" w:hAnsiTheme="minorEastAsia" w:hint="eastAsia"/>
                <w:szCs w:val="21"/>
              </w:rPr>
              <w:t>24.7</w:t>
            </w:r>
            <w:r>
              <w:rPr>
                <w:rFonts w:asciiTheme="minorEastAsia" w:hAnsiTheme="minorEastAsia" w:hint="eastAsia"/>
                <w:szCs w:val="21"/>
              </w:rPr>
              <w:t>）</w:t>
            </w:r>
          </w:p>
        </w:tc>
        <w:tc>
          <w:tcPr>
            <w:tcW w:w="1701" w:type="dxa"/>
            <w:tcBorders>
              <w:top w:val="dotted" w:sz="4" w:space="0" w:color="auto"/>
            </w:tcBorders>
            <w:vAlign w:val="center"/>
          </w:tcPr>
          <w:p w:rsidR="008F1BBB" w:rsidRPr="0016371F" w:rsidRDefault="00056F27" w:rsidP="00056F27">
            <w:pPr>
              <w:snapToGrid w:val="0"/>
              <w:jc w:val="right"/>
              <w:rPr>
                <w:rFonts w:asciiTheme="minorEastAsia" w:hAnsiTheme="minorEastAsia"/>
                <w:szCs w:val="21"/>
              </w:rPr>
            </w:pPr>
            <w:r>
              <w:rPr>
                <w:rFonts w:asciiTheme="minorEastAsia" w:hAnsiTheme="minorEastAsia" w:hint="eastAsia"/>
                <w:szCs w:val="21"/>
              </w:rPr>
              <w:t>17.5（</w:t>
            </w:r>
            <w:r w:rsidR="002D6ABD">
              <w:rPr>
                <w:rFonts w:asciiTheme="minorEastAsia" w:hAnsiTheme="minorEastAsia" w:hint="eastAsia"/>
                <w:szCs w:val="21"/>
              </w:rPr>
              <w:t>17.5</w:t>
            </w:r>
            <w:r>
              <w:rPr>
                <w:rFonts w:asciiTheme="minorEastAsia" w:hAnsiTheme="minorEastAsia" w:hint="eastAsia"/>
                <w:szCs w:val="21"/>
              </w:rPr>
              <w:t>）</w:t>
            </w:r>
          </w:p>
        </w:tc>
        <w:tc>
          <w:tcPr>
            <w:tcW w:w="2976" w:type="dxa"/>
            <w:tcBorders>
              <w:top w:val="dotted" w:sz="4" w:space="0" w:color="auto"/>
            </w:tcBorders>
            <w:vAlign w:val="center"/>
          </w:tcPr>
          <w:p w:rsidR="008F1BBB" w:rsidRPr="0016371F" w:rsidRDefault="00056F27" w:rsidP="00056F27">
            <w:pPr>
              <w:snapToGrid w:val="0"/>
              <w:jc w:val="right"/>
              <w:rPr>
                <w:rFonts w:asciiTheme="minorEastAsia" w:hAnsiTheme="minorEastAsia"/>
                <w:szCs w:val="21"/>
              </w:rPr>
            </w:pPr>
            <w:r>
              <w:rPr>
                <w:rFonts w:asciiTheme="minorEastAsia" w:hAnsiTheme="minorEastAsia" w:hint="eastAsia"/>
                <w:szCs w:val="21"/>
              </w:rPr>
              <w:t>10.9（10.2）</w:t>
            </w:r>
          </w:p>
        </w:tc>
      </w:tr>
      <w:tr w:rsidR="008F1BBB" w:rsidTr="005C1B2A">
        <w:trPr>
          <w:trHeight w:val="240"/>
        </w:trPr>
        <w:tc>
          <w:tcPr>
            <w:tcW w:w="1276" w:type="dxa"/>
            <w:vMerge w:val="restart"/>
            <w:shd w:val="clear" w:color="auto" w:fill="B8CCE4" w:themeFill="accent1" w:themeFillTint="66"/>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建設業</w:t>
            </w:r>
          </w:p>
        </w:tc>
        <w:tc>
          <w:tcPr>
            <w:tcW w:w="2552" w:type="dxa"/>
            <w:tcBorders>
              <w:bottom w:val="dotted" w:sz="4" w:space="0" w:color="auto"/>
            </w:tcBorders>
            <w:vAlign w:val="center"/>
          </w:tcPr>
          <w:p w:rsidR="008F1BBB" w:rsidRPr="0016371F" w:rsidRDefault="002D6ABD" w:rsidP="002D6ABD">
            <w:pPr>
              <w:snapToGrid w:val="0"/>
              <w:rPr>
                <w:rFonts w:asciiTheme="minorEastAsia" w:hAnsiTheme="minorEastAsia"/>
                <w:sz w:val="18"/>
                <w:szCs w:val="18"/>
              </w:rPr>
            </w:pPr>
            <w:r>
              <w:rPr>
                <w:rFonts w:asciiTheme="minorEastAsia" w:hAnsiTheme="minorEastAsia" w:hint="eastAsia"/>
                <w:sz w:val="18"/>
                <w:szCs w:val="18"/>
              </w:rPr>
              <w:t>官公需要の停滞</w:t>
            </w:r>
          </w:p>
        </w:tc>
        <w:tc>
          <w:tcPr>
            <w:tcW w:w="1701" w:type="dxa"/>
            <w:tcBorders>
              <w:bottom w:val="dotted" w:sz="4" w:space="0" w:color="auto"/>
            </w:tcBorders>
            <w:vAlign w:val="center"/>
          </w:tcPr>
          <w:p w:rsidR="008F1BBB" w:rsidRPr="0016371F" w:rsidRDefault="002D6ABD" w:rsidP="002D6ABD">
            <w:pPr>
              <w:snapToGrid w:val="0"/>
              <w:rPr>
                <w:rFonts w:asciiTheme="minorEastAsia" w:hAnsiTheme="minorEastAsia"/>
                <w:sz w:val="18"/>
                <w:szCs w:val="18"/>
              </w:rPr>
            </w:pPr>
            <w:r>
              <w:rPr>
                <w:rFonts w:asciiTheme="minorEastAsia" w:hAnsiTheme="minorEastAsia" w:hint="eastAsia"/>
                <w:sz w:val="18"/>
                <w:szCs w:val="18"/>
              </w:rPr>
              <w:t>民間</w:t>
            </w:r>
            <w:r w:rsidR="008F1BBB" w:rsidRPr="0016371F">
              <w:rPr>
                <w:rFonts w:asciiTheme="minorEastAsia" w:hAnsiTheme="minorEastAsia" w:hint="eastAsia"/>
                <w:sz w:val="18"/>
                <w:szCs w:val="18"/>
              </w:rPr>
              <w:t>需要の停滞</w:t>
            </w:r>
          </w:p>
        </w:tc>
        <w:tc>
          <w:tcPr>
            <w:tcW w:w="2976" w:type="dxa"/>
            <w:tcBorders>
              <w:bottom w:val="dotted" w:sz="4" w:space="0" w:color="auto"/>
            </w:tcBorders>
            <w:vAlign w:val="center"/>
          </w:tcPr>
          <w:p w:rsidR="008F1BBB" w:rsidRPr="0016371F" w:rsidRDefault="002D6ABD" w:rsidP="00E248AE">
            <w:pPr>
              <w:snapToGrid w:val="0"/>
              <w:rPr>
                <w:rFonts w:asciiTheme="minorEastAsia" w:hAnsiTheme="minorEastAsia"/>
                <w:sz w:val="18"/>
                <w:szCs w:val="18"/>
              </w:rPr>
            </w:pPr>
            <w:r>
              <w:rPr>
                <w:rFonts w:asciiTheme="minorEastAsia" w:hAnsiTheme="minorEastAsia" w:hint="eastAsia"/>
                <w:sz w:val="18"/>
                <w:szCs w:val="18"/>
              </w:rPr>
              <w:t>材料価格の上昇</w:t>
            </w:r>
          </w:p>
        </w:tc>
      </w:tr>
      <w:tr w:rsidR="008F1BBB" w:rsidTr="005C1B2A">
        <w:trPr>
          <w:trHeight w:val="212"/>
        </w:trPr>
        <w:tc>
          <w:tcPr>
            <w:tcW w:w="1276" w:type="dxa"/>
            <w:vMerge/>
            <w:shd w:val="clear" w:color="auto" w:fill="B8CCE4" w:themeFill="accent1" w:themeFillTint="66"/>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056F27" w:rsidP="00056F27">
            <w:pPr>
              <w:snapToGrid w:val="0"/>
              <w:jc w:val="right"/>
              <w:rPr>
                <w:rFonts w:asciiTheme="minorEastAsia" w:hAnsiTheme="minorEastAsia"/>
                <w:szCs w:val="21"/>
              </w:rPr>
            </w:pPr>
            <w:r>
              <w:rPr>
                <w:rFonts w:asciiTheme="minorEastAsia" w:hAnsiTheme="minorEastAsia" w:hint="eastAsia"/>
                <w:szCs w:val="21"/>
              </w:rPr>
              <w:t>18.1（</w:t>
            </w:r>
            <w:r w:rsidR="002D6ABD">
              <w:rPr>
                <w:rFonts w:asciiTheme="minorEastAsia" w:hAnsiTheme="minorEastAsia" w:hint="eastAsia"/>
                <w:szCs w:val="21"/>
              </w:rPr>
              <w:t>15.0</w:t>
            </w:r>
            <w:r>
              <w:rPr>
                <w:rFonts w:asciiTheme="minorEastAsia" w:hAnsiTheme="minorEastAsia" w:hint="eastAsia"/>
                <w:szCs w:val="21"/>
              </w:rPr>
              <w:t>）</w:t>
            </w:r>
          </w:p>
        </w:tc>
        <w:tc>
          <w:tcPr>
            <w:tcW w:w="1701" w:type="dxa"/>
            <w:tcBorders>
              <w:top w:val="dotted" w:sz="4" w:space="0" w:color="auto"/>
            </w:tcBorders>
            <w:vAlign w:val="center"/>
          </w:tcPr>
          <w:p w:rsidR="008F1BBB" w:rsidRPr="0016371F" w:rsidRDefault="00056F27" w:rsidP="00056F27">
            <w:pPr>
              <w:snapToGrid w:val="0"/>
              <w:jc w:val="right"/>
              <w:rPr>
                <w:rFonts w:asciiTheme="minorEastAsia" w:hAnsiTheme="minorEastAsia"/>
                <w:szCs w:val="21"/>
              </w:rPr>
            </w:pPr>
            <w:r>
              <w:rPr>
                <w:rFonts w:asciiTheme="minorEastAsia" w:hAnsiTheme="minorEastAsia" w:hint="eastAsia"/>
                <w:szCs w:val="21"/>
              </w:rPr>
              <w:t>16.3（</w:t>
            </w:r>
            <w:r w:rsidR="002D6ABD">
              <w:rPr>
                <w:rFonts w:asciiTheme="minorEastAsia" w:hAnsiTheme="minorEastAsia" w:hint="eastAsia"/>
                <w:szCs w:val="21"/>
              </w:rPr>
              <w:t>15.0</w:t>
            </w:r>
            <w:r>
              <w:rPr>
                <w:rFonts w:asciiTheme="minorEastAsia" w:hAnsiTheme="minorEastAsia" w:hint="eastAsia"/>
                <w:szCs w:val="21"/>
              </w:rPr>
              <w:t>）</w:t>
            </w:r>
          </w:p>
        </w:tc>
        <w:tc>
          <w:tcPr>
            <w:tcW w:w="2976" w:type="dxa"/>
            <w:tcBorders>
              <w:top w:val="dotted" w:sz="4" w:space="0" w:color="auto"/>
            </w:tcBorders>
            <w:vAlign w:val="center"/>
          </w:tcPr>
          <w:p w:rsidR="008F1BBB" w:rsidRPr="0016371F" w:rsidRDefault="00056F27" w:rsidP="00056F27">
            <w:pPr>
              <w:snapToGrid w:val="0"/>
              <w:jc w:val="right"/>
              <w:rPr>
                <w:rFonts w:asciiTheme="minorEastAsia" w:hAnsiTheme="minorEastAsia"/>
                <w:szCs w:val="21"/>
              </w:rPr>
            </w:pPr>
            <w:r>
              <w:rPr>
                <w:rFonts w:asciiTheme="minorEastAsia" w:hAnsiTheme="minorEastAsia" w:hint="eastAsia"/>
                <w:szCs w:val="21"/>
              </w:rPr>
              <w:t>12.4（</w:t>
            </w:r>
            <w:r w:rsidR="002D6ABD">
              <w:rPr>
                <w:rFonts w:asciiTheme="minorEastAsia" w:hAnsiTheme="minorEastAsia" w:hint="eastAsia"/>
                <w:szCs w:val="21"/>
              </w:rPr>
              <w:t>12.6）</w:t>
            </w:r>
          </w:p>
        </w:tc>
      </w:tr>
      <w:tr w:rsidR="008F1BBB" w:rsidTr="005C1B2A">
        <w:trPr>
          <w:trHeight w:val="167"/>
        </w:trPr>
        <w:tc>
          <w:tcPr>
            <w:tcW w:w="1276" w:type="dxa"/>
            <w:vMerge w:val="restart"/>
            <w:shd w:val="clear" w:color="auto" w:fill="B8CCE4" w:themeFill="accent1" w:themeFillTint="66"/>
            <w:vAlign w:val="center"/>
          </w:tcPr>
          <w:p w:rsidR="008F1BBB" w:rsidRPr="00647ABE" w:rsidRDefault="008F1BBB"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卸売業</w:t>
            </w:r>
          </w:p>
        </w:tc>
        <w:tc>
          <w:tcPr>
            <w:tcW w:w="2552"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1701" w:type="dxa"/>
            <w:tcBorders>
              <w:bottom w:val="dotted" w:sz="4" w:space="0" w:color="auto"/>
            </w:tcBorders>
            <w:vAlign w:val="center"/>
          </w:tcPr>
          <w:p w:rsidR="008F1BBB" w:rsidRPr="0016371F" w:rsidRDefault="008F1BBB" w:rsidP="00B343D1">
            <w:pPr>
              <w:snapToGrid w:val="0"/>
              <w:rPr>
                <w:rFonts w:asciiTheme="minorEastAsia" w:hAnsiTheme="minorEastAsia"/>
                <w:sz w:val="18"/>
                <w:szCs w:val="18"/>
              </w:rPr>
            </w:pPr>
            <w:r w:rsidRPr="0016371F">
              <w:rPr>
                <w:rFonts w:asciiTheme="minorEastAsia" w:hAnsiTheme="minorEastAsia" w:hint="eastAsia"/>
                <w:sz w:val="18"/>
                <w:szCs w:val="18"/>
              </w:rPr>
              <w:t>仕入単価の上昇</w:t>
            </w:r>
          </w:p>
        </w:tc>
        <w:tc>
          <w:tcPr>
            <w:tcW w:w="2976" w:type="dxa"/>
            <w:tcBorders>
              <w:bottom w:val="dotted" w:sz="4" w:space="0" w:color="auto"/>
            </w:tcBorders>
            <w:vAlign w:val="center"/>
          </w:tcPr>
          <w:p w:rsidR="008F1BBB" w:rsidRPr="0016371F" w:rsidRDefault="003B0CE9" w:rsidP="003B0CE9">
            <w:pPr>
              <w:snapToGrid w:val="0"/>
              <w:rPr>
                <w:rFonts w:asciiTheme="minorEastAsia" w:hAnsiTheme="minorEastAsia"/>
                <w:sz w:val="18"/>
                <w:szCs w:val="18"/>
              </w:rPr>
            </w:pPr>
            <w:r>
              <w:rPr>
                <w:rFonts w:asciiTheme="minorEastAsia" w:hAnsiTheme="minorEastAsia" w:hint="eastAsia"/>
                <w:sz w:val="18"/>
                <w:szCs w:val="18"/>
              </w:rPr>
              <w:t>販売単価の低下･上昇難</w:t>
            </w:r>
          </w:p>
        </w:tc>
      </w:tr>
      <w:tr w:rsidR="008F1BBB" w:rsidTr="005C1B2A">
        <w:trPr>
          <w:trHeight w:val="285"/>
        </w:trPr>
        <w:tc>
          <w:tcPr>
            <w:tcW w:w="1276" w:type="dxa"/>
            <w:vMerge/>
            <w:shd w:val="clear" w:color="auto" w:fill="B8CCE4" w:themeFill="accent1" w:themeFillTint="66"/>
            <w:vAlign w:val="center"/>
          </w:tcPr>
          <w:p w:rsidR="008F1BBB" w:rsidRPr="00647ABE" w:rsidRDefault="008F1BBB"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8F1BBB" w:rsidRPr="0016371F" w:rsidRDefault="00056F27" w:rsidP="00056F27">
            <w:pPr>
              <w:snapToGrid w:val="0"/>
              <w:jc w:val="right"/>
              <w:rPr>
                <w:rFonts w:asciiTheme="minorEastAsia" w:hAnsiTheme="minorEastAsia"/>
                <w:szCs w:val="21"/>
              </w:rPr>
            </w:pPr>
            <w:r>
              <w:rPr>
                <w:rFonts w:asciiTheme="minorEastAsia" w:hAnsiTheme="minorEastAsia" w:hint="eastAsia"/>
                <w:szCs w:val="21"/>
              </w:rPr>
              <w:t>34.2（</w:t>
            </w:r>
            <w:r w:rsidR="002D6ABD">
              <w:rPr>
                <w:rFonts w:asciiTheme="minorEastAsia" w:hAnsiTheme="minorEastAsia" w:hint="eastAsia"/>
                <w:szCs w:val="21"/>
              </w:rPr>
              <w:t>33.2</w:t>
            </w:r>
            <w:r>
              <w:rPr>
                <w:rFonts w:asciiTheme="minorEastAsia" w:hAnsiTheme="minorEastAsia" w:hint="eastAsia"/>
                <w:szCs w:val="21"/>
              </w:rPr>
              <w:t>）</w:t>
            </w:r>
          </w:p>
        </w:tc>
        <w:tc>
          <w:tcPr>
            <w:tcW w:w="1701" w:type="dxa"/>
            <w:tcBorders>
              <w:top w:val="dotted" w:sz="4" w:space="0" w:color="auto"/>
            </w:tcBorders>
            <w:vAlign w:val="center"/>
          </w:tcPr>
          <w:p w:rsidR="008F1BBB" w:rsidRPr="0016371F" w:rsidRDefault="00056F27" w:rsidP="00056F27">
            <w:pPr>
              <w:snapToGrid w:val="0"/>
              <w:jc w:val="right"/>
              <w:rPr>
                <w:rFonts w:asciiTheme="minorEastAsia" w:hAnsiTheme="minorEastAsia"/>
                <w:szCs w:val="21"/>
              </w:rPr>
            </w:pPr>
            <w:r>
              <w:rPr>
                <w:rFonts w:asciiTheme="minorEastAsia" w:hAnsiTheme="minorEastAsia" w:hint="eastAsia"/>
                <w:szCs w:val="21"/>
              </w:rPr>
              <w:t>17.9（</w:t>
            </w:r>
            <w:r w:rsidR="002D6ABD">
              <w:rPr>
                <w:rFonts w:asciiTheme="minorEastAsia" w:hAnsiTheme="minorEastAsia" w:hint="eastAsia"/>
                <w:szCs w:val="21"/>
              </w:rPr>
              <w:t>21.3</w:t>
            </w:r>
            <w:r>
              <w:rPr>
                <w:rFonts w:asciiTheme="minorEastAsia" w:hAnsiTheme="minorEastAsia" w:hint="eastAsia"/>
                <w:szCs w:val="21"/>
              </w:rPr>
              <w:t>）</w:t>
            </w:r>
          </w:p>
        </w:tc>
        <w:tc>
          <w:tcPr>
            <w:tcW w:w="2976" w:type="dxa"/>
            <w:tcBorders>
              <w:top w:val="dotted" w:sz="4" w:space="0" w:color="auto"/>
            </w:tcBorders>
            <w:vAlign w:val="center"/>
          </w:tcPr>
          <w:p w:rsidR="008F1BBB" w:rsidRPr="0016371F" w:rsidRDefault="00056F27" w:rsidP="00056F27">
            <w:pPr>
              <w:snapToGrid w:val="0"/>
              <w:jc w:val="right"/>
              <w:rPr>
                <w:rFonts w:asciiTheme="minorEastAsia" w:hAnsiTheme="minorEastAsia"/>
                <w:szCs w:val="21"/>
              </w:rPr>
            </w:pPr>
            <w:r>
              <w:rPr>
                <w:rFonts w:asciiTheme="minorEastAsia" w:hAnsiTheme="minorEastAsia" w:hint="eastAsia"/>
                <w:szCs w:val="21"/>
              </w:rPr>
              <w:t>8.2（</w:t>
            </w:r>
            <w:r w:rsidR="002D6ABD">
              <w:rPr>
                <w:rFonts w:asciiTheme="minorEastAsia" w:hAnsiTheme="minorEastAsia" w:hint="eastAsia"/>
                <w:szCs w:val="21"/>
              </w:rPr>
              <w:t>13.4）</w:t>
            </w:r>
          </w:p>
        </w:tc>
      </w:tr>
      <w:tr w:rsidR="00056F27" w:rsidTr="005C1B2A">
        <w:trPr>
          <w:trHeight w:val="240"/>
        </w:trPr>
        <w:tc>
          <w:tcPr>
            <w:tcW w:w="1276" w:type="dxa"/>
            <w:vMerge w:val="restart"/>
            <w:shd w:val="clear" w:color="auto" w:fill="B8CCE4" w:themeFill="accent1" w:themeFillTint="66"/>
            <w:vAlign w:val="center"/>
          </w:tcPr>
          <w:p w:rsidR="00056F27" w:rsidRPr="00647ABE" w:rsidRDefault="00056F27"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小売業</w:t>
            </w:r>
          </w:p>
        </w:tc>
        <w:tc>
          <w:tcPr>
            <w:tcW w:w="2552" w:type="dxa"/>
            <w:tcBorders>
              <w:bottom w:val="dotted" w:sz="4" w:space="0" w:color="auto"/>
            </w:tcBorders>
            <w:vAlign w:val="center"/>
          </w:tcPr>
          <w:p w:rsidR="00056F27" w:rsidRPr="0016371F" w:rsidRDefault="00056F27" w:rsidP="005D22E8">
            <w:pPr>
              <w:snapToGrid w:val="0"/>
              <w:rPr>
                <w:rFonts w:asciiTheme="minorEastAsia" w:hAnsiTheme="minorEastAsia"/>
                <w:sz w:val="18"/>
                <w:szCs w:val="18"/>
              </w:rPr>
            </w:pPr>
            <w:r w:rsidRPr="002D6ABD">
              <w:rPr>
                <w:rFonts w:asciiTheme="minorEastAsia" w:hAnsiTheme="minorEastAsia" w:hint="eastAsia"/>
                <w:sz w:val="18"/>
                <w:szCs w:val="18"/>
              </w:rPr>
              <w:t>大型店･中型店の進出による競争の激化</w:t>
            </w:r>
          </w:p>
        </w:tc>
        <w:tc>
          <w:tcPr>
            <w:tcW w:w="1701" w:type="dxa"/>
            <w:tcBorders>
              <w:bottom w:val="dotted" w:sz="4" w:space="0" w:color="auto"/>
            </w:tcBorders>
            <w:vAlign w:val="center"/>
          </w:tcPr>
          <w:p w:rsidR="00056F27" w:rsidRPr="0016371F" w:rsidRDefault="00056F27" w:rsidP="003B0CE9">
            <w:pPr>
              <w:snapToGrid w:val="0"/>
              <w:rPr>
                <w:rFonts w:asciiTheme="minorEastAsia" w:hAnsiTheme="minorEastAsia"/>
                <w:sz w:val="18"/>
                <w:szCs w:val="18"/>
              </w:rPr>
            </w:pPr>
            <w:r>
              <w:rPr>
                <w:rFonts w:asciiTheme="minorEastAsia" w:hAnsiTheme="minorEastAsia" w:hint="eastAsia"/>
                <w:sz w:val="18"/>
                <w:szCs w:val="18"/>
              </w:rPr>
              <w:t>需要の停滞</w:t>
            </w:r>
          </w:p>
        </w:tc>
        <w:tc>
          <w:tcPr>
            <w:tcW w:w="2976" w:type="dxa"/>
            <w:tcBorders>
              <w:bottom w:val="dotted" w:sz="4" w:space="0" w:color="auto"/>
            </w:tcBorders>
            <w:vAlign w:val="center"/>
          </w:tcPr>
          <w:p w:rsidR="00056F27" w:rsidRPr="0016371F" w:rsidRDefault="00056F27" w:rsidP="00FE58B0">
            <w:pPr>
              <w:snapToGrid w:val="0"/>
              <w:rPr>
                <w:rFonts w:asciiTheme="minorEastAsia" w:hAnsiTheme="minorEastAsia"/>
                <w:sz w:val="18"/>
                <w:szCs w:val="18"/>
              </w:rPr>
            </w:pPr>
            <w:r>
              <w:rPr>
                <w:rFonts w:asciiTheme="minorEastAsia" w:hAnsiTheme="minorEastAsia" w:hint="eastAsia"/>
                <w:sz w:val="18"/>
                <w:szCs w:val="18"/>
              </w:rPr>
              <w:t>消費者ニーズの変化への対応</w:t>
            </w:r>
          </w:p>
        </w:tc>
      </w:tr>
      <w:tr w:rsidR="00056F27" w:rsidTr="005C1B2A">
        <w:trPr>
          <w:trHeight w:val="212"/>
        </w:trPr>
        <w:tc>
          <w:tcPr>
            <w:tcW w:w="1276" w:type="dxa"/>
            <w:vMerge/>
            <w:shd w:val="clear" w:color="auto" w:fill="B8CCE4" w:themeFill="accent1" w:themeFillTint="66"/>
            <w:vAlign w:val="center"/>
          </w:tcPr>
          <w:p w:rsidR="00056F27" w:rsidRPr="00647ABE" w:rsidRDefault="00056F27" w:rsidP="00B343D1">
            <w:pPr>
              <w:snapToGrid w:val="0"/>
              <w:rPr>
                <w:rFonts w:asciiTheme="majorEastAsia" w:eastAsiaTheme="majorEastAsia" w:hAnsiTheme="majorEastAsia"/>
                <w:szCs w:val="21"/>
              </w:rPr>
            </w:pPr>
          </w:p>
        </w:tc>
        <w:tc>
          <w:tcPr>
            <w:tcW w:w="2552" w:type="dxa"/>
            <w:tcBorders>
              <w:top w:val="dotted" w:sz="4" w:space="0" w:color="auto"/>
            </w:tcBorders>
            <w:vAlign w:val="center"/>
          </w:tcPr>
          <w:p w:rsidR="00056F27" w:rsidRPr="0016371F" w:rsidRDefault="00056F27" w:rsidP="00056F27">
            <w:pPr>
              <w:snapToGrid w:val="0"/>
              <w:jc w:val="right"/>
              <w:rPr>
                <w:rFonts w:asciiTheme="minorEastAsia" w:hAnsiTheme="minorEastAsia"/>
                <w:szCs w:val="21"/>
              </w:rPr>
            </w:pPr>
            <w:r>
              <w:rPr>
                <w:rFonts w:asciiTheme="minorEastAsia" w:hAnsiTheme="minorEastAsia" w:hint="eastAsia"/>
                <w:szCs w:val="21"/>
              </w:rPr>
              <w:t>21.0（17.9）</w:t>
            </w:r>
          </w:p>
        </w:tc>
        <w:tc>
          <w:tcPr>
            <w:tcW w:w="1701" w:type="dxa"/>
            <w:tcBorders>
              <w:top w:val="dotted" w:sz="4" w:space="0" w:color="auto"/>
            </w:tcBorders>
            <w:vAlign w:val="center"/>
          </w:tcPr>
          <w:p w:rsidR="00056F27" w:rsidRPr="0016371F" w:rsidRDefault="00056F27" w:rsidP="00056F27">
            <w:pPr>
              <w:snapToGrid w:val="0"/>
              <w:jc w:val="right"/>
              <w:rPr>
                <w:rFonts w:asciiTheme="minorEastAsia" w:hAnsiTheme="minorEastAsia"/>
                <w:szCs w:val="21"/>
              </w:rPr>
            </w:pPr>
            <w:r>
              <w:rPr>
                <w:rFonts w:asciiTheme="minorEastAsia" w:hAnsiTheme="minorEastAsia" w:hint="eastAsia"/>
                <w:szCs w:val="21"/>
              </w:rPr>
              <w:t>19.1（17.9）</w:t>
            </w:r>
          </w:p>
        </w:tc>
        <w:tc>
          <w:tcPr>
            <w:tcW w:w="2976" w:type="dxa"/>
            <w:tcBorders>
              <w:top w:val="dotted" w:sz="4" w:space="0" w:color="auto"/>
            </w:tcBorders>
            <w:vAlign w:val="center"/>
          </w:tcPr>
          <w:p w:rsidR="00056F27" w:rsidRPr="0016371F" w:rsidRDefault="00056F27" w:rsidP="00056F27">
            <w:pPr>
              <w:snapToGrid w:val="0"/>
              <w:jc w:val="right"/>
              <w:rPr>
                <w:rFonts w:asciiTheme="minorEastAsia" w:hAnsiTheme="minorEastAsia"/>
                <w:szCs w:val="21"/>
              </w:rPr>
            </w:pPr>
            <w:r>
              <w:rPr>
                <w:rFonts w:asciiTheme="minorEastAsia" w:hAnsiTheme="minorEastAsia" w:hint="eastAsia"/>
                <w:szCs w:val="21"/>
              </w:rPr>
              <w:t>16.7（16.0）</w:t>
            </w:r>
          </w:p>
        </w:tc>
      </w:tr>
      <w:tr w:rsidR="00056F27" w:rsidTr="005C1B2A">
        <w:trPr>
          <w:trHeight w:val="212"/>
        </w:trPr>
        <w:tc>
          <w:tcPr>
            <w:tcW w:w="1276" w:type="dxa"/>
            <w:vMerge w:val="restart"/>
            <w:shd w:val="clear" w:color="auto" w:fill="B8CCE4" w:themeFill="accent1" w:themeFillTint="66"/>
            <w:vAlign w:val="center"/>
          </w:tcPr>
          <w:p w:rsidR="00056F27" w:rsidRPr="00647ABE" w:rsidRDefault="00056F27" w:rsidP="00B343D1">
            <w:pPr>
              <w:snapToGrid w:val="0"/>
              <w:rPr>
                <w:rFonts w:asciiTheme="majorEastAsia" w:eastAsiaTheme="majorEastAsia" w:hAnsiTheme="majorEastAsia"/>
                <w:szCs w:val="21"/>
              </w:rPr>
            </w:pPr>
            <w:r w:rsidRPr="00647ABE">
              <w:rPr>
                <w:rFonts w:asciiTheme="majorEastAsia" w:eastAsiaTheme="majorEastAsia" w:hAnsiTheme="majorEastAsia" w:hint="eastAsia"/>
                <w:szCs w:val="21"/>
              </w:rPr>
              <w:t>サービス業</w:t>
            </w:r>
          </w:p>
        </w:tc>
        <w:tc>
          <w:tcPr>
            <w:tcW w:w="2552" w:type="dxa"/>
            <w:tcBorders>
              <w:bottom w:val="dotted" w:sz="4" w:space="0" w:color="auto"/>
            </w:tcBorders>
            <w:vAlign w:val="center"/>
          </w:tcPr>
          <w:p w:rsidR="00056F27" w:rsidRPr="0016371F" w:rsidRDefault="00056F27" w:rsidP="00B343D1">
            <w:pPr>
              <w:snapToGrid w:val="0"/>
              <w:rPr>
                <w:rFonts w:asciiTheme="minorEastAsia" w:hAnsiTheme="minorEastAsia"/>
                <w:sz w:val="18"/>
                <w:szCs w:val="18"/>
              </w:rPr>
            </w:pPr>
            <w:r w:rsidRPr="0016371F">
              <w:rPr>
                <w:rFonts w:asciiTheme="minorEastAsia" w:hAnsiTheme="minorEastAsia" w:hint="eastAsia"/>
                <w:sz w:val="18"/>
                <w:szCs w:val="18"/>
              </w:rPr>
              <w:t>利用者ニーズの変化への対応</w:t>
            </w:r>
          </w:p>
        </w:tc>
        <w:tc>
          <w:tcPr>
            <w:tcW w:w="1701" w:type="dxa"/>
            <w:tcBorders>
              <w:bottom w:val="dotted" w:sz="4" w:space="0" w:color="auto"/>
            </w:tcBorders>
            <w:vAlign w:val="center"/>
          </w:tcPr>
          <w:p w:rsidR="00056F27" w:rsidRPr="0016371F" w:rsidRDefault="00056F27" w:rsidP="00B343D1">
            <w:pPr>
              <w:snapToGrid w:val="0"/>
              <w:rPr>
                <w:rFonts w:asciiTheme="minorEastAsia" w:hAnsiTheme="minorEastAsia"/>
                <w:sz w:val="18"/>
                <w:szCs w:val="18"/>
              </w:rPr>
            </w:pPr>
            <w:r w:rsidRPr="0016371F">
              <w:rPr>
                <w:rFonts w:asciiTheme="minorEastAsia" w:hAnsiTheme="minorEastAsia" w:hint="eastAsia"/>
                <w:sz w:val="18"/>
                <w:szCs w:val="18"/>
              </w:rPr>
              <w:t>需要の停滞</w:t>
            </w:r>
          </w:p>
        </w:tc>
        <w:tc>
          <w:tcPr>
            <w:tcW w:w="2976" w:type="dxa"/>
            <w:tcBorders>
              <w:bottom w:val="dotted" w:sz="4" w:space="0" w:color="auto"/>
            </w:tcBorders>
            <w:vAlign w:val="center"/>
          </w:tcPr>
          <w:p w:rsidR="00056F27" w:rsidRPr="0016371F" w:rsidRDefault="00056F27" w:rsidP="003B0CE9">
            <w:pPr>
              <w:snapToGrid w:val="0"/>
              <w:rPr>
                <w:rFonts w:asciiTheme="minorEastAsia" w:hAnsiTheme="minorEastAsia"/>
                <w:sz w:val="18"/>
                <w:szCs w:val="18"/>
              </w:rPr>
            </w:pPr>
            <w:r>
              <w:rPr>
                <w:rFonts w:asciiTheme="minorEastAsia" w:hAnsiTheme="minorEastAsia" w:hint="eastAsia"/>
                <w:sz w:val="18"/>
                <w:szCs w:val="18"/>
              </w:rPr>
              <w:t>材料等仕入単価の上昇</w:t>
            </w:r>
          </w:p>
        </w:tc>
      </w:tr>
      <w:tr w:rsidR="00056F27" w:rsidTr="005C1B2A">
        <w:trPr>
          <w:trHeight w:val="240"/>
        </w:trPr>
        <w:tc>
          <w:tcPr>
            <w:tcW w:w="1276" w:type="dxa"/>
            <w:vMerge/>
            <w:shd w:val="clear" w:color="auto" w:fill="B8CCE4" w:themeFill="accent1" w:themeFillTint="66"/>
            <w:vAlign w:val="center"/>
          </w:tcPr>
          <w:p w:rsidR="00056F27" w:rsidRPr="003347A5" w:rsidRDefault="00056F27" w:rsidP="00B343D1">
            <w:pPr>
              <w:snapToGrid w:val="0"/>
              <w:rPr>
                <w:rFonts w:asciiTheme="minorEastAsia" w:hAnsiTheme="minorEastAsia"/>
                <w:szCs w:val="21"/>
              </w:rPr>
            </w:pPr>
          </w:p>
        </w:tc>
        <w:tc>
          <w:tcPr>
            <w:tcW w:w="2552" w:type="dxa"/>
            <w:tcBorders>
              <w:top w:val="dotted" w:sz="4" w:space="0" w:color="auto"/>
            </w:tcBorders>
            <w:vAlign w:val="center"/>
          </w:tcPr>
          <w:p w:rsidR="00056F27" w:rsidRPr="0016371F" w:rsidRDefault="00056F27" w:rsidP="00056F27">
            <w:pPr>
              <w:snapToGrid w:val="0"/>
              <w:jc w:val="right"/>
              <w:rPr>
                <w:rFonts w:asciiTheme="minorEastAsia" w:hAnsiTheme="minorEastAsia"/>
                <w:szCs w:val="21"/>
              </w:rPr>
            </w:pPr>
            <w:r>
              <w:rPr>
                <w:rFonts w:asciiTheme="minorEastAsia" w:hAnsiTheme="minorEastAsia" w:hint="eastAsia"/>
                <w:szCs w:val="21"/>
              </w:rPr>
              <w:t>21.3（20.7）</w:t>
            </w:r>
          </w:p>
        </w:tc>
        <w:tc>
          <w:tcPr>
            <w:tcW w:w="1701" w:type="dxa"/>
            <w:tcBorders>
              <w:top w:val="dotted" w:sz="4" w:space="0" w:color="auto"/>
            </w:tcBorders>
            <w:vAlign w:val="center"/>
          </w:tcPr>
          <w:p w:rsidR="00056F27" w:rsidRPr="0016371F" w:rsidRDefault="00056F27" w:rsidP="00056F27">
            <w:pPr>
              <w:snapToGrid w:val="0"/>
              <w:jc w:val="right"/>
              <w:rPr>
                <w:rFonts w:asciiTheme="minorEastAsia" w:hAnsiTheme="minorEastAsia"/>
                <w:szCs w:val="21"/>
              </w:rPr>
            </w:pPr>
            <w:r>
              <w:rPr>
                <w:rFonts w:asciiTheme="minorEastAsia" w:hAnsiTheme="minorEastAsia" w:hint="eastAsia"/>
                <w:szCs w:val="21"/>
              </w:rPr>
              <w:t>15.7（19.2）</w:t>
            </w:r>
          </w:p>
        </w:tc>
        <w:tc>
          <w:tcPr>
            <w:tcW w:w="2976" w:type="dxa"/>
            <w:tcBorders>
              <w:top w:val="dotted" w:sz="4" w:space="0" w:color="auto"/>
            </w:tcBorders>
            <w:vAlign w:val="center"/>
          </w:tcPr>
          <w:p w:rsidR="00056F27" w:rsidRPr="0016371F" w:rsidRDefault="00056F27" w:rsidP="00056F27">
            <w:pPr>
              <w:snapToGrid w:val="0"/>
              <w:jc w:val="right"/>
              <w:rPr>
                <w:rFonts w:asciiTheme="minorEastAsia" w:hAnsiTheme="minorEastAsia"/>
                <w:szCs w:val="21"/>
              </w:rPr>
            </w:pPr>
            <w:r>
              <w:rPr>
                <w:rFonts w:asciiTheme="minorEastAsia" w:hAnsiTheme="minorEastAsia" w:hint="eastAsia"/>
                <w:szCs w:val="21"/>
              </w:rPr>
              <w:t>9.3（8.6）</w:t>
            </w:r>
          </w:p>
        </w:tc>
      </w:tr>
    </w:tbl>
    <w:p w:rsidR="007765E1" w:rsidRDefault="0016371F">
      <w:pPr>
        <w:rPr>
          <w:rFonts w:asciiTheme="minorEastAsia" w:hAnsiTheme="minorEastAsia"/>
          <w:sz w:val="18"/>
          <w:szCs w:val="18"/>
        </w:rPr>
      </w:pPr>
      <w:r w:rsidRPr="0016371F">
        <w:rPr>
          <w:rFonts w:asciiTheme="minorEastAsia" w:hAnsiTheme="minorEastAsia" w:hint="eastAsia"/>
          <w:sz w:val="18"/>
          <w:szCs w:val="18"/>
        </w:rPr>
        <w:t>資料：上図に同じ。</w:t>
      </w:r>
      <w:r w:rsidR="00FD3D25">
        <w:rPr>
          <w:rFonts w:asciiTheme="minorEastAsia" w:hAnsiTheme="minorEastAsia" w:hint="eastAsia"/>
          <w:sz w:val="18"/>
          <w:szCs w:val="18"/>
        </w:rPr>
        <w:t>下段（　）内は前期の数値。</w:t>
      </w:r>
    </w:p>
    <w:p w:rsidR="00DA4A34" w:rsidRPr="005829CB" w:rsidRDefault="00DA4A34">
      <w:pPr>
        <w:rPr>
          <w:rFonts w:asciiTheme="minorEastAsia" w:hAnsiTheme="minorEastAsia"/>
          <w:sz w:val="18"/>
          <w:szCs w:val="18"/>
        </w:rPr>
        <w:sectPr w:rsidR="00DA4A34" w:rsidRPr="005829CB" w:rsidSect="00F6402D">
          <w:type w:val="continuous"/>
          <w:pgSz w:w="11906" w:h="16838" w:code="9"/>
          <w:pgMar w:top="1418" w:right="1701" w:bottom="1134" w:left="1701" w:header="851" w:footer="992" w:gutter="0"/>
          <w:cols w:space="425"/>
          <w:docGrid w:type="lines" w:linePitch="292"/>
        </w:sectPr>
      </w:pPr>
    </w:p>
    <w:p w:rsidR="003853C5" w:rsidRDefault="00370F43">
      <w:pPr>
        <w:rPr>
          <w:rFonts w:asciiTheme="majorEastAsia" w:eastAsiaTheme="majorEastAsia" w:hAnsiTheme="majorEastAsia"/>
          <w:szCs w:val="21"/>
        </w:rPr>
      </w:pPr>
      <w:r w:rsidRPr="00425764">
        <w:rPr>
          <w:rFonts w:asciiTheme="majorEastAsia" w:eastAsiaTheme="majorEastAsia" w:hAnsiTheme="majorEastAsia" w:hint="eastAsia"/>
          <w:szCs w:val="21"/>
        </w:rPr>
        <w:lastRenderedPageBreak/>
        <w:t>２．業種別景気動向調査にみる</w:t>
      </w:r>
      <w:r w:rsidR="00002028">
        <w:rPr>
          <w:rFonts w:asciiTheme="majorEastAsia" w:eastAsiaTheme="majorEastAsia" w:hAnsiTheme="majorEastAsia" w:hint="eastAsia"/>
          <w:szCs w:val="21"/>
        </w:rPr>
        <w:t>2</w:t>
      </w:r>
      <w:r w:rsidR="0026471A">
        <w:rPr>
          <w:rFonts w:asciiTheme="majorEastAsia" w:eastAsiaTheme="majorEastAsia" w:hAnsiTheme="majorEastAsia" w:hint="eastAsia"/>
          <w:szCs w:val="21"/>
        </w:rPr>
        <w:t>7</w:t>
      </w:r>
      <w:r w:rsidR="00002028">
        <w:rPr>
          <w:rFonts w:asciiTheme="majorEastAsia" w:eastAsiaTheme="majorEastAsia" w:hAnsiTheme="majorEastAsia" w:hint="eastAsia"/>
          <w:szCs w:val="21"/>
        </w:rPr>
        <w:t>年</w:t>
      </w:r>
      <w:r w:rsidR="00EF016C">
        <w:rPr>
          <w:rFonts w:asciiTheme="majorEastAsia" w:eastAsiaTheme="majorEastAsia" w:hAnsiTheme="majorEastAsia" w:hint="eastAsia"/>
          <w:szCs w:val="21"/>
        </w:rPr>
        <w:t>４</w:t>
      </w:r>
      <w:r w:rsidR="00002028">
        <w:rPr>
          <w:rFonts w:asciiTheme="majorEastAsia" w:eastAsiaTheme="majorEastAsia" w:hAnsiTheme="majorEastAsia" w:hint="eastAsia"/>
          <w:szCs w:val="21"/>
        </w:rPr>
        <w:t>～</w:t>
      </w:r>
      <w:r w:rsidR="00EF016C">
        <w:rPr>
          <w:rFonts w:asciiTheme="majorEastAsia" w:eastAsiaTheme="majorEastAsia" w:hAnsiTheme="majorEastAsia" w:hint="eastAsia"/>
          <w:szCs w:val="21"/>
        </w:rPr>
        <w:t>６</w:t>
      </w:r>
      <w:r w:rsidR="00002028">
        <w:rPr>
          <w:rFonts w:asciiTheme="majorEastAsia" w:eastAsiaTheme="majorEastAsia" w:hAnsiTheme="majorEastAsia" w:hint="eastAsia"/>
          <w:szCs w:val="21"/>
        </w:rPr>
        <w:t>月期の</w:t>
      </w:r>
      <w:r w:rsidRPr="00425764">
        <w:rPr>
          <w:rFonts w:asciiTheme="majorEastAsia" w:eastAsiaTheme="majorEastAsia" w:hAnsiTheme="majorEastAsia" w:hint="eastAsia"/>
          <w:szCs w:val="21"/>
        </w:rPr>
        <w:t>中小企業の景況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3946"/>
        <w:gridCol w:w="3946"/>
        <w:gridCol w:w="3943"/>
      </w:tblGrid>
      <w:tr w:rsidR="00A94597" w:rsidRPr="00A411CC" w:rsidTr="00670B8C">
        <w:trPr>
          <w:trHeight w:val="20"/>
        </w:trPr>
        <w:tc>
          <w:tcPr>
            <w:tcW w:w="660" w:type="pct"/>
            <w:tcBorders>
              <w:top w:val="nil"/>
              <w:left w:val="nil"/>
            </w:tcBorders>
            <w:shd w:val="clear" w:color="auto" w:fill="FFFFFF" w:themeFill="background1"/>
            <w:vAlign w:val="center"/>
          </w:tcPr>
          <w:p w:rsidR="00A94597" w:rsidRPr="00472698" w:rsidRDefault="00A94597" w:rsidP="00670B8C">
            <w:pPr>
              <w:snapToGrid w:val="0"/>
              <w:jc w:val="center"/>
              <w:rPr>
                <w:rFonts w:asciiTheme="majorEastAsia" w:eastAsiaTheme="majorEastAsia" w:hAnsiTheme="majorEastAsia"/>
                <w:szCs w:val="21"/>
              </w:rPr>
            </w:pPr>
          </w:p>
        </w:tc>
        <w:tc>
          <w:tcPr>
            <w:tcW w:w="1447" w:type="pct"/>
            <w:shd w:val="clear" w:color="auto" w:fill="B8CCE4" w:themeFill="accent1" w:themeFillTint="66"/>
            <w:vAlign w:val="center"/>
          </w:tcPr>
          <w:p w:rsidR="00A94597" w:rsidRPr="00C52608" w:rsidRDefault="00A94597" w:rsidP="00670B8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木製家具製造業</w:t>
            </w:r>
          </w:p>
        </w:tc>
        <w:tc>
          <w:tcPr>
            <w:tcW w:w="1447" w:type="pct"/>
            <w:shd w:val="clear" w:color="auto" w:fill="B8CCE4" w:themeFill="accent1" w:themeFillTint="66"/>
            <w:vAlign w:val="center"/>
          </w:tcPr>
          <w:p w:rsidR="00A94597" w:rsidRPr="00496630" w:rsidRDefault="00A94597" w:rsidP="00670B8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塗料製造業</w:t>
            </w:r>
          </w:p>
        </w:tc>
        <w:tc>
          <w:tcPr>
            <w:tcW w:w="1447" w:type="pct"/>
            <w:shd w:val="clear" w:color="auto" w:fill="B8CCE4" w:themeFill="accent1" w:themeFillTint="66"/>
            <w:vAlign w:val="center"/>
          </w:tcPr>
          <w:p w:rsidR="00A94597" w:rsidRPr="00496630" w:rsidRDefault="00A94597" w:rsidP="00670B8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医薬品卸売業</w:t>
            </w:r>
          </w:p>
        </w:tc>
      </w:tr>
      <w:tr w:rsidR="00A94597" w:rsidRPr="00A411CC" w:rsidTr="00670B8C">
        <w:trPr>
          <w:trHeight w:val="20"/>
        </w:trPr>
        <w:tc>
          <w:tcPr>
            <w:tcW w:w="660" w:type="pct"/>
            <w:shd w:val="clear" w:color="auto" w:fill="B8CCE4" w:themeFill="accent1" w:themeFillTint="66"/>
            <w:vAlign w:val="center"/>
          </w:tcPr>
          <w:p w:rsidR="00A94597" w:rsidRPr="00496630" w:rsidRDefault="00A94597" w:rsidP="00670B8C">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業種・業界の特徴</w:t>
            </w:r>
          </w:p>
        </w:tc>
        <w:tc>
          <w:tcPr>
            <w:tcW w:w="1447" w:type="pct"/>
          </w:tcPr>
          <w:p w:rsidR="00A94597" w:rsidRPr="00EB6231" w:rsidRDefault="00554C2D" w:rsidP="00D1698A">
            <w:pPr>
              <w:snapToGrid w:val="0"/>
              <w:rPr>
                <w:rFonts w:asciiTheme="minorEastAsia" w:hAnsiTheme="minorEastAsia"/>
                <w:sz w:val="20"/>
                <w:szCs w:val="20"/>
              </w:rPr>
            </w:pPr>
            <w:r>
              <w:rPr>
                <w:rFonts w:asciiTheme="minorEastAsia" w:hAnsiTheme="minorEastAsia" w:hint="eastAsia"/>
                <w:sz w:val="20"/>
                <w:szCs w:val="20"/>
              </w:rPr>
              <w:t>業界は、</w:t>
            </w:r>
            <w:r w:rsidRPr="00EB6231">
              <w:rPr>
                <w:rFonts w:asciiTheme="minorEastAsia" w:hAnsiTheme="minorEastAsia" w:hint="eastAsia"/>
                <w:sz w:val="20"/>
                <w:szCs w:val="20"/>
              </w:rPr>
              <w:t>従業者300人以上の事業所</w:t>
            </w:r>
            <w:r>
              <w:rPr>
                <w:rFonts w:asciiTheme="minorEastAsia" w:hAnsiTheme="minorEastAsia" w:hint="eastAsia"/>
                <w:sz w:val="20"/>
                <w:szCs w:val="20"/>
              </w:rPr>
              <w:t>が</w:t>
            </w:r>
            <w:r w:rsidR="00630A6B">
              <w:rPr>
                <w:rFonts w:asciiTheme="minorEastAsia" w:hAnsiTheme="minorEastAsia" w:hint="eastAsia"/>
                <w:sz w:val="20"/>
                <w:szCs w:val="20"/>
              </w:rPr>
              <w:t>占める割合が0.2％と</w:t>
            </w:r>
            <w:r w:rsidRPr="00EB6231">
              <w:rPr>
                <w:rFonts w:asciiTheme="minorEastAsia" w:hAnsiTheme="minorEastAsia" w:hint="eastAsia"/>
                <w:sz w:val="20"/>
                <w:szCs w:val="20"/>
              </w:rPr>
              <w:t>少なく、従業者数９人以下の小零細事業所が</w:t>
            </w:r>
            <w:r w:rsidR="0026503B">
              <w:rPr>
                <w:rFonts w:asciiTheme="minorEastAsia" w:hAnsiTheme="minorEastAsia" w:hint="eastAsia"/>
                <w:sz w:val="20"/>
                <w:szCs w:val="20"/>
              </w:rPr>
              <w:t>占める割合が58.3％と大きい特徴がある。</w:t>
            </w:r>
            <w:r w:rsidR="00A94597" w:rsidRPr="00EB6231">
              <w:rPr>
                <w:rFonts w:asciiTheme="minorEastAsia" w:hAnsiTheme="minorEastAsia" w:hint="eastAsia"/>
                <w:sz w:val="20"/>
                <w:szCs w:val="20"/>
              </w:rPr>
              <w:t>大阪府の25年の事業所</w:t>
            </w:r>
            <w:r w:rsidR="00D1698A">
              <w:rPr>
                <w:rFonts w:asciiTheme="minorEastAsia" w:hAnsiTheme="minorEastAsia" w:hint="eastAsia"/>
                <w:sz w:val="20"/>
                <w:szCs w:val="20"/>
              </w:rPr>
              <w:t>数</w:t>
            </w:r>
            <w:r w:rsidR="00A94597" w:rsidRPr="00EB6231">
              <w:rPr>
                <w:rFonts w:asciiTheme="minorEastAsia" w:hAnsiTheme="minorEastAsia" w:hint="eastAsia"/>
                <w:sz w:val="20"/>
                <w:szCs w:val="20"/>
              </w:rPr>
              <w:t>は18</w:t>
            </w:r>
            <w:r w:rsidR="00EB6231" w:rsidRPr="00EB6231">
              <w:rPr>
                <w:rFonts w:asciiTheme="minorEastAsia" w:hAnsiTheme="minorEastAsia" w:hint="eastAsia"/>
                <w:sz w:val="20"/>
                <w:szCs w:val="20"/>
              </w:rPr>
              <w:t>1（全国比6.9％）</w:t>
            </w:r>
            <w:r w:rsidR="00A94597" w:rsidRPr="00EB6231">
              <w:rPr>
                <w:rFonts w:asciiTheme="minorEastAsia" w:hAnsiTheme="minorEastAsia" w:hint="eastAsia"/>
                <w:sz w:val="20"/>
                <w:szCs w:val="20"/>
              </w:rPr>
              <w:t>、従業者数は3,236人</w:t>
            </w:r>
            <w:r w:rsidR="00EB6231" w:rsidRPr="00EB6231">
              <w:rPr>
                <w:rFonts w:asciiTheme="minorEastAsia" w:hAnsiTheme="minorEastAsia" w:hint="eastAsia"/>
                <w:sz w:val="20"/>
                <w:szCs w:val="20"/>
              </w:rPr>
              <w:t>（</w:t>
            </w:r>
            <w:r w:rsidR="00EB6231">
              <w:rPr>
                <w:rFonts w:asciiTheme="minorEastAsia" w:hAnsiTheme="minorEastAsia" w:hint="eastAsia"/>
                <w:sz w:val="20"/>
                <w:szCs w:val="20"/>
              </w:rPr>
              <w:t>同</w:t>
            </w:r>
            <w:r w:rsidR="00EB6231" w:rsidRPr="00EB6231">
              <w:rPr>
                <w:rFonts w:asciiTheme="minorEastAsia" w:hAnsiTheme="minorEastAsia" w:hint="eastAsia"/>
                <w:sz w:val="20"/>
                <w:szCs w:val="20"/>
              </w:rPr>
              <w:t>12.7％）</w:t>
            </w:r>
            <w:r w:rsidR="00A94597" w:rsidRPr="00EB6231">
              <w:rPr>
                <w:rFonts w:asciiTheme="minorEastAsia" w:hAnsiTheme="minorEastAsia" w:hint="eastAsia"/>
                <w:sz w:val="20"/>
                <w:szCs w:val="20"/>
              </w:rPr>
              <w:t>、製造品出荷額等は736億円</w:t>
            </w:r>
            <w:r w:rsidR="00EB6231" w:rsidRPr="00EB6231">
              <w:rPr>
                <w:rFonts w:asciiTheme="minorEastAsia" w:hAnsiTheme="minorEastAsia" w:hint="eastAsia"/>
                <w:sz w:val="20"/>
                <w:szCs w:val="20"/>
              </w:rPr>
              <w:t>（</w:t>
            </w:r>
            <w:r w:rsidR="00EB6231">
              <w:rPr>
                <w:rFonts w:asciiTheme="minorEastAsia" w:hAnsiTheme="minorEastAsia" w:hint="eastAsia"/>
                <w:sz w:val="20"/>
                <w:szCs w:val="20"/>
              </w:rPr>
              <w:t>同</w:t>
            </w:r>
            <w:r w:rsidR="00EB6231" w:rsidRPr="00EB6231">
              <w:rPr>
                <w:rFonts w:asciiTheme="minorEastAsia" w:hAnsiTheme="minorEastAsia" w:hint="eastAsia"/>
                <w:sz w:val="20"/>
                <w:szCs w:val="20"/>
              </w:rPr>
              <w:t>9.8％）</w:t>
            </w:r>
            <w:r w:rsidR="00A94597" w:rsidRPr="00EB6231">
              <w:rPr>
                <w:rFonts w:asciiTheme="minorEastAsia" w:hAnsiTheme="minorEastAsia" w:hint="eastAsia"/>
                <w:sz w:val="20"/>
                <w:szCs w:val="20"/>
              </w:rPr>
              <w:t>で、出荷額は愛知県に次ぐ全国第２位</w:t>
            </w:r>
            <w:r w:rsidR="00EB6231">
              <w:rPr>
                <w:rFonts w:asciiTheme="minorEastAsia" w:hAnsiTheme="minorEastAsia" w:hint="eastAsia"/>
                <w:sz w:val="20"/>
                <w:szCs w:val="20"/>
              </w:rPr>
              <w:t>の地位にあり</w:t>
            </w:r>
            <w:r w:rsidR="00EB6231" w:rsidRPr="00EB6231">
              <w:rPr>
                <w:rFonts w:asciiTheme="minorEastAsia" w:hAnsiTheme="minorEastAsia" w:hint="eastAsia"/>
                <w:sz w:val="20"/>
                <w:szCs w:val="20"/>
              </w:rPr>
              <w:t>、</w:t>
            </w:r>
            <w:r>
              <w:rPr>
                <w:rFonts w:asciiTheme="minorEastAsia" w:hAnsiTheme="minorEastAsia" w:hint="eastAsia"/>
                <w:sz w:val="20"/>
                <w:szCs w:val="20"/>
              </w:rPr>
              <w:t>事業所は</w:t>
            </w:r>
            <w:r w:rsidR="00A94597" w:rsidRPr="00EB6231">
              <w:rPr>
                <w:rFonts w:asciiTheme="minorEastAsia" w:hAnsiTheme="minorEastAsia" w:hint="eastAsia"/>
                <w:sz w:val="20"/>
                <w:szCs w:val="20"/>
              </w:rPr>
              <w:t>大阪市と堺市に多く立地している。</w:t>
            </w:r>
          </w:p>
        </w:tc>
        <w:tc>
          <w:tcPr>
            <w:tcW w:w="1447" w:type="pct"/>
          </w:tcPr>
          <w:p w:rsidR="00A94597" w:rsidRPr="00EB6231" w:rsidRDefault="00CF37AA" w:rsidP="00670B8C">
            <w:pPr>
              <w:snapToGrid w:val="0"/>
              <w:rPr>
                <w:rFonts w:asciiTheme="minorEastAsia" w:hAnsiTheme="minorEastAsia"/>
                <w:color w:val="FF0000"/>
                <w:sz w:val="20"/>
                <w:szCs w:val="20"/>
              </w:rPr>
            </w:pPr>
            <w:r>
              <w:rPr>
                <w:rFonts w:asciiTheme="minorEastAsia" w:hAnsiTheme="minorEastAsia" w:hint="eastAsia"/>
                <w:sz w:val="20"/>
                <w:szCs w:val="20"/>
              </w:rPr>
              <w:t>大阪府の</w:t>
            </w:r>
            <w:r w:rsidRPr="00CF37AA">
              <w:rPr>
                <w:rFonts w:asciiTheme="minorEastAsia" w:hAnsiTheme="minorEastAsia" w:hint="eastAsia"/>
                <w:sz w:val="20"/>
                <w:szCs w:val="20"/>
              </w:rPr>
              <w:t>22年の事業所数は69</w:t>
            </w:r>
            <w:r>
              <w:rPr>
                <w:rFonts w:asciiTheme="minorEastAsia" w:hAnsiTheme="minorEastAsia" w:hint="eastAsia"/>
                <w:sz w:val="20"/>
                <w:szCs w:val="20"/>
              </w:rPr>
              <w:t>（全国比17.6％）</w:t>
            </w:r>
            <w:r w:rsidRPr="00CF37AA">
              <w:rPr>
                <w:rFonts w:asciiTheme="minorEastAsia" w:hAnsiTheme="minorEastAsia" w:hint="eastAsia"/>
                <w:sz w:val="20"/>
                <w:szCs w:val="20"/>
              </w:rPr>
              <w:t>、従業者数は2,450人</w:t>
            </w:r>
            <w:r>
              <w:rPr>
                <w:rFonts w:asciiTheme="minorEastAsia" w:hAnsiTheme="minorEastAsia" w:hint="eastAsia"/>
                <w:sz w:val="20"/>
                <w:szCs w:val="20"/>
              </w:rPr>
              <w:t>（同13.8％）</w:t>
            </w:r>
            <w:r w:rsidRPr="00CF37AA">
              <w:rPr>
                <w:rFonts w:asciiTheme="minorEastAsia" w:hAnsiTheme="minorEastAsia" w:hint="eastAsia"/>
                <w:sz w:val="20"/>
                <w:szCs w:val="20"/>
              </w:rPr>
              <w:t>、製造品出荷額等は819億円</w:t>
            </w:r>
            <w:r>
              <w:rPr>
                <w:rFonts w:asciiTheme="minorEastAsia" w:hAnsiTheme="minorEastAsia" w:hint="eastAsia"/>
                <w:sz w:val="20"/>
                <w:szCs w:val="20"/>
              </w:rPr>
              <w:t>（7.9％）</w:t>
            </w:r>
            <w:r w:rsidRPr="00CF37AA">
              <w:rPr>
                <w:rFonts w:asciiTheme="minorEastAsia" w:hAnsiTheme="minorEastAsia" w:hint="eastAsia"/>
                <w:sz w:val="20"/>
                <w:szCs w:val="20"/>
              </w:rPr>
              <w:t>で（経済産業省『工業統計表（産業細分類別統計表）』、従業者４人以上）</w:t>
            </w:r>
            <w:r>
              <w:rPr>
                <w:rFonts w:asciiTheme="minorEastAsia" w:hAnsiTheme="minorEastAsia" w:hint="eastAsia"/>
                <w:sz w:val="20"/>
                <w:szCs w:val="20"/>
              </w:rPr>
              <w:t>、</w:t>
            </w:r>
            <w:r w:rsidRPr="00CF37AA">
              <w:rPr>
                <w:rFonts w:asciiTheme="minorEastAsia" w:hAnsiTheme="minorEastAsia" w:hint="eastAsia"/>
                <w:sz w:val="20"/>
                <w:szCs w:val="20"/>
              </w:rPr>
              <w:t>事業所数で全国</w:t>
            </w:r>
            <w:r w:rsidR="00D1698A">
              <w:rPr>
                <w:rFonts w:asciiTheme="minorEastAsia" w:hAnsiTheme="minorEastAsia" w:hint="eastAsia"/>
                <w:sz w:val="20"/>
                <w:szCs w:val="20"/>
              </w:rPr>
              <w:t>第</w:t>
            </w:r>
            <w:r w:rsidRPr="00CF37AA">
              <w:rPr>
                <w:rFonts w:asciiTheme="minorEastAsia" w:hAnsiTheme="minorEastAsia" w:hint="eastAsia"/>
                <w:sz w:val="20"/>
                <w:szCs w:val="20"/>
              </w:rPr>
              <w:t>１位、従業者数で埼玉県に次ぐ第２位、製造品出荷額等で兵庫県、埼玉県、愛知県、栃木県に次ぐ第５位</w:t>
            </w:r>
            <w:r>
              <w:rPr>
                <w:rFonts w:asciiTheme="minorEastAsia" w:hAnsiTheme="minorEastAsia" w:hint="eastAsia"/>
                <w:sz w:val="20"/>
                <w:szCs w:val="20"/>
              </w:rPr>
              <w:t>の地位にある</w:t>
            </w:r>
            <w:r w:rsidRPr="00CF37AA">
              <w:rPr>
                <w:rFonts w:asciiTheme="minorEastAsia" w:hAnsiTheme="minorEastAsia" w:hint="eastAsia"/>
                <w:sz w:val="20"/>
                <w:szCs w:val="20"/>
              </w:rPr>
              <w:t>。</w:t>
            </w:r>
          </w:p>
        </w:tc>
        <w:tc>
          <w:tcPr>
            <w:tcW w:w="1447" w:type="pct"/>
          </w:tcPr>
          <w:p w:rsidR="00A94597" w:rsidRPr="00EB6231" w:rsidRDefault="009552D6" w:rsidP="002B2C44">
            <w:pPr>
              <w:snapToGrid w:val="0"/>
              <w:rPr>
                <w:rFonts w:asciiTheme="minorEastAsia" w:hAnsiTheme="minorEastAsia"/>
                <w:sz w:val="20"/>
                <w:szCs w:val="20"/>
              </w:rPr>
            </w:pPr>
            <w:r w:rsidRPr="009552D6">
              <w:rPr>
                <w:rFonts w:asciiTheme="minorEastAsia" w:hAnsiTheme="minorEastAsia" w:hint="eastAsia"/>
                <w:sz w:val="20"/>
                <w:szCs w:val="20"/>
              </w:rPr>
              <w:t>大阪府の19年の事業所数</w:t>
            </w:r>
            <w:r>
              <w:rPr>
                <w:rFonts w:asciiTheme="minorEastAsia" w:hAnsiTheme="minorEastAsia" w:hint="eastAsia"/>
                <w:sz w:val="20"/>
                <w:szCs w:val="20"/>
              </w:rPr>
              <w:t>は</w:t>
            </w:r>
            <w:r w:rsidRPr="009552D6">
              <w:rPr>
                <w:rFonts w:asciiTheme="minorEastAsia" w:hAnsiTheme="minorEastAsia" w:hint="eastAsia"/>
                <w:sz w:val="20"/>
                <w:szCs w:val="20"/>
              </w:rPr>
              <w:t xml:space="preserve"> 387</w:t>
            </w:r>
            <w:r>
              <w:rPr>
                <w:rFonts w:asciiTheme="minorEastAsia" w:hAnsiTheme="minorEastAsia" w:hint="eastAsia"/>
                <w:sz w:val="20"/>
                <w:szCs w:val="20"/>
              </w:rPr>
              <w:t>（全国比8.5％）</w:t>
            </w:r>
            <w:r w:rsidRPr="009552D6">
              <w:rPr>
                <w:rFonts w:asciiTheme="minorEastAsia" w:hAnsiTheme="minorEastAsia" w:hint="eastAsia"/>
                <w:sz w:val="20"/>
                <w:szCs w:val="20"/>
              </w:rPr>
              <w:t>、従業者数10,310人</w:t>
            </w:r>
            <w:r>
              <w:rPr>
                <w:rFonts w:asciiTheme="minorEastAsia" w:hAnsiTheme="minorEastAsia" w:hint="eastAsia"/>
                <w:sz w:val="20"/>
                <w:szCs w:val="20"/>
              </w:rPr>
              <w:t>（同10.4％）</w:t>
            </w:r>
            <w:r w:rsidRPr="009552D6">
              <w:rPr>
                <w:rFonts w:asciiTheme="minorEastAsia" w:hAnsiTheme="minorEastAsia" w:hint="eastAsia"/>
                <w:sz w:val="20"/>
                <w:szCs w:val="20"/>
              </w:rPr>
              <w:t>、年間商品販売額１兆2,636億円</w:t>
            </w:r>
            <w:r>
              <w:rPr>
                <w:rFonts w:asciiTheme="minorEastAsia" w:hAnsiTheme="minorEastAsia" w:hint="eastAsia"/>
                <w:sz w:val="20"/>
                <w:szCs w:val="20"/>
              </w:rPr>
              <w:t>（同8.2％）で</w:t>
            </w:r>
            <w:r w:rsidRPr="009552D6">
              <w:rPr>
                <w:rFonts w:asciiTheme="minorEastAsia" w:hAnsiTheme="minorEastAsia" w:hint="eastAsia"/>
                <w:sz w:val="20"/>
                <w:szCs w:val="20"/>
              </w:rPr>
              <w:t>（経済産業省『商業統計表』産業編、都道府県表）</w:t>
            </w:r>
            <w:r w:rsidR="00D2292C">
              <w:rPr>
                <w:rFonts w:asciiTheme="minorEastAsia" w:hAnsiTheme="minorEastAsia" w:hint="eastAsia"/>
                <w:sz w:val="20"/>
                <w:szCs w:val="20"/>
              </w:rPr>
              <w:t>、</w:t>
            </w:r>
            <w:r w:rsidRPr="009552D6">
              <w:rPr>
                <w:rFonts w:asciiTheme="minorEastAsia" w:hAnsiTheme="minorEastAsia" w:hint="eastAsia"/>
                <w:sz w:val="20"/>
                <w:szCs w:val="20"/>
              </w:rPr>
              <w:t>いずれも東京都に次いで全国第２位のシェアを占めている。</w:t>
            </w:r>
            <w:r w:rsidR="002B2C44">
              <w:rPr>
                <w:rFonts w:asciiTheme="minorEastAsia" w:hAnsiTheme="minorEastAsia" w:hint="eastAsia"/>
                <w:sz w:val="20"/>
                <w:szCs w:val="20"/>
              </w:rPr>
              <w:t>なお、大阪本社の企業数は、</w:t>
            </w:r>
            <w:r w:rsidR="002B2C44" w:rsidRPr="002B2C44">
              <w:rPr>
                <w:rFonts w:asciiTheme="minorEastAsia" w:hAnsiTheme="minorEastAsia" w:hint="eastAsia"/>
                <w:sz w:val="20"/>
                <w:szCs w:val="20"/>
              </w:rPr>
              <w:t>企業合併</w:t>
            </w:r>
            <w:r w:rsidR="002B2C44">
              <w:rPr>
                <w:rFonts w:asciiTheme="minorEastAsia" w:hAnsiTheme="minorEastAsia" w:hint="eastAsia"/>
                <w:sz w:val="20"/>
                <w:szCs w:val="20"/>
              </w:rPr>
              <w:t>の影響により、減少している。</w:t>
            </w:r>
          </w:p>
        </w:tc>
      </w:tr>
      <w:tr w:rsidR="00A94597" w:rsidRPr="00A411CC" w:rsidTr="00670B8C">
        <w:trPr>
          <w:trHeight w:val="20"/>
        </w:trPr>
        <w:tc>
          <w:tcPr>
            <w:tcW w:w="660" w:type="pct"/>
            <w:shd w:val="clear" w:color="auto" w:fill="B8CCE4" w:themeFill="accent1" w:themeFillTint="66"/>
            <w:vAlign w:val="center"/>
          </w:tcPr>
          <w:p w:rsidR="00A94597" w:rsidRPr="00496630" w:rsidRDefault="00A94597" w:rsidP="00670B8C">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概況</w:t>
            </w:r>
          </w:p>
        </w:tc>
        <w:tc>
          <w:tcPr>
            <w:tcW w:w="1447" w:type="pct"/>
          </w:tcPr>
          <w:p w:rsidR="00A94597" w:rsidRPr="00EB6231" w:rsidRDefault="00EB6231" w:rsidP="00D1698A">
            <w:pPr>
              <w:snapToGrid w:val="0"/>
              <w:rPr>
                <w:rFonts w:asciiTheme="minorEastAsia" w:hAnsiTheme="minorEastAsia"/>
                <w:sz w:val="20"/>
                <w:szCs w:val="20"/>
              </w:rPr>
            </w:pPr>
            <w:r w:rsidRPr="00EB6231">
              <w:rPr>
                <w:rFonts w:asciiTheme="minorEastAsia" w:hAnsiTheme="minorEastAsia" w:hint="eastAsia"/>
                <w:sz w:val="20"/>
                <w:szCs w:val="20"/>
              </w:rPr>
              <w:t>消費税率引上げ後</w:t>
            </w:r>
            <w:r w:rsidR="00554C2D">
              <w:rPr>
                <w:rFonts w:asciiTheme="minorEastAsia" w:hAnsiTheme="minorEastAsia" w:hint="eastAsia"/>
                <w:sz w:val="20"/>
                <w:szCs w:val="20"/>
              </w:rPr>
              <w:t>の</w:t>
            </w:r>
            <w:r>
              <w:rPr>
                <w:rFonts w:asciiTheme="minorEastAsia" w:hAnsiTheme="minorEastAsia" w:hint="eastAsia"/>
                <w:sz w:val="20"/>
                <w:szCs w:val="20"/>
              </w:rPr>
              <w:t>販売は</w:t>
            </w:r>
            <w:r w:rsidRPr="00EB6231">
              <w:rPr>
                <w:rFonts w:asciiTheme="minorEastAsia" w:hAnsiTheme="minorEastAsia" w:hint="eastAsia"/>
                <w:sz w:val="20"/>
                <w:szCs w:val="20"/>
              </w:rPr>
              <w:t>低調に推移し</w:t>
            </w:r>
            <w:r>
              <w:rPr>
                <w:rFonts w:asciiTheme="minorEastAsia" w:hAnsiTheme="minorEastAsia" w:hint="eastAsia"/>
                <w:sz w:val="20"/>
                <w:szCs w:val="20"/>
              </w:rPr>
              <w:t>ているが</w:t>
            </w:r>
            <w:r w:rsidRPr="00EB6231">
              <w:rPr>
                <w:rFonts w:asciiTheme="minorEastAsia" w:hAnsiTheme="minorEastAsia" w:hint="eastAsia"/>
                <w:sz w:val="20"/>
                <w:szCs w:val="20"/>
              </w:rPr>
              <w:t>、保育園等の分野や東京で受注獲得できている企業は好調である。今後</w:t>
            </w:r>
            <w:r>
              <w:rPr>
                <w:rFonts w:asciiTheme="minorEastAsia" w:hAnsiTheme="minorEastAsia" w:hint="eastAsia"/>
                <w:sz w:val="20"/>
                <w:szCs w:val="20"/>
              </w:rPr>
              <w:t>の見通し</w:t>
            </w:r>
            <w:r w:rsidR="00A901CD">
              <w:rPr>
                <w:rFonts w:asciiTheme="minorEastAsia" w:hAnsiTheme="minorEastAsia" w:hint="eastAsia"/>
                <w:sz w:val="20"/>
                <w:szCs w:val="20"/>
              </w:rPr>
              <w:t>で</w:t>
            </w:r>
            <w:r>
              <w:rPr>
                <w:rFonts w:asciiTheme="minorEastAsia" w:hAnsiTheme="minorEastAsia" w:hint="eastAsia"/>
                <w:sz w:val="20"/>
                <w:szCs w:val="20"/>
              </w:rPr>
              <w:t>は</w:t>
            </w:r>
            <w:r w:rsidRPr="00EB6231">
              <w:rPr>
                <w:rFonts w:asciiTheme="minorEastAsia" w:hAnsiTheme="minorEastAsia" w:hint="eastAsia"/>
                <w:sz w:val="20"/>
                <w:szCs w:val="20"/>
              </w:rPr>
              <w:t>、例年より</w:t>
            </w:r>
            <w:r w:rsidR="00A901CD">
              <w:rPr>
                <w:rFonts w:asciiTheme="minorEastAsia" w:hAnsiTheme="minorEastAsia" w:hint="eastAsia"/>
                <w:sz w:val="20"/>
                <w:szCs w:val="20"/>
              </w:rPr>
              <w:t>も</w:t>
            </w:r>
            <w:r w:rsidRPr="00EB6231">
              <w:rPr>
                <w:rFonts w:asciiTheme="minorEastAsia" w:hAnsiTheme="minorEastAsia" w:hint="eastAsia"/>
                <w:sz w:val="20"/>
                <w:szCs w:val="20"/>
              </w:rPr>
              <w:t>引き合いが</w:t>
            </w:r>
            <w:r>
              <w:rPr>
                <w:rFonts w:asciiTheme="minorEastAsia" w:hAnsiTheme="minorEastAsia" w:hint="eastAsia"/>
                <w:sz w:val="20"/>
                <w:szCs w:val="20"/>
              </w:rPr>
              <w:t>少ない</w:t>
            </w:r>
            <w:r w:rsidRPr="00EB6231">
              <w:rPr>
                <w:rFonts w:asciiTheme="minorEastAsia" w:hAnsiTheme="minorEastAsia" w:hint="eastAsia"/>
                <w:sz w:val="20"/>
                <w:szCs w:val="20"/>
              </w:rPr>
              <w:t>一方、</w:t>
            </w:r>
            <w:r>
              <w:rPr>
                <w:rFonts w:asciiTheme="minorEastAsia" w:hAnsiTheme="minorEastAsia" w:hint="eastAsia"/>
                <w:sz w:val="20"/>
                <w:szCs w:val="20"/>
              </w:rPr>
              <w:t>総戸数</w:t>
            </w:r>
            <w:r w:rsidR="00A901CD">
              <w:rPr>
                <w:rFonts w:asciiTheme="minorEastAsia" w:hAnsiTheme="minorEastAsia" w:hint="eastAsia"/>
                <w:sz w:val="20"/>
                <w:szCs w:val="20"/>
              </w:rPr>
              <w:t>30戸程度の小規模</w:t>
            </w:r>
            <w:r w:rsidRPr="00EB6231">
              <w:rPr>
                <w:rFonts w:asciiTheme="minorEastAsia" w:hAnsiTheme="minorEastAsia" w:hint="eastAsia"/>
                <w:sz w:val="20"/>
                <w:szCs w:val="20"/>
              </w:rPr>
              <w:t>マンションなど</w:t>
            </w:r>
            <w:r w:rsidR="00554C2D">
              <w:rPr>
                <w:rFonts w:asciiTheme="minorEastAsia" w:hAnsiTheme="minorEastAsia" w:hint="eastAsia"/>
                <w:sz w:val="20"/>
                <w:szCs w:val="20"/>
              </w:rPr>
              <w:t>、</w:t>
            </w:r>
            <w:r w:rsidRPr="00EB6231">
              <w:rPr>
                <w:rFonts w:asciiTheme="minorEastAsia" w:hAnsiTheme="minorEastAsia" w:hint="eastAsia"/>
                <w:sz w:val="20"/>
                <w:szCs w:val="20"/>
              </w:rPr>
              <w:t>一部に</w:t>
            </w:r>
            <w:r w:rsidR="00A901CD">
              <w:rPr>
                <w:rFonts w:asciiTheme="minorEastAsia" w:hAnsiTheme="minorEastAsia" w:hint="eastAsia"/>
                <w:sz w:val="20"/>
                <w:szCs w:val="20"/>
              </w:rPr>
              <w:t>受注が戻っている動き</w:t>
            </w:r>
            <w:r w:rsidR="00554C2D">
              <w:rPr>
                <w:rFonts w:asciiTheme="minorEastAsia" w:hAnsiTheme="minorEastAsia" w:hint="eastAsia"/>
                <w:sz w:val="20"/>
                <w:szCs w:val="20"/>
              </w:rPr>
              <w:t>も</w:t>
            </w:r>
            <w:r w:rsidR="00A901CD">
              <w:rPr>
                <w:rFonts w:asciiTheme="minorEastAsia" w:hAnsiTheme="minorEastAsia" w:hint="eastAsia"/>
                <w:sz w:val="20"/>
                <w:szCs w:val="20"/>
              </w:rPr>
              <w:t>みられた</w:t>
            </w:r>
            <w:r w:rsidRPr="00EB6231">
              <w:rPr>
                <w:rFonts w:asciiTheme="minorEastAsia" w:hAnsiTheme="minorEastAsia" w:hint="eastAsia"/>
                <w:sz w:val="20"/>
                <w:szCs w:val="20"/>
              </w:rPr>
              <w:t>。</w:t>
            </w:r>
          </w:p>
        </w:tc>
        <w:tc>
          <w:tcPr>
            <w:tcW w:w="1447" w:type="pct"/>
          </w:tcPr>
          <w:p w:rsidR="00A94597" w:rsidRPr="00EB6231" w:rsidRDefault="00CF37AA" w:rsidP="00670B8C">
            <w:pPr>
              <w:snapToGrid w:val="0"/>
              <w:rPr>
                <w:rFonts w:asciiTheme="minorEastAsia" w:hAnsiTheme="minorEastAsia"/>
                <w:color w:val="FF0000"/>
                <w:sz w:val="20"/>
                <w:szCs w:val="20"/>
              </w:rPr>
            </w:pPr>
            <w:r w:rsidRPr="005D22E8">
              <w:rPr>
                <w:rFonts w:asciiTheme="minorEastAsia" w:hAnsiTheme="minorEastAsia" w:hint="eastAsia"/>
                <w:sz w:val="20"/>
                <w:szCs w:val="20"/>
              </w:rPr>
              <w:t>24年以降の全国の</w:t>
            </w:r>
            <w:r w:rsidR="005D22E8">
              <w:rPr>
                <w:rFonts w:asciiTheme="minorEastAsia" w:hAnsiTheme="minorEastAsia" w:hint="eastAsia"/>
                <w:sz w:val="20"/>
                <w:szCs w:val="20"/>
              </w:rPr>
              <w:t>年間</w:t>
            </w:r>
            <w:r w:rsidRPr="005D22E8">
              <w:rPr>
                <w:rFonts w:asciiTheme="minorEastAsia" w:hAnsiTheme="minorEastAsia" w:hint="eastAsia"/>
                <w:sz w:val="20"/>
                <w:szCs w:val="20"/>
              </w:rPr>
              <w:t>販売量は170万トン前後、</w:t>
            </w:r>
            <w:r w:rsidR="005D22E8">
              <w:rPr>
                <w:rFonts w:asciiTheme="minorEastAsia" w:hAnsiTheme="minorEastAsia" w:hint="eastAsia"/>
                <w:sz w:val="20"/>
                <w:szCs w:val="20"/>
              </w:rPr>
              <w:t>年間</w:t>
            </w:r>
            <w:r w:rsidRPr="005D22E8">
              <w:rPr>
                <w:rFonts w:asciiTheme="minorEastAsia" w:hAnsiTheme="minorEastAsia" w:hint="eastAsia"/>
                <w:sz w:val="20"/>
                <w:szCs w:val="20"/>
              </w:rPr>
              <w:t>生産量は160万トン前後で推移し、需要は安定している</w:t>
            </w:r>
            <w:r w:rsidR="004A4E51" w:rsidRPr="005D22E8">
              <w:rPr>
                <w:rFonts w:asciiTheme="minorEastAsia" w:hAnsiTheme="minorEastAsia" w:hint="eastAsia"/>
                <w:sz w:val="20"/>
                <w:szCs w:val="20"/>
              </w:rPr>
              <w:t>ものの、</w:t>
            </w:r>
            <w:r w:rsidR="009552D6">
              <w:rPr>
                <w:rFonts w:asciiTheme="minorEastAsia" w:hAnsiTheme="minorEastAsia" w:hint="eastAsia"/>
                <w:sz w:val="20"/>
                <w:szCs w:val="20"/>
              </w:rPr>
              <w:t>国内需要の</w:t>
            </w:r>
            <w:r w:rsidR="004A4E51" w:rsidRPr="005D22E8">
              <w:rPr>
                <w:rFonts w:asciiTheme="minorEastAsia" w:hAnsiTheme="minorEastAsia" w:hint="eastAsia"/>
                <w:sz w:val="20"/>
                <w:szCs w:val="20"/>
              </w:rPr>
              <w:t>大きな伸びが見込みにくい現状である。円安</w:t>
            </w:r>
            <w:r w:rsidR="00670B8C">
              <w:rPr>
                <w:rFonts w:asciiTheme="minorEastAsia" w:hAnsiTheme="minorEastAsia" w:hint="eastAsia"/>
                <w:sz w:val="20"/>
                <w:szCs w:val="20"/>
              </w:rPr>
              <w:t>の影響に</w:t>
            </w:r>
            <w:r w:rsidR="004A4E51" w:rsidRPr="005D22E8">
              <w:rPr>
                <w:rFonts w:asciiTheme="minorEastAsia" w:hAnsiTheme="minorEastAsia" w:hint="eastAsia"/>
                <w:sz w:val="20"/>
                <w:szCs w:val="20"/>
              </w:rPr>
              <w:t>よる原材料価格上昇の懸念から、収益</w:t>
            </w:r>
            <w:r w:rsidR="00670B8C">
              <w:rPr>
                <w:rFonts w:asciiTheme="minorEastAsia" w:hAnsiTheme="minorEastAsia" w:hint="eastAsia"/>
                <w:sz w:val="20"/>
                <w:szCs w:val="20"/>
              </w:rPr>
              <w:t>面では</w:t>
            </w:r>
            <w:r w:rsidR="005D22E8" w:rsidRPr="005D22E8">
              <w:rPr>
                <w:rFonts w:asciiTheme="minorEastAsia" w:hAnsiTheme="minorEastAsia" w:hint="eastAsia"/>
                <w:sz w:val="20"/>
                <w:szCs w:val="20"/>
              </w:rPr>
              <w:t>厳しい状況がみられた。</w:t>
            </w:r>
          </w:p>
        </w:tc>
        <w:tc>
          <w:tcPr>
            <w:tcW w:w="1447" w:type="pct"/>
          </w:tcPr>
          <w:p w:rsidR="00A94597" w:rsidRPr="00EB6231" w:rsidRDefault="009552D6" w:rsidP="00B45B46">
            <w:pPr>
              <w:snapToGrid w:val="0"/>
              <w:rPr>
                <w:rFonts w:asciiTheme="minorEastAsia" w:hAnsiTheme="minorEastAsia"/>
                <w:sz w:val="20"/>
                <w:szCs w:val="20"/>
              </w:rPr>
            </w:pPr>
            <w:r>
              <w:rPr>
                <w:rFonts w:asciiTheme="minorEastAsia" w:hAnsiTheme="minorEastAsia" w:hint="eastAsia"/>
                <w:sz w:val="20"/>
                <w:szCs w:val="20"/>
              </w:rPr>
              <w:t>新商品や新規需要の好要因にも支えられ、売上げは堅調に推移しているが、納入先の値下げ要求により、利益の確保が困難化している。今後、一部新商品等の特需の影響</w:t>
            </w:r>
            <w:r w:rsidR="00B45B46">
              <w:rPr>
                <w:rFonts w:asciiTheme="minorEastAsia" w:hAnsiTheme="minorEastAsia" w:hint="eastAsia"/>
                <w:sz w:val="20"/>
                <w:szCs w:val="20"/>
              </w:rPr>
              <w:t>が</w:t>
            </w:r>
            <w:r>
              <w:rPr>
                <w:rFonts w:asciiTheme="minorEastAsia" w:hAnsiTheme="minorEastAsia" w:hint="eastAsia"/>
                <w:sz w:val="20"/>
                <w:szCs w:val="20"/>
              </w:rPr>
              <w:t>予測される</w:t>
            </w:r>
            <w:r w:rsidR="00B45B46">
              <w:rPr>
                <w:rFonts w:asciiTheme="minorEastAsia" w:hAnsiTheme="minorEastAsia" w:hint="eastAsia"/>
                <w:sz w:val="20"/>
                <w:szCs w:val="20"/>
              </w:rPr>
              <w:t>ものの、</w:t>
            </w:r>
            <w:r>
              <w:rPr>
                <w:rFonts w:asciiTheme="minorEastAsia" w:hAnsiTheme="minorEastAsia" w:hint="eastAsia"/>
                <w:sz w:val="20"/>
                <w:szCs w:val="20"/>
              </w:rPr>
              <w:t>総体的には競合が激化し、厳しい状況</w:t>
            </w:r>
            <w:r w:rsidR="00B45B46">
              <w:rPr>
                <w:rFonts w:asciiTheme="minorEastAsia" w:hAnsiTheme="minorEastAsia" w:hint="eastAsia"/>
                <w:sz w:val="20"/>
                <w:szCs w:val="20"/>
              </w:rPr>
              <w:t>になると予測する企業が多い。</w:t>
            </w:r>
          </w:p>
        </w:tc>
      </w:tr>
      <w:tr w:rsidR="00CF788C" w:rsidRPr="00CF788C" w:rsidTr="00670B8C">
        <w:trPr>
          <w:trHeight w:val="20"/>
        </w:trPr>
        <w:tc>
          <w:tcPr>
            <w:tcW w:w="660" w:type="pct"/>
            <w:shd w:val="clear" w:color="auto" w:fill="B8CCE4" w:themeFill="accent1" w:themeFillTint="66"/>
            <w:vAlign w:val="center"/>
          </w:tcPr>
          <w:p w:rsidR="00A94597" w:rsidRPr="00496630" w:rsidRDefault="00A94597" w:rsidP="00670B8C">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売上高、売上単価</w:t>
            </w:r>
          </w:p>
        </w:tc>
        <w:tc>
          <w:tcPr>
            <w:tcW w:w="1447" w:type="pct"/>
          </w:tcPr>
          <w:p w:rsidR="00A94597" w:rsidRPr="00630A6B" w:rsidRDefault="00B56765" w:rsidP="00670B8C">
            <w:pPr>
              <w:snapToGrid w:val="0"/>
              <w:rPr>
                <w:rFonts w:asciiTheme="minorEastAsia" w:hAnsiTheme="minorEastAsia"/>
                <w:sz w:val="20"/>
                <w:szCs w:val="20"/>
              </w:rPr>
            </w:pPr>
            <w:r w:rsidRPr="00630A6B">
              <w:rPr>
                <w:rFonts w:asciiTheme="minorEastAsia" w:hAnsiTheme="minorEastAsia" w:hint="eastAsia"/>
                <w:sz w:val="20"/>
                <w:szCs w:val="20"/>
              </w:rPr>
              <w:t>消費税率引上げ後、保育園･子ども園などの下駄箱やロッカー、ブティックの内装、学習塾の机や下駄箱の受注が堅調</w:t>
            </w:r>
            <w:r w:rsidR="0026503B">
              <w:rPr>
                <w:rFonts w:asciiTheme="minorEastAsia" w:hAnsiTheme="minorEastAsia" w:hint="eastAsia"/>
                <w:sz w:val="20"/>
                <w:szCs w:val="20"/>
              </w:rPr>
              <w:t>なほか、一部の</w:t>
            </w:r>
            <w:r w:rsidRPr="00630A6B">
              <w:rPr>
                <w:rFonts w:asciiTheme="minorEastAsia" w:hAnsiTheme="minorEastAsia" w:hint="eastAsia"/>
                <w:sz w:val="20"/>
                <w:szCs w:val="20"/>
              </w:rPr>
              <w:t>老人保健施設や医療施設</w:t>
            </w:r>
            <w:r w:rsidR="0026503B">
              <w:rPr>
                <w:rFonts w:asciiTheme="minorEastAsia" w:hAnsiTheme="minorEastAsia" w:hint="eastAsia"/>
                <w:sz w:val="20"/>
                <w:szCs w:val="20"/>
              </w:rPr>
              <w:t>の受注が堅調に推移した。</w:t>
            </w:r>
            <w:r w:rsidR="00E07E79">
              <w:rPr>
                <w:rFonts w:asciiTheme="minorEastAsia" w:hAnsiTheme="minorEastAsia" w:hint="eastAsia"/>
                <w:sz w:val="20"/>
                <w:szCs w:val="20"/>
              </w:rPr>
              <w:t>需要地が東京である企業は比較的好調であった。</w:t>
            </w:r>
          </w:p>
        </w:tc>
        <w:tc>
          <w:tcPr>
            <w:tcW w:w="1447" w:type="pct"/>
          </w:tcPr>
          <w:p w:rsidR="00A94597" w:rsidRPr="00EB6231" w:rsidRDefault="005D22E8" w:rsidP="00D2292C">
            <w:pPr>
              <w:snapToGrid w:val="0"/>
              <w:rPr>
                <w:rFonts w:asciiTheme="minorEastAsia" w:hAnsiTheme="minorEastAsia"/>
                <w:color w:val="FF0000"/>
                <w:sz w:val="20"/>
                <w:szCs w:val="20"/>
              </w:rPr>
            </w:pPr>
            <w:r w:rsidRPr="00670B8C">
              <w:rPr>
                <w:rFonts w:asciiTheme="minorEastAsia" w:hAnsiTheme="minorEastAsia" w:hint="eastAsia"/>
                <w:sz w:val="20"/>
                <w:szCs w:val="20"/>
              </w:rPr>
              <w:t>需要分野では、「船舶・構造物」が前年比プラスであったが、</w:t>
            </w:r>
            <w:r w:rsidR="00670B8C" w:rsidRPr="00670B8C">
              <w:rPr>
                <w:rFonts w:asciiTheme="minorEastAsia" w:hAnsiTheme="minorEastAsia" w:hint="eastAsia"/>
                <w:sz w:val="20"/>
                <w:szCs w:val="20"/>
              </w:rPr>
              <w:t>「自動車」「電気･機械･金属」「木工」「建築」などは前年比マイナスで、需要の伸びが見込みにくい上、経費上昇に見合った販売価格を実現できていない。</w:t>
            </w:r>
          </w:p>
        </w:tc>
        <w:tc>
          <w:tcPr>
            <w:tcW w:w="1447" w:type="pct"/>
          </w:tcPr>
          <w:p w:rsidR="00A94597" w:rsidRPr="00CF788C" w:rsidRDefault="003073D6" w:rsidP="00D1698A">
            <w:pPr>
              <w:snapToGrid w:val="0"/>
              <w:rPr>
                <w:rFonts w:asciiTheme="minorEastAsia" w:hAnsiTheme="minorEastAsia"/>
                <w:sz w:val="20"/>
                <w:szCs w:val="20"/>
              </w:rPr>
            </w:pPr>
            <w:r w:rsidRPr="00CF788C">
              <w:rPr>
                <w:rFonts w:asciiTheme="minorEastAsia" w:hAnsiTheme="minorEastAsia" w:hint="eastAsia"/>
                <w:sz w:val="20"/>
                <w:szCs w:val="20"/>
              </w:rPr>
              <w:t>消費増税</w:t>
            </w:r>
            <w:r w:rsidR="00D1698A">
              <w:rPr>
                <w:rFonts w:asciiTheme="minorEastAsia" w:hAnsiTheme="minorEastAsia" w:hint="eastAsia"/>
                <w:sz w:val="20"/>
                <w:szCs w:val="20"/>
              </w:rPr>
              <w:t>後</w:t>
            </w:r>
            <w:r w:rsidR="00CF788C" w:rsidRPr="00CF788C">
              <w:rPr>
                <w:rFonts w:asciiTheme="minorEastAsia" w:hAnsiTheme="minorEastAsia" w:hint="eastAsia"/>
                <w:sz w:val="20"/>
                <w:szCs w:val="20"/>
              </w:rPr>
              <w:t>の買い控え</w:t>
            </w:r>
            <w:r w:rsidRPr="00CF788C">
              <w:rPr>
                <w:rFonts w:asciiTheme="minorEastAsia" w:hAnsiTheme="minorEastAsia" w:hint="eastAsia"/>
                <w:sz w:val="20"/>
                <w:szCs w:val="20"/>
              </w:rPr>
              <w:t>の反動や希少疾病用医薬品等</w:t>
            </w:r>
            <w:r w:rsidR="00CF788C" w:rsidRPr="00CF788C">
              <w:rPr>
                <w:rFonts w:asciiTheme="minorEastAsia" w:hAnsiTheme="minorEastAsia" w:hint="eastAsia"/>
                <w:sz w:val="20"/>
                <w:szCs w:val="20"/>
              </w:rPr>
              <w:t>の</w:t>
            </w:r>
            <w:r w:rsidRPr="00CF788C">
              <w:rPr>
                <w:rFonts w:asciiTheme="minorEastAsia" w:hAnsiTheme="minorEastAsia" w:hint="eastAsia"/>
                <w:sz w:val="20"/>
                <w:szCs w:val="20"/>
              </w:rPr>
              <w:t>売上げ増の一方、後発医薬品の</w:t>
            </w:r>
            <w:r w:rsidR="00CF788C" w:rsidRPr="00CF788C">
              <w:rPr>
                <w:rFonts w:asciiTheme="minorEastAsia" w:hAnsiTheme="minorEastAsia" w:hint="eastAsia"/>
                <w:sz w:val="20"/>
                <w:szCs w:val="20"/>
              </w:rPr>
              <w:t>促進により</w:t>
            </w:r>
            <w:r w:rsidRPr="00CF788C">
              <w:rPr>
                <w:rFonts w:asciiTheme="minorEastAsia" w:hAnsiTheme="minorEastAsia" w:hint="eastAsia"/>
                <w:sz w:val="20"/>
                <w:szCs w:val="20"/>
              </w:rPr>
              <w:t>、先発医薬品を多く取り扱う企業の売上げは減少した。</w:t>
            </w:r>
            <w:r w:rsidR="00CF788C" w:rsidRPr="00CF788C">
              <w:rPr>
                <w:rFonts w:asciiTheme="minorEastAsia" w:hAnsiTheme="minorEastAsia" w:hint="eastAsia"/>
                <w:sz w:val="20"/>
                <w:szCs w:val="20"/>
              </w:rPr>
              <w:t>一般用は、外国人観光客の大量購入の影響等</w:t>
            </w:r>
            <w:r w:rsidR="00CF788C">
              <w:rPr>
                <w:rFonts w:asciiTheme="minorEastAsia" w:hAnsiTheme="minorEastAsia" w:hint="eastAsia"/>
                <w:sz w:val="20"/>
                <w:szCs w:val="20"/>
              </w:rPr>
              <w:t>で、</w:t>
            </w:r>
            <w:r w:rsidR="00CF788C" w:rsidRPr="00CF788C">
              <w:rPr>
                <w:rFonts w:asciiTheme="minorEastAsia" w:hAnsiTheme="minorEastAsia" w:hint="eastAsia"/>
                <w:sz w:val="20"/>
                <w:szCs w:val="20"/>
              </w:rPr>
              <w:t>対前年比10％</w:t>
            </w:r>
            <w:r w:rsidR="00CF788C">
              <w:rPr>
                <w:rFonts w:asciiTheme="minorEastAsia" w:hAnsiTheme="minorEastAsia" w:hint="eastAsia"/>
                <w:sz w:val="20"/>
                <w:szCs w:val="20"/>
              </w:rPr>
              <w:t>超</w:t>
            </w:r>
            <w:r w:rsidR="00CF788C" w:rsidRPr="00CF788C">
              <w:rPr>
                <w:rFonts w:asciiTheme="minorEastAsia" w:hAnsiTheme="minorEastAsia" w:hint="eastAsia"/>
                <w:sz w:val="20"/>
                <w:szCs w:val="20"/>
              </w:rPr>
              <w:t>増加した。</w:t>
            </w:r>
          </w:p>
        </w:tc>
      </w:tr>
      <w:tr w:rsidR="00A94597" w:rsidRPr="00A411CC" w:rsidTr="00670B8C">
        <w:trPr>
          <w:trHeight w:val="20"/>
        </w:trPr>
        <w:tc>
          <w:tcPr>
            <w:tcW w:w="660" w:type="pct"/>
            <w:shd w:val="clear" w:color="auto" w:fill="B8CCE4" w:themeFill="accent1" w:themeFillTint="66"/>
            <w:vAlign w:val="center"/>
          </w:tcPr>
          <w:p w:rsidR="00A94597" w:rsidRPr="00496630" w:rsidRDefault="00A94597" w:rsidP="00670B8C">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原材料・仕入価格</w:t>
            </w:r>
          </w:p>
        </w:tc>
        <w:tc>
          <w:tcPr>
            <w:tcW w:w="1447" w:type="pct"/>
          </w:tcPr>
          <w:p w:rsidR="00A94597" w:rsidRPr="00630A6B" w:rsidRDefault="00630A6B" w:rsidP="00670B8C">
            <w:pPr>
              <w:snapToGrid w:val="0"/>
              <w:rPr>
                <w:rFonts w:asciiTheme="minorEastAsia" w:hAnsiTheme="minorEastAsia"/>
                <w:sz w:val="20"/>
                <w:szCs w:val="20"/>
              </w:rPr>
            </w:pPr>
            <w:r w:rsidRPr="00630A6B">
              <w:rPr>
                <w:rFonts w:asciiTheme="minorEastAsia" w:hAnsiTheme="minorEastAsia" w:hint="eastAsia"/>
                <w:sz w:val="20"/>
                <w:szCs w:val="20"/>
              </w:rPr>
              <w:t>円安の影響</w:t>
            </w:r>
            <w:r>
              <w:rPr>
                <w:rFonts w:asciiTheme="minorEastAsia" w:hAnsiTheme="minorEastAsia" w:hint="eastAsia"/>
                <w:sz w:val="20"/>
                <w:szCs w:val="20"/>
              </w:rPr>
              <w:t>により</w:t>
            </w:r>
            <w:r w:rsidRPr="00630A6B">
              <w:rPr>
                <w:rFonts w:asciiTheme="minorEastAsia" w:hAnsiTheme="minorEastAsia" w:hint="eastAsia"/>
                <w:sz w:val="20"/>
                <w:szCs w:val="20"/>
              </w:rPr>
              <w:t>、</w:t>
            </w:r>
            <w:r>
              <w:rPr>
                <w:rFonts w:asciiTheme="minorEastAsia" w:hAnsiTheme="minorEastAsia" w:hint="eastAsia"/>
                <w:sz w:val="20"/>
                <w:szCs w:val="20"/>
              </w:rPr>
              <w:t>ベニヤ板や兆番などの金具の材料費が１～２割上昇しているが、原材料価格の上昇を受注単価に容易に転嫁できないため、採算</w:t>
            </w:r>
            <w:r w:rsidR="0026503B">
              <w:rPr>
                <w:rFonts w:asciiTheme="minorEastAsia" w:hAnsiTheme="minorEastAsia" w:hint="eastAsia"/>
                <w:sz w:val="20"/>
                <w:szCs w:val="20"/>
              </w:rPr>
              <w:t>（収益）の確保が困難化している。</w:t>
            </w:r>
          </w:p>
        </w:tc>
        <w:tc>
          <w:tcPr>
            <w:tcW w:w="1447" w:type="pct"/>
          </w:tcPr>
          <w:p w:rsidR="00A94597" w:rsidRPr="00EB6231" w:rsidRDefault="005D22E8" w:rsidP="00670B8C">
            <w:pPr>
              <w:snapToGrid w:val="0"/>
              <w:rPr>
                <w:rFonts w:asciiTheme="minorEastAsia" w:hAnsiTheme="minorEastAsia"/>
                <w:color w:val="FF0000"/>
                <w:sz w:val="20"/>
                <w:szCs w:val="20"/>
              </w:rPr>
            </w:pPr>
            <w:r w:rsidRPr="005D22E8">
              <w:rPr>
                <w:rFonts w:asciiTheme="minorEastAsia" w:hAnsiTheme="minorEastAsia" w:hint="eastAsia"/>
                <w:sz w:val="20"/>
                <w:szCs w:val="20"/>
              </w:rPr>
              <w:t>円安の影響で輸入原材料の価格上昇を懸念する動きがみられたものの、販売価格への転嫁状況は３割程度にとどまるため、経費削減に取り組む企業が多く、収益的には厳しかった。</w:t>
            </w:r>
          </w:p>
        </w:tc>
        <w:tc>
          <w:tcPr>
            <w:tcW w:w="1447" w:type="pct"/>
          </w:tcPr>
          <w:p w:rsidR="00A94597" w:rsidRPr="00EB6231" w:rsidRDefault="00196D22" w:rsidP="00D1698A">
            <w:pPr>
              <w:snapToGrid w:val="0"/>
              <w:rPr>
                <w:rFonts w:asciiTheme="minorEastAsia" w:hAnsiTheme="minorEastAsia"/>
                <w:sz w:val="20"/>
                <w:szCs w:val="20"/>
              </w:rPr>
            </w:pPr>
            <w:r>
              <w:rPr>
                <w:rFonts w:asciiTheme="minorEastAsia" w:hAnsiTheme="minorEastAsia" w:hint="eastAsia"/>
                <w:sz w:val="20"/>
                <w:szCs w:val="20"/>
              </w:rPr>
              <w:t>消費</w:t>
            </w:r>
            <w:bookmarkStart w:id="0" w:name="_GoBack"/>
            <w:bookmarkEnd w:id="0"/>
            <w:r>
              <w:rPr>
                <w:rFonts w:asciiTheme="minorEastAsia" w:hAnsiTheme="minorEastAsia" w:hint="eastAsia"/>
                <w:sz w:val="20"/>
                <w:szCs w:val="20"/>
              </w:rPr>
              <w:t>増税分の価格転嫁は行われていない。また、商品単価の下落と</w:t>
            </w:r>
            <w:r>
              <w:rPr>
                <w:rFonts w:asciiTheme="minorEastAsia" w:hAnsiTheme="minorEastAsia"/>
                <w:sz w:val="20"/>
                <w:szCs w:val="20"/>
              </w:rPr>
              <w:t>納入先</w:t>
            </w:r>
            <w:r>
              <w:rPr>
                <w:rFonts w:asciiTheme="minorEastAsia" w:hAnsiTheme="minorEastAsia" w:hint="eastAsia"/>
                <w:sz w:val="20"/>
                <w:szCs w:val="20"/>
              </w:rPr>
              <w:t>（医療機関、ドラッグストアなど）</w:t>
            </w:r>
            <w:r>
              <w:rPr>
                <w:rFonts w:asciiTheme="minorEastAsia" w:hAnsiTheme="minorEastAsia"/>
                <w:sz w:val="20"/>
                <w:szCs w:val="20"/>
              </w:rPr>
              <w:t>の</w:t>
            </w:r>
            <w:r>
              <w:rPr>
                <w:rFonts w:asciiTheme="minorEastAsia" w:hAnsiTheme="minorEastAsia" w:hint="eastAsia"/>
                <w:sz w:val="20"/>
                <w:szCs w:val="20"/>
              </w:rPr>
              <w:t>値下げ要求により、利益を圧迫している。</w:t>
            </w:r>
          </w:p>
        </w:tc>
      </w:tr>
      <w:tr w:rsidR="00A94597" w:rsidRPr="00A411CC" w:rsidTr="00D2292C">
        <w:trPr>
          <w:trHeight w:val="20"/>
        </w:trPr>
        <w:tc>
          <w:tcPr>
            <w:tcW w:w="660" w:type="pct"/>
            <w:shd w:val="clear" w:color="auto" w:fill="B8CCE4" w:themeFill="accent1" w:themeFillTint="66"/>
            <w:vAlign w:val="center"/>
          </w:tcPr>
          <w:p w:rsidR="00A94597" w:rsidRPr="00496630" w:rsidRDefault="00A94597" w:rsidP="00670B8C">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設備投資</w:t>
            </w:r>
          </w:p>
        </w:tc>
        <w:tc>
          <w:tcPr>
            <w:tcW w:w="1447" w:type="pct"/>
          </w:tcPr>
          <w:p w:rsidR="00A94597" w:rsidRPr="00630A6B" w:rsidRDefault="0026503B" w:rsidP="00D2292C">
            <w:pPr>
              <w:snapToGrid w:val="0"/>
              <w:rPr>
                <w:rFonts w:asciiTheme="minorEastAsia" w:hAnsiTheme="minorEastAsia"/>
                <w:sz w:val="20"/>
                <w:szCs w:val="20"/>
              </w:rPr>
            </w:pPr>
            <w:r>
              <w:rPr>
                <w:rFonts w:asciiTheme="minorEastAsia" w:hAnsiTheme="minorEastAsia" w:hint="eastAsia"/>
                <w:sz w:val="20"/>
                <w:szCs w:val="20"/>
              </w:rPr>
              <w:t>総体的に投資には消極的だが、</w:t>
            </w:r>
            <w:r w:rsidR="00A520F7">
              <w:rPr>
                <w:rFonts w:asciiTheme="minorEastAsia" w:hAnsiTheme="minorEastAsia" w:hint="eastAsia"/>
                <w:sz w:val="20"/>
                <w:szCs w:val="20"/>
              </w:rPr>
              <w:t>能力増強と</w:t>
            </w:r>
            <w:r>
              <w:rPr>
                <w:rFonts w:asciiTheme="minorEastAsia" w:hAnsiTheme="minorEastAsia" w:hint="eastAsia"/>
                <w:sz w:val="20"/>
                <w:szCs w:val="20"/>
              </w:rPr>
              <w:t>加工精度向上のために木工機械を導入する例がみられた。</w:t>
            </w:r>
          </w:p>
        </w:tc>
        <w:tc>
          <w:tcPr>
            <w:tcW w:w="1447" w:type="pct"/>
          </w:tcPr>
          <w:p w:rsidR="00A94597" w:rsidRPr="00670B8C" w:rsidRDefault="005D22E8" w:rsidP="00D2292C">
            <w:pPr>
              <w:snapToGrid w:val="0"/>
              <w:rPr>
                <w:rFonts w:asciiTheme="minorEastAsia" w:hAnsiTheme="minorEastAsia"/>
                <w:sz w:val="20"/>
                <w:szCs w:val="20"/>
              </w:rPr>
            </w:pPr>
            <w:r w:rsidRPr="00670B8C">
              <w:rPr>
                <w:rFonts w:asciiTheme="minorEastAsia" w:hAnsiTheme="minorEastAsia" w:hint="eastAsia"/>
                <w:sz w:val="20"/>
                <w:szCs w:val="20"/>
              </w:rPr>
              <w:t>維持･補修が中心で、減価償却費の範囲内にとどめる企業もみられた。海外進出企業は</w:t>
            </w:r>
            <w:r w:rsidR="00670B8C" w:rsidRPr="00670B8C">
              <w:rPr>
                <w:rFonts w:asciiTheme="minorEastAsia" w:hAnsiTheme="minorEastAsia" w:hint="eastAsia"/>
                <w:sz w:val="20"/>
                <w:szCs w:val="20"/>
              </w:rPr>
              <w:t>、現地需要対応のため</w:t>
            </w:r>
            <w:r w:rsidRPr="00670B8C">
              <w:rPr>
                <w:rFonts w:asciiTheme="minorEastAsia" w:hAnsiTheme="minorEastAsia" w:hint="eastAsia"/>
                <w:sz w:val="20"/>
                <w:szCs w:val="20"/>
              </w:rPr>
              <w:t>投資</w:t>
            </w:r>
            <w:r w:rsidR="00670B8C" w:rsidRPr="00670B8C">
              <w:rPr>
                <w:rFonts w:asciiTheme="minorEastAsia" w:hAnsiTheme="minorEastAsia" w:hint="eastAsia"/>
                <w:sz w:val="20"/>
                <w:szCs w:val="20"/>
              </w:rPr>
              <w:t>する</w:t>
            </w:r>
            <w:r w:rsidRPr="00670B8C">
              <w:rPr>
                <w:rFonts w:asciiTheme="minorEastAsia" w:hAnsiTheme="minorEastAsia" w:hint="eastAsia"/>
                <w:sz w:val="20"/>
                <w:szCs w:val="20"/>
              </w:rPr>
              <w:t>ケース</w:t>
            </w:r>
            <w:r w:rsidR="00670B8C" w:rsidRPr="00670B8C">
              <w:rPr>
                <w:rFonts w:asciiTheme="minorEastAsia" w:hAnsiTheme="minorEastAsia" w:hint="eastAsia"/>
                <w:sz w:val="20"/>
                <w:szCs w:val="20"/>
              </w:rPr>
              <w:t>もみられた。</w:t>
            </w:r>
          </w:p>
        </w:tc>
        <w:tc>
          <w:tcPr>
            <w:tcW w:w="1447" w:type="pct"/>
          </w:tcPr>
          <w:p w:rsidR="00A94597" w:rsidRPr="00EB6231" w:rsidRDefault="00196D22" w:rsidP="00D2292C">
            <w:pPr>
              <w:snapToGrid w:val="0"/>
              <w:rPr>
                <w:rFonts w:asciiTheme="minorEastAsia" w:hAnsiTheme="minorEastAsia"/>
                <w:color w:val="FF0000"/>
                <w:sz w:val="20"/>
                <w:szCs w:val="20"/>
              </w:rPr>
            </w:pPr>
            <w:r w:rsidRPr="00196D22">
              <w:rPr>
                <w:rFonts w:asciiTheme="minorEastAsia" w:hAnsiTheme="minorEastAsia" w:hint="eastAsia"/>
                <w:sz w:val="20"/>
                <w:szCs w:val="20"/>
              </w:rPr>
              <w:t>拠点の建替えや新設、情報システムの入れ替えなど</w:t>
            </w:r>
            <w:r>
              <w:rPr>
                <w:rFonts w:asciiTheme="minorEastAsia" w:hAnsiTheme="minorEastAsia" w:hint="eastAsia"/>
                <w:sz w:val="20"/>
                <w:szCs w:val="20"/>
              </w:rPr>
              <w:t>が</w:t>
            </w:r>
            <w:r w:rsidRPr="00196D22">
              <w:rPr>
                <w:rFonts w:asciiTheme="minorEastAsia" w:hAnsiTheme="minorEastAsia" w:hint="eastAsia"/>
                <w:sz w:val="20"/>
                <w:szCs w:val="20"/>
              </w:rPr>
              <w:t>積極的</w:t>
            </w:r>
            <w:r>
              <w:rPr>
                <w:rFonts w:asciiTheme="minorEastAsia" w:hAnsiTheme="minorEastAsia" w:hint="eastAsia"/>
                <w:sz w:val="20"/>
                <w:szCs w:val="20"/>
              </w:rPr>
              <w:t>に行われている。</w:t>
            </w:r>
          </w:p>
        </w:tc>
      </w:tr>
      <w:tr w:rsidR="00A94597" w:rsidRPr="00A411CC" w:rsidTr="00670B8C">
        <w:trPr>
          <w:trHeight w:val="20"/>
        </w:trPr>
        <w:tc>
          <w:tcPr>
            <w:tcW w:w="660" w:type="pct"/>
            <w:shd w:val="clear" w:color="auto" w:fill="B8CCE4" w:themeFill="accent1" w:themeFillTint="66"/>
            <w:vAlign w:val="center"/>
          </w:tcPr>
          <w:p w:rsidR="00A94597" w:rsidRPr="00496630" w:rsidRDefault="00A94597" w:rsidP="00670B8C">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雇用、賃金</w:t>
            </w:r>
          </w:p>
        </w:tc>
        <w:tc>
          <w:tcPr>
            <w:tcW w:w="1447" w:type="pct"/>
          </w:tcPr>
          <w:p w:rsidR="00A94597" w:rsidRPr="00EB6231" w:rsidRDefault="0026503B" w:rsidP="00942814">
            <w:pPr>
              <w:snapToGrid w:val="0"/>
              <w:rPr>
                <w:rFonts w:asciiTheme="minorEastAsia" w:hAnsiTheme="minorEastAsia"/>
                <w:sz w:val="20"/>
                <w:szCs w:val="20"/>
              </w:rPr>
            </w:pPr>
            <w:r>
              <w:rPr>
                <w:rFonts w:asciiTheme="minorEastAsia" w:hAnsiTheme="minorEastAsia" w:hint="eastAsia"/>
                <w:sz w:val="20"/>
                <w:szCs w:val="20"/>
              </w:rPr>
              <w:t>新たな雇用には消極的だが、受注増</w:t>
            </w:r>
            <w:r w:rsidR="00942814">
              <w:rPr>
                <w:rFonts w:asciiTheme="minorEastAsia" w:hAnsiTheme="minorEastAsia" w:hint="eastAsia"/>
                <w:sz w:val="20"/>
                <w:szCs w:val="20"/>
              </w:rPr>
              <w:t>対応の</w:t>
            </w:r>
            <w:r>
              <w:rPr>
                <w:rFonts w:asciiTheme="minorEastAsia" w:hAnsiTheme="minorEastAsia" w:hint="eastAsia"/>
                <w:sz w:val="20"/>
                <w:szCs w:val="20"/>
              </w:rPr>
              <w:t>増員もみられる。</w:t>
            </w:r>
            <w:r w:rsidR="00B528BF">
              <w:rPr>
                <w:rFonts w:asciiTheme="minorEastAsia" w:hAnsiTheme="minorEastAsia" w:hint="eastAsia"/>
                <w:sz w:val="20"/>
                <w:szCs w:val="20"/>
              </w:rPr>
              <w:t>昨年の消費税率引上げ時に増額された基本給や賞与は、据え置きで推移した。</w:t>
            </w:r>
          </w:p>
        </w:tc>
        <w:tc>
          <w:tcPr>
            <w:tcW w:w="1447" w:type="pct"/>
          </w:tcPr>
          <w:p w:rsidR="00A94597" w:rsidRPr="00EB6231" w:rsidRDefault="00670B8C" w:rsidP="00D1698A">
            <w:pPr>
              <w:snapToGrid w:val="0"/>
              <w:rPr>
                <w:rFonts w:asciiTheme="minorEastAsia" w:hAnsiTheme="minorEastAsia"/>
                <w:color w:val="FF0000"/>
                <w:sz w:val="20"/>
                <w:szCs w:val="20"/>
              </w:rPr>
            </w:pPr>
            <w:r w:rsidRPr="00670B8C">
              <w:rPr>
                <w:rFonts w:asciiTheme="minorEastAsia" w:hAnsiTheme="minorEastAsia" w:hint="eastAsia"/>
                <w:sz w:val="20"/>
                <w:szCs w:val="20"/>
              </w:rPr>
              <w:t>夏の賞与</w:t>
            </w:r>
            <w:r w:rsidR="00D2292C">
              <w:rPr>
                <w:rFonts w:asciiTheme="minorEastAsia" w:hAnsiTheme="minorEastAsia" w:hint="eastAsia"/>
                <w:sz w:val="20"/>
                <w:szCs w:val="20"/>
              </w:rPr>
              <w:t>は</w:t>
            </w:r>
            <w:r w:rsidRPr="00670B8C">
              <w:rPr>
                <w:rFonts w:asciiTheme="minorEastAsia" w:hAnsiTheme="minorEastAsia" w:hint="eastAsia"/>
                <w:sz w:val="20"/>
                <w:szCs w:val="20"/>
              </w:rPr>
              <w:t>支払われ</w:t>
            </w:r>
            <w:r w:rsidR="00D2292C">
              <w:rPr>
                <w:rFonts w:asciiTheme="minorEastAsia" w:hAnsiTheme="minorEastAsia" w:hint="eastAsia"/>
                <w:sz w:val="20"/>
                <w:szCs w:val="20"/>
              </w:rPr>
              <w:t>ている。採用は、</w:t>
            </w:r>
            <w:r>
              <w:rPr>
                <w:rFonts w:asciiTheme="minorEastAsia" w:hAnsiTheme="minorEastAsia" w:hint="eastAsia"/>
                <w:sz w:val="20"/>
                <w:szCs w:val="20"/>
              </w:rPr>
              <w:t>主に定年退職者の欠員補充目的</w:t>
            </w:r>
            <w:r w:rsidR="00D2292C">
              <w:rPr>
                <w:rFonts w:asciiTheme="minorEastAsia" w:hAnsiTheme="minorEastAsia" w:hint="eastAsia"/>
                <w:sz w:val="20"/>
                <w:szCs w:val="20"/>
              </w:rPr>
              <w:t>の</w:t>
            </w:r>
            <w:r>
              <w:rPr>
                <w:rFonts w:asciiTheme="minorEastAsia" w:hAnsiTheme="minorEastAsia" w:hint="eastAsia"/>
                <w:sz w:val="20"/>
                <w:szCs w:val="20"/>
              </w:rPr>
              <w:t>新卒採用</w:t>
            </w:r>
            <w:r w:rsidRPr="00670B8C">
              <w:rPr>
                <w:rFonts w:asciiTheme="minorEastAsia" w:hAnsiTheme="minorEastAsia" w:hint="eastAsia"/>
                <w:sz w:val="20"/>
                <w:szCs w:val="20"/>
              </w:rPr>
              <w:t>活動</w:t>
            </w:r>
            <w:r>
              <w:rPr>
                <w:rFonts w:asciiTheme="minorEastAsia" w:hAnsiTheme="minorEastAsia" w:hint="eastAsia"/>
                <w:sz w:val="20"/>
                <w:szCs w:val="20"/>
              </w:rPr>
              <w:t>が</w:t>
            </w:r>
            <w:r w:rsidRPr="00670B8C">
              <w:rPr>
                <w:rFonts w:asciiTheme="minorEastAsia" w:hAnsiTheme="minorEastAsia" w:hint="eastAsia"/>
                <w:sz w:val="20"/>
                <w:szCs w:val="20"/>
              </w:rPr>
              <w:t>実施されるなど、雇用は概ね</w:t>
            </w:r>
            <w:r w:rsidR="00D1698A">
              <w:rPr>
                <w:rFonts w:asciiTheme="minorEastAsia" w:hAnsiTheme="minorEastAsia" w:hint="eastAsia"/>
                <w:sz w:val="20"/>
                <w:szCs w:val="20"/>
              </w:rPr>
              <w:t>堅調</w:t>
            </w:r>
            <w:r w:rsidRPr="00670B8C">
              <w:rPr>
                <w:rFonts w:asciiTheme="minorEastAsia" w:hAnsiTheme="minorEastAsia" w:hint="eastAsia"/>
                <w:sz w:val="20"/>
                <w:szCs w:val="20"/>
              </w:rPr>
              <w:t>であった。</w:t>
            </w:r>
          </w:p>
        </w:tc>
        <w:tc>
          <w:tcPr>
            <w:tcW w:w="1447" w:type="pct"/>
          </w:tcPr>
          <w:p w:rsidR="00A94597" w:rsidRPr="00EB6231" w:rsidRDefault="00196D22" w:rsidP="00196D22">
            <w:pPr>
              <w:snapToGrid w:val="0"/>
              <w:jc w:val="left"/>
              <w:rPr>
                <w:rFonts w:asciiTheme="minorEastAsia" w:hAnsiTheme="minorEastAsia"/>
                <w:color w:val="FF0000"/>
                <w:sz w:val="20"/>
                <w:szCs w:val="20"/>
              </w:rPr>
            </w:pPr>
            <w:r w:rsidRPr="00196D22">
              <w:rPr>
                <w:rFonts w:asciiTheme="minorEastAsia" w:hAnsiTheme="minorEastAsia" w:hint="eastAsia"/>
                <w:sz w:val="20"/>
                <w:szCs w:val="20"/>
              </w:rPr>
              <w:t>定期採用を行う企業が多く、高齢者を雇用する企業も多い。若干の上昇ながら、夏の賞与やベースアップを行う企業もみられた。</w:t>
            </w:r>
          </w:p>
        </w:tc>
      </w:tr>
      <w:tr w:rsidR="00A94597" w:rsidRPr="00A411CC" w:rsidTr="00670B8C">
        <w:trPr>
          <w:trHeight w:val="20"/>
        </w:trPr>
        <w:tc>
          <w:tcPr>
            <w:tcW w:w="660" w:type="pct"/>
            <w:tcBorders>
              <w:bottom w:val="single" w:sz="4" w:space="0" w:color="auto"/>
            </w:tcBorders>
            <w:shd w:val="clear" w:color="auto" w:fill="B8CCE4" w:themeFill="accent1" w:themeFillTint="66"/>
            <w:vAlign w:val="center"/>
          </w:tcPr>
          <w:p w:rsidR="00A94597" w:rsidRPr="00496630" w:rsidRDefault="00A94597" w:rsidP="00670B8C">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資金繰り</w:t>
            </w:r>
          </w:p>
        </w:tc>
        <w:tc>
          <w:tcPr>
            <w:tcW w:w="1447" w:type="pct"/>
            <w:tcBorders>
              <w:bottom w:val="single" w:sz="4" w:space="0" w:color="auto"/>
            </w:tcBorders>
            <w:vAlign w:val="center"/>
          </w:tcPr>
          <w:p w:rsidR="00A94597" w:rsidRPr="00EB6231" w:rsidRDefault="00A94597" w:rsidP="00670B8C">
            <w:pPr>
              <w:snapToGrid w:val="0"/>
              <w:jc w:val="center"/>
              <w:rPr>
                <w:rFonts w:asciiTheme="minorEastAsia" w:hAnsiTheme="minorEastAsia"/>
                <w:sz w:val="20"/>
                <w:szCs w:val="20"/>
              </w:rPr>
            </w:pPr>
            <w:r w:rsidRPr="00EB6231">
              <w:rPr>
                <w:rFonts w:asciiTheme="minorEastAsia" w:hAnsiTheme="minorEastAsia" w:hint="eastAsia"/>
                <w:sz w:val="20"/>
                <w:szCs w:val="20"/>
              </w:rPr>
              <w:t>－</w:t>
            </w:r>
          </w:p>
        </w:tc>
        <w:tc>
          <w:tcPr>
            <w:tcW w:w="1447" w:type="pct"/>
            <w:tcBorders>
              <w:bottom w:val="single" w:sz="4" w:space="0" w:color="auto"/>
            </w:tcBorders>
          </w:tcPr>
          <w:p w:rsidR="00A94597" w:rsidRPr="00EB6231" w:rsidRDefault="00A94597" w:rsidP="00670B8C">
            <w:pPr>
              <w:snapToGrid w:val="0"/>
              <w:jc w:val="center"/>
              <w:rPr>
                <w:rFonts w:asciiTheme="minorEastAsia" w:hAnsiTheme="minorEastAsia"/>
                <w:color w:val="FF0000"/>
                <w:sz w:val="20"/>
                <w:szCs w:val="20"/>
              </w:rPr>
            </w:pPr>
            <w:r w:rsidRPr="00EB6231">
              <w:rPr>
                <w:rFonts w:asciiTheme="minorEastAsia" w:hAnsiTheme="minorEastAsia" w:hint="eastAsia"/>
                <w:sz w:val="20"/>
                <w:szCs w:val="20"/>
              </w:rPr>
              <w:t>－</w:t>
            </w:r>
          </w:p>
        </w:tc>
        <w:tc>
          <w:tcPr>
            <w:tcW w:w="1447" w:type="pct"/>
            <w:tcBorders>
              <w:bottom w:val="single" w:sz="4" w:space="0" w:color="auto"/>
            </w:tcBorders>
            <w:vAlign w:val="center"/>
          </w:tcPr>
          <w:p w:rsidR="00A94597" w:rsidRPr="00EB6231" w:rsidRDefault="00196D22" w:rsidP="00670B8C">
            <w:pPr>
              <w:snapToGrid w:val="0"/>
              <w:jc w:val="center"/>
              <w:rPr>
                <w:rFonts w:asciiTheme="minorEastAsia" w:hAnsiTheme="minorEastAsia"/>
                <w:color w:val="FF0000"/>
                <w:sz w:val="20"/>
                <w:szCs w:val="20"/>
              </w:rPr>
            </w:pPr>
            <w:r w:rsidRPr="00196D22">
              <w:rPr>
                <w:rFonts w:asciiTheme="minorEastAsia" w:hAnsiTheme="minorEastAsia"/>
                <w:sz w:val="20"/>
                <w:szCs w:val="20"/>
              </w:rPr>
              <w:t>－</w:t>
            </w:r>
          </w:p>
        </w:tc>
      </w:tr>
      <w:tr w:rsidR="00A94597" w:rsidRPr="00A411CC" w:rsidTr="00D1698A">
        <w:trPr>
          <w:trHeight w:val="70"/>
        </w:trPr>
        <w:tc>
          <w:tcPr>
            <w:tcW w:w="660" w:type="pct"/>
            <w:tcBorders>
              <w:top w:val="single" w:sz="4" w:space="0" w:color="auto"/>
              <w:bottom w:val="single" w:sz="4" w:space="0" w:color="auto"/>
            </w:tcBorders>
            <w:shd w:val="clear" w:color="auto" w:fill="B8CCE4" w:themeFill="accent1" w:themeFillTint="66"/>
            <w:vAlign w:val="center"/>
          </w:tcPr>
          <w:p w:rsidR="00554C2D" w:rsidRDefault="00A94597" w:rsidP="00670B8C">
            <w:pPr>
              <w:snapToGrid w:val="0"/>
              <w:rPr>
                <w:rFonts w:asciiTheme="majorEastAsia" w:eastAsiaTheme="majorEastAsia" w:hAnsiTheme="majorEastAsia"/>
                <w:szCs w:val="21"/>
              </w:rPr>
            </w:pPr>
            <w:r>
              <w:rPr>
                <w:rFonts w:asciiTheme="majorEastAsia" w:eastAsiaTheme="majorEastAsia" w:hAnsiTheme="majorEastAsia" w:hint="eastAsia"/>
                <w:szCs w:val="21"/>
              </w:rPr>
              <w:t>為替相場の影響、</w:t>
            </w:r>
          </w:p>
          <w:p w:rsidR="00A94597" w:rsidRPr="00496630" w:rsidRDefault="00A94597" w:rsidP="00670B8C">
            <w:pPr>
              <w:snapToGrid w:val="0"/>
              <w:rPr>
                <w:rFonts w:asciiTheme="majorEastAsia" w:eastAsiaTheme="majorEastAsia" w:hAnsiTheme="majorEastAsia"/>
                <w:szCs w:val="21"/>
              </w:rPr>
            </w:pPr>
            <w:r>
              <w:rPr>
                <w:rFonts w:asciiTheme="majorEastAsia" w:eastAsiaTheme="majorEastAsia" w:hAnsiTheme="majorEastAsia" w:hint="eastAsia"/>
                <w:szCs w:val="21"/>
              </w:rPr>
              <w:t>その他の影響など</w:t>
            </w:r>
          </w:p>
        </w:tc>
        <w:tc>
          <w:tcPr>
            <w:tcW w:w="1447" w:type="pct"/>
            <w:tcBorders>
              <w:top w:val="single" w:sz="4" w:space="0" w:color="auto"/>
              <w:bottom w:val="single" w:sz="4" w:space="0" w:color="auto"/>
            </w:tcBorders>
          </w:tcPr>
          <w:p w:rsidR="00A94597" w:rsidRPr="0064706F" w:rsidRDefault="00B528BF" w:rsidP="00D1698A">
            <w:pPr>
              <w:snapToGrid w:val="0"/>
              <w:rPr>
                <w:rFonts w:asciiTheme="minorEastAsia" w:hAnsiTheme="minorEastAsia"/>
                <w:sz w:val="20"/>
                <w:szCs w:val="20"/>
              </w:rPr>
            </w:pPr>
            <w:r w:rsidRPr="0064706F">
              <w:rPr>
                <w:rFonts w:asciiTheme="minorEastAsia" w:hAnsiTheme="minorEastAsia" w:hint="eastAsia"/>
                <w:sz w:val="20"/>
                <w:szCs w:val="20"/>
              </w:rPr>
              <w:t>円安で原材料費が上昇し</w:t>
            </w:r>
            <w:r w:rsidR="0064706F">
              <w:rPr>
                <w:rFonts w:asciiTheme="minorEastAsia" w:hAnsiTheme="minorEastAsia" w:hint="eastAsia"/>
                <w:sz w:val="20"/>
                <w:szCs w:val="20"/>
              </w:rPr>
              <w:t>国内の生産環境が厳しく</w:t>
            </w:r>
            <w:r w:rsidR="0064706F" w:rsidRPr="0064706F">
              <w:rPr>
                <w:rFonts w:asciiTheme="minorEastAsia" w:hAnsiTheme="minorEastAsia" w:hint="eastAsia"/>
                <w:sz w:val="20"/>
                <w:szCs w:val="20"/>
              </w:rPr>
              <w:t>なった</w:t>
            </w:r>
          </w:p>
        </w:tc>
        <w:tc>
          <w:tcPr>
            <w:tcW w:w="1447" w:type="pct"/>
            <w:tcBorders>
              <w:top w:val="single" w:sz="4" w:space="0" w:color="auto"/>
              <w:bottom w:val="single" w:sz="4" w:space="0" w:color="auto"/>
            </w:tcBorders>
          </w:tcPr>
          <w:p w:rsidR="00A94597" w:rsidRPr="00EB6231" w:rsidRDefault="00670B8C" w:rsidP="00670B8C">
            <w:pPr>
              <w:snapToGrid w:val="0"/>
              <w:rPr>
                <w:rFonts w:asciiTheme="minorEastAsia" w:hAnsiTheme="minorEastAsia"/>
                <w:color w:val="FF0000"/>
                <w:sz w:val="20"/>
                <w:szCs w:val="20"/>
              </w:rPr>
            </w:pPr>
            <w:r w:rsidRPr="00670B8C">
              <w:rPr>
                <w:rFonts w:asciiTheme="minorEastAsia" w:hAnsiTheme="minorEastAsia" w:hint="eastAsia"/>
                <w:sz w:val="20"/>
                <w:szCs w:val="20"/>
              </w:rPr>
              <w:t>原油価格の低下傾向がみられたものの、円安による原材料価格の上昇が、収益環境の悪化をもたらしている。</w:t>
            </w:r>
          </w:p>
        </w:tc>
        <w:tc>
          <w:tcPr>
            <w:tcW w:w="1447" w:type="pct"/>
            <w:tcBorders>
              <w:top w:val="single" w:sz="4" w:space="0" w:color="auto"/>
              <w:bottom w:val="single" w:sz="4" w:space="0" w:color="auto"/>
            </w:tcBorders>
            <w:vAlign w:val="center"/>
          </w:tcPr>
          <w:p w:rsidR="00A94597" w:rsidRPr="000854B4" w:rsidRDefault="000854B4" w:rsidP="000854B4">
            <w:pPr>
              <w:snapToGrid w:val="0"/>
              <w:jc w:val="center"/>
              <w:rPr>
                <w:rFonts w:asciiTheme="minorEastAsia" w:hAnsiTheme="minorEastAsia"/>
                <w:sz w:val="20"/>
                <w:szCs w:val="20"/>
              </w:rPr>
            </w:pPr>
            <w:r w:rsidRPr="000854B4">
              <w:rPr>
                <w:rFonts w:asciiTheme="minorEastAsia" w:hAnsiTheme="minorEastAsia" w:hint="eastAsia"/>
                <w:sz w:val="20"/>
                <w:szCs w:val="20"/>
              </w:rPr>
              <w:t>－</w:t>
            </w:r>
          </w:p>
        </w:tc>
      </w:tr>
      <w:tr w:rsidR="00A94597" w:rsidRPr="008E70CB" w:rsidTr="00670B8C">
        <w:trPr>
          <w:trHeight w:val="20"/>
        </w:trPr>
        <w:tc>
          <w:tcPr>
            <w:tcW w:w="660" w:type="pct"/>
            <w:tcBorders>
              <w:top w:val="single" w:sz="4" w:space="0" w:color="auto"/>
            </w:tcBorders>
            <w:shd w:val="clear" w:color="auto" w:fill="B8CCE4" w:themeFill="accent1" w:themeFillTint="66"/>
            <w:vAlign w:val="center"/>
          </w:tcPr>
          <w:p w:rsidR="00A94597" w:rsidRPr="00496630" w:rsidRDefault="00A94597" w:rsidP="00670B8C">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今後の見通し、</w:t>
            </w:r>
          </w:p>
          <w:p w:rsidR="00A94597" w:rsidRPr="00496630" w:rsidRDefault="00A94597" w:rsidP="00670B8C">
            <w:pPr>
              <w:snapToGrid w:val="0"/>
              <w:rPr>
                <w:rFonts w:asciiTheme="majorEastAsia" w:eastAsiaTheme="majorEastAsia" w:hAnsiTheme="majorEastAsia"/>
                <w:szCs w:val="21"/>
              </w:rPr>
            </w:pPr>
            <w:r w:rsidRPr="00496630">
              <w:rPr>
                <w:rFonts w:asciiTheme="majorEastAsia" w:eastAsiaTheme="majorEastAsia" w:hAnsiTheme="majorEastAsia" w:hint="eastAsia"/>
                <w:szCs w:val="21"/>
              </w:rPr>
              <w:t>その他</w:t>
            </w:r>
          </w:p>
        </w:tc>
        <w:tc>
          <w:tcPr>
            <w:tcW w:w="1447" w:type="pct"/>
            <w:tcBorders>
              <w:top w:val="single" w:sz="4" w:space="0" w:color="auto"/>
            </w:tcBorders>
          </w:tcPr>
          <w:p w:rsidR="00A94597" w:rsidRPr="00EB6231" w:rsidRDefault="00E07E79" w:rsidP="00670B8C">
            <w:pPr>
              <w:snapToGrid w:val="0"/>
              <w:rPr>
                <w:rFonts w:asciiTheme="minorEastAsia" w:hAnsiTheme="minorEastAsia"/>
                <w:color w:val="FF0000"/>
                <w:sz w:val="20"/>
                <w:szCs w:val="20"/>
              </w:rPr>
            </w:pPr>
            <w:r w:rsidRPr="00E07E79">
              <w:rPr>
                <w:rFonts w:asciiTheme="minorEastAsia" w:hAnsiTheme="minorEastAsia" w:hint="eastAsia"/>
                <w:sz w:val="20"/>
                <w:szCs w:val="20"/>
              </w:rPr>
              <w:t>規格量産品主体の輸入品との競合は少ないが、国内他産地からの参入がみられ、</w:t>
            </w:r>
            <w:r>
              <w:rPr>
                <w:rFonts w:asciiTheme="minorEastAsia" w:hAnsiTheme="minorEastAsia" w:hint="eastAsia"/>
                <w:sz w:val="20"/>
                <w:szCs w:val="20"/>
              </w:rPr>
              <w:t>デザイン</w:t>
            </w:r>
            <w:r w:rsidRPr="00E07E79">
              <w:rPr>
                <w:rFonts w:asciiTheme="minorEastAsia" w:hAnsiTheme="minorEastAsia" w:hint="eastAsia"/>
                <w:sz w:val="20"/>
                <w:szCs w:val="20"/>
              </w:rPr>
              <w:t>面の充実やリフォーム工事など建築業への進出など</w:t>
            </w:r>
            <w:r>
              <w:rPr>
                <w:rFonts w:asciiTheme="minorEastAsia" w:hAnsiTheme="minorEastAsia" w:hint="eastAsia"/>
                <w:sz w:val="20"/>
                <w:szCs w:val="20"/>
              </w:rPr>
              <w:t>、事業の付加価値を高める取組がみられる</w:t>
            </w:r>
            <w:r w:rsidRPr="00E07E79">
              <w:rPr>
                <w:rFonts w:asciiTheme="minorEastAsia" w:hAnsiTheme="minorEastAsia" w:hint="eastAsia"/>
                <w:sz w:val="20"/>
                <w:szCs w:val="20"/>
              </w:rPr>
              <w:t>。</w:t>
            </w:r>
          </w:p>
        </w:tc>
        <w:tc>
          <w:tcPr>
            <w:tcW w:w="1447" w:type="pct"/>
            <w:tcBorders>
              <w:top w:val="single" w:sz="4" w:space="0" w:color="auto"/>
            </w:tcBorders>
          </w:tcPr>
          <w:p w:rsidR="00A94597" w:rsidRPr="00EB6231" w:rsidRDefault="009552D6" w:rsidP="00D2292C">
            <w:pPr>
              <w:snapToGrid w:val="0"/>
              <w:rPr>
                <w:rFonts w:asciiTheme="minorEastAsia" w:hAnsiTheme="minorEastAsia"/>
                <w:color w:val="FF0000"/>
                <w:sz w:val="20"/>
                <w:szCs w:val="20"/>
              </w:rPr>
            </w:pPr>
            <w:r w:rsidRPr="009552D6">
              <w:rPr>
                <w:rFonts w:asciiTheme="minorEastAsia" w:hAnsiTheme="minorEastAsia" w:hint="eastAsia"/>
                <w:sz w:val="20"/>
                <w:szCs w:val="20"/>
              </w:rPr>
              <w:t>国内需要の伸び悩みを背景に、製品の高付加価値化、首都圏での販路開拓、</w:t>
            </w:r>
            <w:r w:rsidR="00D2292C">
              <w:rPr>
                <w:rFonts w:asciiTheme="minorEastAsia" w:hAnsiTheme="minorEastAsia" w:hint="eastAsia"/>
                <w:sz w:val="20"/>
                <w:szCs w:val="20"/>
              </w:rPr>
              <w:t>塗装施工店の組織化、</w:t>
            </w:r>
            <w:r>
              <w:rPr>
                <w:rFonts w:asciiTheme="minorEastAsia" w:hAnsiTheme="minorEastAsia" w:hint="eastAsia"/>
                <w:sz w:val="20"/>
                <w:szCs w:val="20"/>
              </w:rPr>
              <w:t>海外のメーカとの技術提携、</w:t>
            </w:r>
            <w:r w:rsidRPr="009552D6">
              <w:rPr>
                <w:rFonts w:asciiTheme="minorEastAsia" w:hAnsiTheme="minorEastAsia" w:hint="eastAsia"/>
                <w:sz w:val="20"/>
                <w:szCs w:val="20"/>
              </w:rPr>
              <w:t>海外の商品の輸入などの取組の進展が予測される。</w:t>
            </w:r>
          </w:p>
        </w:tc>
        <w:tc>
          <w:tcPr>
            <w:tcW w:w="1447" w:type="pct"/>
            <w:tcBorders>
              <w:top w:val="single" w:sz="4" w:space="0" w:color="auto"/>
            </w:tcBorders>
          </w:tcPr>
          <w:p w:rsidR="00A94597" w:rsidRPr="00EB6231" w:rsidRDefault="00196D22" w:rsidP="00196D22">
            <w:pPr>
              <w:snapToGrid w:val="0"/>
              <w:rPr>
                <w:rFonts w:asciiTheme="minorEastAsia" w:hAnsiTheme="minorEastAsia"/>
                <w:color w:val="FF0000"/>
                <w:sz w:val="20"/>
                <w:szCs w:val="20"/>
              </w:rPr>
            </w:pPr>
            <w:r w:rsidRPr="00196D22">
              <w:rPr>
                <w:rFonts w:asciiTheme="minorEastAsia" w:hAnsiTheme="minorEastAsia" w:hint="eastAsia"/>
                <w:sz w:val="20"/>
                <w:szCs w:val="20"/>
              </w:rPr>
              <w:t>競合環境の激化が予測される一方、後発品や希少疾病用医薬品の伸びを予測する企業があるほか、外国人観光客の大量購入による特需は一時的だとみる企業が多い。</w:t>
            </w:r>
          </w:p>
        </w:tc>
      </w:tr>
    </w:tbl>
    <w:p w:rsidR="00FA1AA0" w:rsidRPr="00EB59F4" w:rsidRDefault="00FA1AA0">
      <w:pPr>
        <w:rPr>
          <w:szCs w:val="21"/>
        </w:rPr>
      </w:pPr>
    </w:p>
    <w:sectPr w:rsidR="00FA1AA0" w:rsidRPr="00EB59F4" w:rsidSect="003E0E0F">
      <w:pgSz w:w="16838" w:h="11906" w:orient="landscape" w:code="9"/>
      <w:pgMar w:top="851" w:right="1701" w:bottom="567" w:left="1701" w:header="851" w:footer="992" w:gutter="0"/>
      <w:cols w:space="425"/>
      <w:docGrid w:type="linesAndChars" w:linePitch="291" w:charSpace="-4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76C" w:rsidRDefault="0044376C" w:rsidP="002B15B0">
      <w:r>
        <w:separator/>
      </w:r>
    </w:p>
  </w:endnote>
  <w:endnote w:type="continuationSeparator" w:id="0">
    <w:p w:rsidR="0044376C" w:rsidRDefault="0044376C" w:rsidP="002B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76C" w:rsidRDefault="0044376C" w:rsidP="002B15B0">
      <w:r>
        <w:separator/>
      </w:r>
    </w:p>
  </w:footnote>
  <w:footnote w:type="continuationSeparator" w:id="0">
    <w:p w:rsidR="0044376C" w:rsidRDefault="0044376C" w:rsidP="002B1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DF"/>
    <w:rsid w:val="00002028"/>
    <w:rsid w:val="00006465"/>
    <w:rsid w:val="00011229"/>
    <w:rsid w:val="000254F9"/>
    <w:rsid w:val="00025F0C"/>
    <w:rsid w:val="000272F6"/>
    <w:rsid w:val="0002793C"/>
    <w:rsid w:val="0004408A"/>
    <w:rsid w:val="00056F27"/>
    <w:rsid w:val="000577E3"/>
    <w:rsid w:val="000767D3"/>
    <w:rsid w:val="000854B4"/>
    <w:rsid w:val="00092A32"/>
    <w:rsid w:val="0009578E"/>
    <w:rsid w:val="000A245B"/>
    <w:rsid w:val="000A7073"/>
    <w:rsid w:val="000C7FB0"/>
    <w:rsid w:val="000D243E"/>
    <w:rsid w:val="000D2956"/>
    <w:rsid w:val="000F659A"/>
    <w:rsid w:val="00103140"/>
    <w:rsid w:val="001304A7"/>
    <w:rsid w:val="00133527"/>
    <w:rsid w:val="00142BEE"/>
    <w:rsid w:val="00156D5E"/>
    <w:rsid w:val="0016371F"/>
    <w:rsid w:val="00164204"/>
    <w:rsid w:val="00165A70"/>
    <w:rsid w:val="001705A2"/>
    <w:rsid w:val="0017622B"/>
    <w:rsid w:val="00177B13"/>
    <w:rsid w:val="00180BAB"/>
    <w:rsid w:val="001931CB"/>
    <w:rsid w:val="00196D22"/>
    <w:rsid w:val="001B1D2E"/>
    <w:rsid w:val="001B644B"/>
    <w:rsid w:val="001B6A98"/>
    <w:rsid w:val="001C0083"/>
    <w:rsid w:val="001D1FFB"/>
    <w:rsid w:val="001D62C1"/>
    <w:rsid w:val="001E5C7A"/>
    <w:rsid w:val="001F5929"/>
    <w:rsid w:val="00203997"/>
    <w:rsid w:val="00212D96"/>
    <w:rsid w:val="00223D14"/>
    <w:rsid w:val="00232C60"/>
    <w:rsid w:val="0023618D"/>
    <w:rsid w:val="00241AD8"/>
    <w:rsid w:val="00252D44"/>
    <w:rsid w:val="002609B1"/>
    <w:rsid w:val="00260B89"/>
    <w:rsid w:val="00260FE1"/>
    <w:rsid w:val="0026471A"/>
    <w:rsid w:val="0026503B"/>
    <w:rsid w:val="00266174"/>
    <w:rsid w:val="00271EE3"/>
    <w:rsid w:val="002806C5"/>
    <w:rsid w:val="002846B7"/>
    <w:rsid w:val="002A191F"/>
    <w:rsid w:val="002A40DF"/>
    <w:rsid w:val="002B15B0"/>
    <w:rsid w:val="002B2C44"/>
    <w:rsid w:val="002B7DBD"/>
    <w:rsid w:val="002D6ABD"/>
    <w:rsid w:val="002E0200"/>
    <w:rsid w:val="002E075C"/>
    <w:rsid w:val="002E1AD3"/>
    <w:rsid w:val="002E3677"/>
    <w:rsid w:val="002E545F"/>
    <w:rsid w:val="002F672F"/>
    <w:rsid w:val="003069F0"/>
    <w:rsid w:val="003073D6"/>
    <w:rsid w:val="00311E4E"/>
    <w:rsid w:val="00323964"/>
    <w:rsid w:val="0032701A"/>
    <w:rsid w:val="0033028F"/>
    <w:rsid w:val="00332EDE"/>
    <w:rsid w:val="003347A5"/>
    <w:rsid w:val="00340E68"/>
    <w:rsid w:val="00344E14"/>
    <w:rsid w:val="00352265"/>
    <w:rsid w:val="00352610"/>
    <w:rsid w:val="0036544E"/>
    <w:rsid w:val="00370F43"/>
    <w:rsid w:val="003740D6"/>
    <w:rsid w:val="00376D2E"/>
    <w:rsid w:val="003853C5"/>
    <w:rsid w:val="003977BC"/>
    <w:rsid w:val="003A2537"/>
    <w:rsid w:val="003A38B7"/>
    <w:rsid w:val="003A59FF"/>
    <w:rsid w:val="003B0CE9"/>
    <w:rsid w:val="003C357C"/>
    <w:rsid w:val="003E0E0F"/>
    <w:rsid w:val="003E0E6B"/>
    <w:rsid w:val="003E3EEA"/>
    <w:rsid w:val="003F397D"/>
    <w:rsid w:val="00400AED"/>
    <w:rsid w:val="004153C8"/>
    <w:rsid w:val="00425764"/>
    <w:rsid w:val="004302F9"/>
    <w:rsid w:val="00435075"/>
    <w:rsid w:val="004363A7"/>
    <w:rsid w:val="00442F56"/>
    <w:rsid w:val="0044376C"/>
    <w:rsid w:val="00450D1B"/>
    <w:rsid w:val="00450F7E"/>
    <w:rsid w:val="004514A5"/>
    <w:rsid w:val="00465F11"/>
    <w:rsid w:val="00465FD1"/>
    <w:rsid w:val="00472698"/>
    <w:rsid w:val="00473D4B"/>
    <w:rsid w:val="00477B8E"/>
    <w:rsid w:val="00480472"/>
    <w:rsid w:val="0048431E"/>
    <w:rsid w:val="0048460E"/>
    <w:rsid w:val="00496170"/>
    <w:rsid w:val="00496630"/>
    <w:rsid w:val="00496EBE"/>
    <w:rsid w:val="004A0902"/>
    <w:rsid w:val="004A4E51"/>
    <w:rsid w:val="004A65AD"/>
    <w:rsid w:val="004B5BB4"/>
    <w:rsid w:val="004C5B98"/>
    <w:rsid w:val="004E077B"/>
    <w:rsid w:val="004F0FD8"/>
    <w:rsid w:val="005023F0"/>
    <w:rsid w:val="00504106"/>
    <w:rsid w:val="00505AEF"/>
    <w:rsid w:val="00522D59"/>
    <w:rsid w:val="00526EEB"/>
    <w:rsid w:val="00535A35"/>
    <w:rsid w:val="00543226"/>
    <w:rsid w:val="00543F66"/>
    <w:rsid w:val="00547437"/>
    <w:rsid w:val="00554C2D"/>
    <w:rsid w:val="005664EA"/>
    <w:rsid w:val="005668D8"/>
    <w:rsid w:val="00571847"/>
    <w:rsid w:val="00581634"/>
    <w:rsid w:val="005829CB"/>
    <w:rsid w:val="00583C0B"/>
    <w:rsid w:val="005841BF"/>
    <w:rsid w:val="00586351"/>
    <w:rsid w:val="00591E57"/>
    <w:rsid w:val="0059339A"/>
    <w:rsid w:val="00597AEB"/>
    <w:rsid w:val="005A0E09"/>
    <w:rsid w:val="005B16EE"/>
    <w:rsid w:val="005B31CC"/>
    <w:rsid w:val="005C1B2A"/>
    <w:rsid w:val="005C2115"/>
    <w:rsid w:val="005C6311"/>
    <w:rsid w:val="005D22E8"/>
    <w:rsid w:val="005F0A5F"/>
    <w:rsid w:val="005F16CA"/>
    <w:rsid w:val="005F2BEA"/>
    <w:rsid w:val="00604EA5"/>
    <w:rsid w:val="00605B4A"/>
    <w:rsid w:val="0061557A"/>
    <w:rsid w:val="00615831"/>
    <w:rsid w:val="00620CF9"/>
    <w:rsid w:val="00624D1A"/>
    <w:rsid w:val="00625C6F"/>
    <w:rsid w:val="00630A6B"/>
    <w:rsid w:val="00645E29"/>
    <w:rsid w:val="0064706F"/>
    <w:rsid w:val="00647ABE"/>
    <w:rsid w:val="00661442"/>
    <w:rsid w:val="00670B8C"/>
    <w:rsid w:val="006727CC"/>
    <w:rsid w:val="00676783"/>
    <w:rsid w:val="00681CA8"/>
    <w:rsid w:val="006922DC"/>
    <w:rsid w:val="006A2024"/>
    <w:rsid w:val="006C11B5"/>
    <w:rsid w:val="006D2FAF"/>
    <w:rsid w:val="006D6FB3"/>
    <w:rsid w:val="006F29B6"/>
    <w:rsid w:val="00717D85"/>
    <w:rsid w:val="007202E3"/>
    <w:rsid w:val="00721687"/>
    <w:rsid w:val="00722734"/>
    <w:rsid w:val="00722D2B"/>
    <w:rsid w:val="00723E11"/>
    <w:rsid w:val="00726983"/>
    <w:rsid w:val="007331FB"/>
    <w:rsid w:val="00742594"/>
    <w:rsid w:val="0075106D"/>
    <w:rsid w:val="007738FA"/>
    <w:rsid w:val="007765E1"/>
    <w:rsid w:val="00792675"/>
    <w:rsid w:val="007978FB"/>
    <w:rsid w:val="00797930"/>
    <w:rsid w:val="007A01CE"/>
    <w:rsid w:val="007D08CB"/>
    <w:rsid w:val="0080464F"/>
    <w:rsid w:val="008100E0"/>
    <w:rsid w:val="00827C22"/>
    <w:rsid w:val="00830069"/>
    <w:rsid w:val="00844D50"/>
    <w:rsid w:val="008628FB"/>
    <w:rsid w:val="008713D0"/>
    <w:rsid w:val="00877605"/>
    <w:rsid w:val="00882321"/>
    <w:rsid w:val="00885629"/>
    <w:rsid w:val="00885DF0"/>
    <w:rsid w:val="00892FF2"/>
    <w:rsid w:val="008950EE"/>
    <w:rsid w:val="0089543C"/>
    <w:rsid w:val="008A6DCD"/>
    <w:rsid w:val="008A7915"/>
    <w:rsid w:val="008A7A5D"/>
    <w:rsid w:val="008B6B92"/>
    <w:rsid w:val="008C05EC"/>
    <w:rsid w:val="008C2933"/>
    <w:rsid w:val="008C2D13"/>
    <w:rsid w:val="008C465A"/>
    <w:rsid w:val="008D418B"/>
    <w:rsid w:val="008D539F"/>
    <w:rsid w:val="008E0309"/>
    <w:rsid w:val="008E483F"/>
    <w:rsid w:val="008E70CB"/>
    <w:rsid w:val="008F17A2"/>
    <w:rsid w:val="008F1BBB"/>
    <w:rsid w:val="00935951"/>
    <w:rsid w:val="009409C2"/>
    <w:rsid w:val="00940E9A"/>
    <w:rsid w:val="00941B96"/>
    <w:rsid w:val="00941D1D"/>
    <w:rsid w:val="00942814"/>
    <w:rsid w:val="0094445C"/>
    <w:rsid w:val="00950DC7"/>
    <w:rsid w:val="00953F6C"/>
    <w:rsid w:val="009552D6"/>
    <w:rsid w:val="00986F67"/>
    <w:rsid w:val="00992785"/>
    <w:rsid w:val="009958C3"/>
    <w:rsid w:val="009A4020"/>
    <w:rsid w:val="009A5859"/>
    <w:rsid w:val="009B1227"/>
    <w:rsid w:val="009B4790"/>
    <w:rsid w:val="009C2853"/>
    <w:rsid w:val="009C64AA"/>
    <w:rsid w:val="009C67AC"/>
    <w:rsid w:val="009D1A8D"/>
    <w:rsid w:val="009D3E3F"/>
    <w:rsid w:val="009D420E"/>
    <w:rsid w:val="009D51CE"/>
    <w:rsid w:val="009E0451"/>
    <w:rsid w:val="009F4D2F"/>
    <w:rsid w:val="00A2111E"/>
    <w:rsid w:val="00A276ED"/>
    <w:rsid w:val="00A3111C"/>
    <w:rsid w:val="00A411CC"/>
    <w:rsid w:val="00A47FCC"/>
    <w:rsid w:val="00A520F7"/>
    <w:rsid w:val="00A53D4C"/>
    <w:rsid w:val="00A5610D"/>
    <w:rsid w:val="00A579C1"/>
    <w:rsid w:val="00A57A25"/>
    <w:rsid w:val="00A60053"/>
    <w:rsid w:val="00A80A05"/>
    <w:rsid w:val="00A901CD"/>
    <w:rsid w:val="00A94597"/>
    <w:rsid w:val="00AB4608"/>
    <w:rsid w:val="00AB650E"/>
    <w:rsid w:val="00AC2135"/>
    <w:rsid w:val="00AC5BA5"/>
    <w:rsid w:val="00AD0662"/>
    <w:rsid w:val="00AD2511"/>
    <w:rsid w:val="00AD796A"/>
    <w:rsid w:val="00AE0AE8"/>
    <w:rsid w:val="00AF3D18"/>
    <w:rsid w:val="00B10B2A"/>
    <w:rsid w:val="00B2238A"/>
    <w:rsid w:val="00B343D1"/>
    <w:rsid w:val="00B438EC"/>
    <w:rsid w:val="00B45B46"/>
    <w:rsid w:val="00B528BF"/>
    <w:rsid w:val="00B54129"/>
    <w:rsid w:val="00B56765"/>
    <w:rsid w:val="00B765A4"/>
    <w:rsid w:val="00B77D43"/>
    <w:rsid w:val="00B81AFE"/>
    <w:rsid w:val="00B830E0"/>
    <w:rsid w:val="00B9127B"/>
    <w:rsid w:val="00B923A9"/>
    <w:rsid w:val="00BB09F9"/>
    <w:rsid w:val="00BB6A68"/>
    <w:rsid w:val="00BB7350"/>
    <w:rsid w:val="00BC4D6D"/>
    <w:rsid w:val="00BD02D6"/>
    <w:rsid w:val="00BD146D"/>
    <w:rsid w:val="00BD7663"/>
    <w:rsid w:val="00BD7E13"/>
    <w:rsid w:val="00BF0ECA"/>
    <w:rsid w:val="00BF4DBC"/>
    <w:rsid w:val="00C01535"/>
    <w:rsid w:val="00C11539"/>
    <w:rsid w:val="00C1190F"/>
    <w:rsid w:val="00C229D9"/>
    <w:rsid w:val="00C23799"/>
    <w:rsid w:val="00C3073D"/>
    <w:rsid w:val="00C30A15"/>
    <w:rsid w:val="00C36D2A"/>
    <w:rsid w:val="00C41F7B"/>
    <w:rsid w:val="00C47A35"/>
    <w:rsid w:val="00C52608"/>
    <w:rsid w:val="00C5423F"/>
    <w:rsid w:val="00C6165A"/>
    <w:rsid w:val="00C63BB8"/>
    <w:rsid w:val="00C73224"/>
    <w:rsid w:val="00C760FC"/>
    <w:rsid w:val="00C81251"/>
    <w:rsid w:val="00C847EE"/>
    <w:rsid w:val="00C84952"/>
    <w:rsid w:val="00C856F9"/>
    <w:rsid w:val="00C85FB9"/>
    <w:rsid w:val="00CA5E87"/>
    <w:rsid w:val="00CB3841"/>
    <w:rsid w:val="00CC5BC7"/>
    <w:rsid w:val="00CD2FD2"/>
    <w:rsid w:val="00CD559B"/>
    <w:rsid w:val="00CD642A"/>
    <w:rsid w:val="00CE038C"/>
    <w:rsid w:val="00CE0699"/>
    <w:rsid w:val="00CE5847"/>
    <w:rsid w:val="00CF37AA"/>
    <w:rsid w:val="00CF5F87"/>
    <w:rsid w:val="00CF788C"/>
    <w:rsid w:val="00D0027B"/>
    <w:rsid w:val="00D05AF5"/>
    <w:rsid w:val="00D10CBE"/>
    <w:rsid w:val="00D118DA"/>
    <w:rsid w:val="00D1698A"/>
    <w:rsid w:val="00D2292C"/>
    <w:rsid w:val="00D30F83"/>
    <w:rsid w:val="00D31C9D"/>
    <w:rsid w:val="00D3475A"/>
    <w:rsid w:val="00D47639"/>
    <w:rsid w:val="00D62DFD"/>
    <w:rsid w:val="00D664A7"/>
    <w:rsid w:val="00D75859"/>
    <w:rsid w:val="00D77A64"/>
    <w:rsid w:val="00D838EE"/>
    <w:rsid w:val="00D85753"/>
    <w:rsid w:val="00D87045"/>
    <w:rsid w:val="00D87BB5"/>
    <w:rsid w:val="00D95317"/>
    <w:rsid w:val="00DA011F"/>
    <w:rsid w:val="00DA2123"/>
    <w:rsid w:val="00DA2ABA"/>
    <w:rsid w:val="00DA4A34"/>
    <w:rsid w:val="00DB1470"/>
    <w:rsid w:val="00DB4731"/>
    <w:rsid w:val="00DC6C24"/>
    <w:rsid w:val="00DD01DC"/>
    <w:rsid w:val="00DD701B"/>
    <w:rsid w:val="00DE171E"/>
    <w:rsid w:val="00DE35AD"/>
    <w:rsid w:val="00DE74A3"/>
    <w:rsid w:val="00E00D26"/>
    <w:rsid w:val="00E07E79"/>
    <w:rsid w:val="00E131D7"/>
    <w:rsid w:val="00E157ED"/>
    <w:rsid w:val="00E226C2"/>
    <w:rsid w:val="00E248AE"/>
    <w:rsid w:val="00E30BEF"/>
    <w:rsid w:val="00E35BBF"/>
    <w:rsid w:val="00E4176F"/>
    <w:rsid w:val="00E45124"/>
    <w:rsid w:val="00E55421"/>
    <w:rsid w:val="00E73B1B"/>
    <w:rsid w:val="00E936A7"/>
    <w:rsid w:val="00EA6856"/>
    <w:rsid w:val="00EB074B"/>
    <w:rsid w:val="00EB3791"/>
    <w:rsid w:val="00EB59F4"/>
    <w:rsid w:val="00EB6231"/>
    <w:rsid w:val="00EC01A4"/>
    <w:rsid w:val="00EC0BD0"/>
    <w:rsid w:val="00ED6EF7"/>
    <w:rsid w:val="00EF016C"/>
    <w:rsid w:val="00EF43E9"/>
    <w:rsid w:val="00EF7F6E"/>
    <w:rsid w:val="00F03C42"/>
    <w:rsid w:val="00F052DC"/>
    <w:rsid w:val="00F05660"/>
    <w:rsid w:val="00F153B1"/>
    <w:rsid w:val="00F21C05"/>
    <w:rsid w:val="00F252F5"/>
    <w:rsid w:val="00F40624"/>
    <w:rsid w:val="00F4193B"/>
    <w:rsid w:val="00F41C24"/>
    <w:rsid w:val="00F577F2"/>
    <w:rsid w:val="00F63566"/>
    <w:rsid w:val="00F6402D"/>
    <w:rsid w:val="00F72293"/>
    <w:rsid w:val="00F75A3C"/>
    <w:rsid w:val="00F843CB"/>
    <w:rsid w:val="00F928F7"/>
    <w:rsid w:val="00FA0D9F"/>
    <w:rsid w:val="00FA1AA0"/>
    <w:rsid w:val="00FA5B24"/>
    <w:rsid w:val="00FB2812"/>
    <w:rsid w:val="00FB3BDB"/>
    <w:rsid w:val="00FC1B7F"/>
    <w:rsid w:val="00FD3D25"/>
    <w:rsid w:val="00FE58B0"/>
    <w:rsid w:val="00FE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5B0"/>
    <w:pPr>
      <w:tabs>
        <w:tab w:val="center" w:pos="4252"/>
        <w:tab w:val="right" w:pos="8504"/>
      </w:tabs>
      <w:snapToGrid w:val="0"/>
    </w:pPr>
  </w:style>
  <w:style w:type="character" w:customStyle="1" w:styleId="a4">
    <w:name w:val="ヘッダー (文字)"/>
    <w:basedOn w:val="a0"/>
    <w:link w:val="a3"/>
    <w:uiPriority w:val="99"/>
    <w:rsid w:val="002B15B0"/>
  </w:style>
  <w:style w:type="paragraph" w:styleId="a5">
    <w:name w:val="footer"/>
    <w:basedOn w:val="a"/>
    <w:link w:val="a6"/>
    <w:uiPriority w:val="99"/>
    <w:unhideWhenUsed/>
    <w:rsid w:val="002B15B0"/>
    <w:pPr>
      <w:tabs>
        <w:tab w:val="center" w:pos="4252"/>
        <w:tab w:val="right" w:pos="8504"/>
      </w:tabs>
      <w:snapToGrid w:val="0"/>
    </w:pPr>
  </w:style>
  <w:style w:type="character" w:customStyle="1" w:styleId="a6">
    <w:name w:val="フッター (文字)"/>
    <w:basedOn w:val="a0"/>
    <w:link w:val="a5"/>
    <w:uiPriority w:val="99"/>
    <w:rsid w:val="002B15B0"/>
  </w:style>
  <w:style w:type="paragraph" w:styleId="a7">
    <w:name w:val="Balloon Text"/>
    <w:basedOn w:val="a"/>
    <w:link w:val="a8"/>
    <w:uiPriority w:val="99"/>
    <w:semiHidden/>
    <w:unhideWhenUsed/>
    <w:rsid w:val="00C85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56F9"/>
    <w:rPr>
      <w:rFonts w:asciiTheme="majorHAnsi" w:eastAsiaTheme="majorEastAsia" w:hAnsiTheme="majorHAnsi" w:cstheme="majorBidi"/>
      <w:sz w:val="18"/>
      <w:szCs w:val="18"/>
    </w:rPr>
  </w:style>
  <w:style w:type="paragraph" w:styleId="Web">
    <w:name w:val="Normal (Web)"/>
    <w:basedOn w:val="a"/>
    <w:uiPriority w:val="99"/>
    <w:semiHidden/>
    <w:unhideWhenUsed/>
    <w:rsid w:val="00AB46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72937394453609E-2"/>
          <c:y val="5.1400554097404488E-2"/>
          <c:w val="0.88498484201102745"/>
          <c:h val="0.6678197017280354"/>
        </c:manualLayout>
      </c:layout>
      <c:lineChart>
        <c:grouping val="standard"/>
        <c:varyColors val="0"/>
        <c:ser>
          <c:idx val="0"/>
          <c:order val="0"/>
          <c:tx>
            <c:strRef>
              <c:f>'[中小企業景況調査_推移グラフ.xlsx]Sheet1 (2)'!$A$9:$B$9</c:f>
              <c:strCache>
                <c:ptCount val="1"/>
                <c:pt idx="0">
                  <c:v>景況判断（大阪） 全産業</c:v>
                </c:pt>
              </c:strCache>
            </c:strRef>
          </c:tx>
          <c:spPr>
            <a:ln w="6350">
              <a:solidFill>
                <a:schemeClr val="tx1"/>
              </a:solidFill>
              <a:prstDash val="lgDashDot"/>
            </a:ln>
          </c:spPr>
          <c:marker>
            <c:symbol val="none"/>
          </c:marker>
          <c:cat>
            <c:multiLvlStrRef>
              <c:f>'[中小企業景況調査_推移グラフ.xlsx]Sheet1 (2)'!$C$1:$M$2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2012年</c:v>
                  </c:pt>
                  <c:pt idx="1">
                    <c:v>2013年</c:v>
                  </c:pt>
                  <c:pt idx="5">
                    <c:v>2014年</c:v>
                  </c:pt>
                  <c:pt idx="9">
                    <c:v>2015年</c:v>
                  </c:pt>
                </c:lvl>
              </c:multiLvlStrCache>
            </c:multiLvlStrRef>
          </c:cat>
          <c:val>
            <c:numRef>
              <c:f>'[中小企業景況調査_推移グラフ.xlsx]Sheet1 (2)'!$C$9:$M$9</c:f>
              <c:numCache>
                <c:formatCode>General</c:formatCode>
                <c:ptCount val="11"/>
                <c:pt idx="0">
                  <c:v>-26.6</c:v>
                </c:pt>
                <c:pt idx="1">
                  <c:v>-23.9</c:v>
                </c:pt>
                <c:pt idx="2">
                  <c:v>-19.600000000000001</c:v>
                </c:pt>
                <c:pt idx="3">
                  <c:v>-16.5</c:v>
                </c:pt>
                <c:pt idx="4">
                  <c:v>-11.8</c:v>
                </c:pt>
                <c:pt idx="5">
                  <c:v>-6.6</c:v>
                </c:pt>
                <c:pt idx="6">
                  <c:v>-23.6</c:v>
                </c:pt>
                <c:pt idx="7">
                  <c:v>-15.3</c:v>
                </c:pt>
                <c:pt idx="8">
                  <c:v>-17.5</c:v>
                </c:pt>
                <c:pt idx="9">
                  <c:v>-16.899999999999999</c:v>
                </c:pt>
                <c:pt idx="10">
                  <c:v>-17.399999999999999</c:v>
                </c:pt>
              </c:numCache>
            </c:numRef>
          </c:val>
          <c:smooth val="0"/>
        </c:ser>
        <c:ser>
          <c:idx val="1"/>
          <c:order val="1"/>
          <c:tx>
            <c:strRef>
              <c:f>'[中小企業景況調査_推移グラフ.xlsx]Sheet1 (2)'!$A$10:$B$10</c:f>
              <c:strCache>
                <c:ptCount val="1"/>
                <c:pt idx="0">
                  <c:v>景況判断（大阪） 製造業</c:v>
                </c:pt>
              </c:strCache>
            </c:strRef>
          </c:tx>
          <c:spPr>
            <a:ln w="6350">
              <a:solidFill>
                <a:schemeClr val="tx1"/>
              </a:solidFill>
            </a:ln>
          </c:spPr>
          <c:marker>
            <c:symbol val="none"/>
          </c:marker>
          <c:cat>
            <c:multiLvlStrRef>
              <c:f>'[中小企業景況調査_推移グラフ.xlsx]Sheet1 (2)'!$C$1:$M$2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2012年</c:v>
                  </c:pt>
                  <c:pt idx="1">
                    <c:v>2013年</c:v>
                  </c:pt>
                  <c:pt idx="5">
                    <c:v>2014年</c:v>
                  </c:pt>
                  <c:pt idx="9">
                    <c:v>2015年</c:v>
                  </c:pt>
                </c:lvl>
              </c:multiLvlStrCache>
            </c:multiLvlStrRef>
          </c:cat>
          <c:val>
            <c:numRef>
              <c:f>'[中小企業景況調査_推移グラフ.xlsx]Sheet1 (2)'!$C$10:$M$10</c:f>
              <c:numCache>
                <c:formatCode>General</c:formatCode>
                <c:ptCount val="11"/>
                <c:pt idx="0">
                  <c:v>-24.6</c:v>
                </c:pt>
                <c:pt idx="1">
                  <c:v>-23.1</c:v>
                </c:pt>
                <c:pt idx="2">
                  <c:v>-20.3</c:v>
                </c:pt>
                <c:pt idx="3">
                  <c:v>-7.7</c:v>
                </c:pt>
                <c:pt idx="4">
                  <c:v>-2.6</c:v>
                </c:pt>
                <c:pt idx="5">
                  <c:v>4.8</c:v>
                </c:pt>
                <c:pt idx="6">
                  <c:v>-11.8</c:v>
                </c:pt>
                <c:pt idx="7">
                  <c:v>-4.7</c:v>
                </c:pt>
                <c:pt idx="8" formatCode="0.0">
                  <c:v>-10</c:v>
                </c:pt>
                <c:pt idx="9" formatCode="0.0">
                  <c:v>-10</c:v>
                </c:pt>
                <c:pt idx="10" formatCode="0.0">
                  <c:v>-14.3</c:v>
                </c:pt>
              </c:numCache>
            </c:numRef>
          </c:val>
          <c:smooth val="0"/>
        </c:ser>
        <c:ser>
          <c:idx val="2"/>
          <c:order val="2"/>
          <c:tx>
            <c:strRef>
              <c:f>'[中小企業景況調査_推移グラフ.xlsx]Sheet1 (2)'!$A$11:$B$11</c:f>
              <c:strCache>
                <c:ptCount val="1"/>
                <c:pt idx="0">
                  <c:v>景況判断（大阪） 非製造業</c:v>
                </c:pt>
              </c:strCache>
            </c:strRef>
          </c:tx>
          <c:spPr>
            <a:ln w="6350">
              <a:solidFill>
                <a:schemeClr val="tx1"/>
              </a:solidFill>
              <a:prstDash val="sysDash"/>
            </a:ln>
          </c:spPr>
          <c:marker>
            <c:symbol val="none"/>
          </c:marker>
          <c:cat>
            <c:multiLvlStrRef>
              <c:f>'[中小企業景況調査_推移グラフ.xlsx]Sheet1 (2)'!$C$1:$M$2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2012年</c:v>
                  </c:pt>
                  <c:pt idx="1">
                    <c:v>2013年</c:v>
                  </c:pt>
                  <c:pt idx="5">
                    <c:v>2014年</c:v>
                  </c:pt>
                  <c:pt idx="9">
                    <c:v>2015年</c:v>
                  </c:pt>
                </c:lvl>
              </c:multiLvlStrCache>
            </c:multiLvlStrRef>
          </c:cat>
          <c:val>
            <c:numRef>
              <c:f>'[中小企業景況調査_推移グラフ.xlsx]Sheet1 (2)'!$C$11:$M$11</c:f>
              <c:numCache>
                <c:formatCode>General</c:formatCode>
                <c:ptCount val="11"/>
                <c:pt idx="0" formatCode="0.0_ ">
                  <c:v>-27.6</c:v>
                </c:pt>
                <c:pt idx="1">
                  <c:v>-24.3</c:v>
                </c:pt>
                <c:pt idx="2">
                  <c:v>-19.2</c:v>
                </c:pt>
                <c:pt idx="3" formatCode="0.0">
                  <c:v>-20</c:v>
                </c:pt>
                <c:pt idx="4">
                  <c:v>-15.7</c:v>
                </c:pt>
                <c:pt idx="5">
                  <c:v>-11.2</c:v>
                </c:pt>
                <c:pt idx="6">
                  <c:v>-28.4</c:v>
                </c:pt>
                <c:pt idx="7">
                  <c:v>-19.8</c:v>
                </c:pt>
                <c:pt idx="8" formatCode="0.0_ ">
                  <c:v>-20.6</c:v>
                </c:pt>
                <c:pt idx="9" formatCode="0.0_ ">
                  <c:v>-20.2</c:v>
                </c:pt>
                <c:pt idx="10" formatCode="0.0_ ">
                  <c:v>-18.5</c:v>
                </c:pt>
              </c:numCache>
            </c:numRef>
          </c:val>
          <c:smooth val="0"/>
        </c:ser>
        <c:ser>
          <c:idx val="3"/>
          <c:order val="3"/>
          <c:tx>
            <c:strRef>
              <c:f>'[中小企業景況調査_推移グラフ.xlsx]Sheet1 (2)'!$A$12</c:f>
              <c:strCache>
                <c:ptCount val="1"/>
                <c:pt idx="0">
                  <c:v>ゼロ線</c:v>
                </c:pt>
              </c:strCache>
            </c:strRef>
          </c:tx>
          <c:spPr>
            <a:ln w="6350">
              <a:solidFill>
                <a:schemeClr val="tx1"/>
              </a:solidFill>
            </a:ln>
          </c:spPr>
          <c:marker>
            <c:symbol val="none"/>
          </c:marker>
          <c:cat>
            <c:multiLvlStrRef>
              <c:f>'[中小企業景況調査_推移グラフ.xlsx]Sheet1 (2)'!$C$1:$M$2</c:f>
              <c:multiLvlStrCache>
                <c:ptCount val="11"/>
                <c:lvl>
                  <c:pt idx="0">
                    <c:v>10-12月</c:v>
                  </c:pt>
                  <c:pt idx="1">
                    <c:v>1-3月</c:v>
                  </c:pt>
                  <c:pt idx="2">
                    <c:v>4-6月</c:v>
                  </c:pt>
                  <c:pt idx="3">
                    <c:v>7-9月</c:v>
                  </c:pt>
                  <c:pt idx="4">
                    <c:v>10-12月</c:v>
                  </c:pt>
                  <c:pt idx="5">
                    <c:v>1-3月</c:v>
                  </c:pt>
                  <c:pt idx="6">
                    <c:v>4-6月</c:v>
                  </c:pt>
                  <c:pt idx="7">
                    <c:v>7-9月</c:v>
                  </c:pt>
                  <c:pt idx="8">
                    <c:v>10-12月</c:v>
                  </c:pt>
                  <c:pt idx="9">
                    <c:v>1-3月</c:v>
                  </c:pt>
                  <c:pt idx="10">
                    <c:v>4-6月</c:v>
                  </c:pt>
                </c:lvl>
                <c:lvl>
                  <c:pt idx="0">
                    <c:v>2012年</c:v>
                  </c:pt>
                  <c:pt idx="1">
                    <c:v>2013年</c:v>
                  </c:pt>
                  <c:pt idx="5">
                    <c:v>2014年</c:v>
                  </c:pt>
                  <c:pt idx="9">
                    <c:v>2015年</c:v>
                  </c:pt>
                </c:lvl>
              </c:multiLvlStrCache>
            </c:multiLvlStrRef>
          </c:cat>
          <c:val>
            <c:numRef>
              <c:f>'[中小企業景況調査_推移グラフ.xlsx]Sheet1 (2)'!$C$12:$M$12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mooth val="0"/>
        </c:ser>
        <c:dLbls>
          <c:showLegendKey val="0"/>
          <c:showVal val="0"/>
          <c:showCatName val="0"/>
          <c:showSerName val="0"/>
          <c:showPercent val="0"/>
          <c:showBubbleSize val="0"/>
        </c:dLbls>
        <c:marker val="1"/>
        <c:smooth val="0"/>
        <c:axId val="196745216"/>
        <c:axId val="85471744"/>
      </c:lineChart>
      <c:catAx>
        <c:axId val="196745216"/>
        <c:scaling>
          <c:orientation val="minMax"/>
        </c:scaling>
        <c:delete val="0"/>
        <c:axPos val="b"/>
        <c:numFmt formatCode="General" sourceLinked="0"/>
        <c:majorTickMark val="out"/>
        <c:minorTickMark val="none"/>
        <c:tickLblPos val="nextTo"/>
        <c:txPr>
          <a:bodyPr rot="0"/>
          <a:lstStyle/>
          <a:p>
            <a:pPr>
              <a:defRPr sz="900">
                <a:latin typeface="ＭＳ 明朝" panose="02020609040205080304" pitchFamily="17" charset="-128"/>
                <a:ea typeface="ＭＳ 明朝" panose="02020609040205080304" pitchFamily="17" charset="-128"/>
              </a:defRPr>
            </a:pPr>
            <a:endParaRPr lang="ja-JP"/>
          </a:p>
        </c:txPr>
        <c:crossAx val="85471744"/>
        <c:crossesAt val="-45"/>
        <c:auto val="1"/>
        <c:lblAlgn val="ctr"/>
        <c:lblOffset val="100"/>
        <c:noMultiLvlLbl val="0"/>
      </c:catAx>
      <c:valAx>
        <c:axId val="85471744"/>
        <c:scaling>
          <c:orientation val="minMax"/>
        </c:scaling>
        <c:delete val="0"/>
        <c:axPos val="l"/>
        <c:majorGridlines>
          <c:spPr>
            <a:ln>
              <a:noFill/>
            </a:ln>
          </c:spPr>
        </c:majorGridlines>
        <c:numFmt formatCode="General" sourceLinked="1"/>
        <c:majorTickMark val="out"/>
        <c:minorTickMark val="none"/>
        <c:tickLblPos val="nextTo"/>
        <c:txPr>
          <a:bodyPr/>
          <a:lstStyle/>
          <a:p>
            <a:pPr>
              <a:defRPr sz="900">
                <a:latin typeface="ＭＳ 明朝" panose="02020609040205080304" pitchFamily="17" charset="-128"/>
                <a:ea typeface="ＭＳ 明朝" panose="02020609040205080304" pitchFamily="17" charset="-128"/>
              </a:defRPr>
            </a:pPr>
            <a:endParaRPr lang="ja-JP"/>
          </a:p>
        </c:txPr>
        <c:crossAx val="196745216"/>
        <c:crosses val="autoZero"/>
        <c:crossBetween val="between"/>
      </c:valAx>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天野　敏昭</cp:lastModifiedBy>
  <cp:revision>10</cp:revision>
  <cp:lastPrinted>2015-08-18T01:23:00Z</cp:lastPrinted>
  <dcterms:created xsi:type="dcterms:W3CDTF">2015-08-17T08:48:00Z</dcterms:created>
  <dcterms:modified xsi:type="dcterms:W3CDTF">2015-08-24T02:31:00Z</dcterms:modified>
</cp:coreProperties>
</file>