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145A5" w14:textId="0DDFAD79" w:rsidR="00196E4E" w:rsidRPr="00840AE1" w:rsidRDefault="00196E4E" w:rsidP="00814F48">
      <w:pPr>
        <w:pStyle w:val="1"/>
        <w:ind w:left="280" w:hangingChars="100" w:hanging="280"/>
        <w:rPr>
          <w:rFonts w:asciiTheme="minorEastAsia" w:eastAsiaTheme="minorEastAsia" w:hAnsiTheme="minorEastAsia"/>
          <w:sz w:val="22"/>
          <w:szCs w:val="22"/>
        </w:rPr>
      </w:pPr>
      <w:r w:rsidRPr="00840AE1">
        <w:rPr>
          <w:rFonts w:asciiTheme="minorEastAsia" w:eastAsiaTheme="minorEastAsia" w:hAnsiTheme="minorEastAsia" w:hint="eastAsia"/>
          <w:bCs/>
          <w:sz w:val="28"/>
        </w:rPr>
        <w:t xml:space="preserve">■　</w:t>
      </w:r>
      <w:r w:rsidR="00814F48" w:rsidRPr="00840AE1">
        <w:rPr>
          <w:rFonts w:asciiTheme="minorEastAsia" w:eastAsiaTheme="minorEastAsia" w:hAnsiTheme="minorEastAsia" w:hint="eastAsia"/>
          <w:bCs/>
          <w:sz w:val="28"/>
        </w:rPr>
        <w:t>条例対象小規模特別特定建築物に適用する建築物移動等円滑化基準</w:t>
      </w:r>
      <w:r w:rsidRPr="00840AE1">
        <w:rPr>
          <w:rFonts w:asciiTheme="minorEastAsia" w:eastAsiaTheme="minorEastAsia" w:hAnsiTheme="minorEastAsia" w:hint="eastAsia"/>
          <w:sz w:val="22"/>
          <w:szCs w:val="22"/>
        </w:rPr>
        <w:t>（政令第</w:t>
      </w:r>
      <w:r w:rsidRPr="00840AE1">
        <w:rPr>
          <w:rFonts w:asciiTheme="minorEastAsia" w:eastAsiaTheme="minorEastAsia" w:hAnsiTheme="minorEastAsia"/>
          <w:sz w:val="22"/>
          <w:szCs w:val="22"/>
        </w:rPr>
        <w:t>10</w:t>
      </w:r>
      <w:r w:rsidRPr="00840AE1">
        <w:rPr>
          <w:rFonts w:asciiTheme="minorEastAsia" w:eastAsiaTheme="minorEastAsia" w:hAnsiTheme="minorEastAsia" w:hint="eastAsia"/>
          <w:sz w:val="22"/>
          <w:szCs w:val="22"/>
        </w:rPr>
        <w:t>条　条例第</w:t>
      </w:r>
      <w:r w:rsidRPr="00840AE1">
        <w:rPr>
          <w:rFonts w:asciiTheme="minorEastAsia" w:eastAsiaTheme="minorEastAsia" w:hAnsiTheme="minorEastAsia"/>
          <w:sz w:val="22"/>
          <w:szCs w:val="22"/>
        </w:rPr>
        <w:t>13</w:t>
      </w:r>
      <w:r w:rsidRPr="00840AE1">
        <w:rPr>
          <w:rFonts w:asciiTheme="minorEastAsia" w:eastAsiaTheme="minorEastAsia" w:hAnsiTheme="minorEastAsia" w:hint="eastAsia"/>
          <w:sz w:val="22"/>
          <w:szCs w:val="22"/>
        </w:rPr>
        <w:t>条関係）</w:t>
      </w:r>
    </w:p>
    <w:tbl>
      <w:tblPr>
        <w:tblStyle w:val="a3"/>
        <w:tblW w:w="5000" w:type="pct"/>
        <w:tblLook w:val="04A0" w:firstRow="1" w:lastRow="0" w:firstColumn="1" w:lastColumn="0" w:noHBand="0" w:noVBand="1"/>
      </w:tblPr>
      <w:tblGrid>
        <w:gridCol w:w="4520"/>
        <w:gridCol w:w="4520"/>
      </w:tblGrid>
      <w:tr w:rsidR="00196E4E" w:rsidRPr="00840AE1" w14:paraId="12A06A9C" w14:textId="77777777" w:rsidTr="00F57A86">
        <w:tc>
          <w:tcPr>
            <w:tcW w:w="2500" w:type="pct"/>
            <w:tcBorders>
              <w:top w:val="single" w:sz="12" w:space="0" w:color="auto"/>
              <w:left w:val="single" w:sz="12" w:space="0" w:color="auto"/>
              <w:bottom w:val="single" w:sz="12" w:space="0" w:color="auto"/>
            </w:tcBorders>
            <w:shd w:val="clear" w:color="auto" w:fill="FFFF00"/>
            <w:vAlign w:val="center"/>
          </w:tcPr>
          <w:p w14:paraId="5A9684F5" w14:textId="0E0B37CD" w:rsidR="00196E4E" w:rsidRPr="00840AE1" w:rsidRDefault="00196E4E" w:rsidP="00F57A86">
            <w:pPr>
              <w:jc w:val="center"/>
              <w:rPr>
                <w:rFonts w:asciiTheme="minorEastAsia" w:eastAsiaTheme="minorEastAsia" w:hAnsiTheme="minorEastAsia"/>
                <w:color w:val="000000"/>
                <w:sz w:val="24"/>
              </w:rPr>
            </w:pPr>
            <w:r w:rsidRPr="00840AE1">
              <w:rPr>
                <w:rFonts w:asciiTheme="minorEastAsia" w:eastAsiaTheme="minorEastAsia" w:hAnsiTheme="minorEastAsia" w:hint="eastAsia"/>
                <w:color w:val="000000"/>
                <w:sz w:val="24"/>
              </w:rPr>
              <w:t>政</w:t>
            </w:r>
            <w:bookmarkStart w:id="0" w:name="_GoBack"/>
            <w:bookmarkEnd w:id="0"/>
            <w:r w:rsidRPr="00840AE1">
              <w:rPr>
                <w:rFonts w:asciiTheme="minorEastAsia" w:eastAsiaTheme="minorEastAsia" w:hAnsiTheme="minorEastAsia" w:hint="eastAsia"/>
                <w:color w:val="000000"/>
                <w:sz w:val="24"/>
              </w:rPr>
              <w:t>令</w:t>
            </w:r>
          </w:p>
        </w:tc>
        <w:tc>
          <w:tcPr>
            <w:tcW w:w="2500" w:type="pct"/>
            <w:tcBorders>
              <w:top w:val="single" w:sz="12" w:space="0" w:color="auto"/>
              <w:bottom w:val="single" w:sz="12" w:space="0" w:color="auto"/>
              <w:right w:val="single" w:sz="12" w:space="0" w:color="auto"/>
            </w:tcBorders>
            <w:shd w:val="clear" w:color="auto" w:fill="FFFF00"/>
            <w:vAlign w:val="center"/>
          </w:tcPr>
          <w:p w14:paraId="5B778118" w14:textId="61FCC64C" w:rsidR="00196E4E" w:rsidRPr="00840AE1" w:rsidRDefault="00196E4E" w:rsidP="00F57A86">
            <w:pPr>
              <w:jc w:val="center"/>
              <w:rPr>
                <w:rFonts w:asciiTheme="minorEastAsia" w:eastAsiaTheme="minorEastAsia" w:hAnsiTheme="minorEastAsia"/>
                <w:color w:val="000000"/>
                <w:sz w:val="24"/>
              </w:rPr>
            </w:pPr>
            <w:r w:rsidRPr="00840AE1">
              <w:rPr>
                <w:rFonts w:asciiTheme="minorEastAsia" w:eastAsiaTheme="minorEastAsia" w:hAnsiTheme="minorEastAsia" w:hint="eastAsia"/>
                <w:color w:val="000000"/>
                <w:sz w:val="24"/>
              </w:rPr>
              <w:t>条例</w:t>
            </w:r>
          </w:p>
        </w:tc>
      </w:tr>
      <w:tr w:rsidR="00196E4E" w:rsidRPr="00840AE1" w14:paraId="5EF09A97" w14:textId="77777777" w:rsidTr="00F57A86">
        <w:tc>
          <w:tcPr>
            <w:tcW w:w="2500" w:type="pct"/>
            <w:tcBorders>
              <w:top w:val="single" w:sz="12" w:space="0" w:color="auto"/>
              <w:left w:val="single" w:sz="12" w:space="0" w:color="auto"/>
              <w:bottom w:val="dotted" w:sz="4" w:space="0" w:color="auto"/>
              <w:right w:val="dotted" w:sz="4" w:space="0" w:color="auto"/>
            </w:tcBorders>
          </w:tcPr>
          <w:p w14:paraId="2F26A3F0" w14:textId="5A9733E5" w:rsidR="00196E4E" w:rsidRPr="00840AE1" w:rsidRDefault="00627CCE" w:rsidP="00F57A86">
            <w:pPr>
              <w:ind w:left="200" w:hangingChars="100" w:hanging="200"/>
              <w:rPr>
                <w:rFonts w:asciiTheme="minorEastAsia" w:eastAsiaTheme="minorEastAsia" w:hAnsiTheme="minorEastAsia"/>
                <w:color w:val="000000"/>
                <w:sz w:val="20"/>
              </w:rPr>
            </w:pPr>
            <w:r w:rsidRPr="00840AE1">
              <w:rPr>
                <w:rFonts w:asciiTheme="minorEastAsia" w:eastAsiaTheme="minorEastAsia" w:hAnsiTheme="minorEastAsia" w:hint="eastAsia"/>
                <w:color w:val="000000"/>
                <w:sz w:val="20"/>
              </w:rPr>
              <w:t>第十条　法第十四条第一項の政令で定める建築物特定施設の構造及び配置に関する基準（次項に規定する特別特定建築物に係るものを除く。）は、次条から第二十四条までに定めるところによる。</w:t>
            </w:r>
          </w:p>
        </w:tc>
        <w:tc>
          <w:tcPr>
            <w:tcW w:w="2500" w:type="pct"/>
            <w:tcBorders>
              <w:top w:val="single" w:sz="12" w:space="0" w:color="auto"/>
              <w:left w:val="dotted" w:sz="4" w:space="0" w:color="auto"/>
              <w:bottom w:val="dotted" w:sz="4" w:space="0" w:color="auto"/>
              <w:right w:val="single" w:sz="12" w:space="0" w:color="auto"/>
            </w:tcBorders>
          </w:tcPr>
          <w:p w14:paraId="786BE9AD" w14:textId="5DCF1BCD" w:rsidR="00196E4E" w:rsidRPr="00840AE1" w:rsidRDefault="00627CCE" w:rsidP="00F57A86">
            <w:pPr>
              <w:ind w:left="200" w:hangingChars="100" w:hanging="200"/>
              <w:rPr>
                <w:rFonts w:asciiTheme="minorEastAsia" w:eastAsiaTheme="minorEastAsia" w:hAnsiTheme="minorEastAsia"/>
                <w:color w:val="000000"/>
                <w:sz w:val="20"/>
              </w:rPr>
            </w:pPr>
            <w:r w:rsidRPr="00840AE1">
              <w:rPr>
                <w:rFonts w:asciiTheme="minorEastAsia" w:eastAsiaTheme="minorEastAsia" w:hAnsiTheme="minorEastAsia" w:hint="eastAsia"/>
                <w:color w:val="000000"/>
                <w:sz w:val="20"/>
              </w:rPr>
              <w:t>第十三条　法第十四条第三項の規定により建築物移動等円滑化基準に条例で付加する必要な事項（条例対象小規模特別特定建築物に係るものを除く。）は、次条から第二十九条まで（第二十四条第四項及び第二十八条第二項を除く。）に定めるところによる。</w:t>
            </w:r>
          </w:p>
        </w:tc>
      </w:tr>
      <w:tr w:rsidR="00196E4E" w:rsidRPr="00840AE1" w14:paraId="76895C82" w14:textId="77777777" w:rsidTr="00F57A86">
        <w:tc>
          <w:tcPr>
            <w:tcW w:w="2500" w:type="pct"/>
            <w:tcBorders>
              <w:top w:val="dotted" w:sz="4" w:space="0" w:color="auto"/>
              <w:left w:val="single" w:sz="12" w:space="0" w:color="auto"/>
              <w:bottom w:val="single" w:sz="12" w:space="0" w:color="auto"/>
              <w:right w:val="dotted" w:sz="4" w:space="0" w:color="auto"/>
            </w:tcBorders>
          </w:tcPr>
          <w:p w14:paraId="3B431B6B" w14:textId="77B3AD94" w:rsidR="00196E4E" w:rsidRPr="00840AE1" w:rsidRDefault="00627CCE" w:rsidP="00F57A86">
            <w:pPr>
              <w:ind w:left="200" w:hangingChars="100" w:hanging="200"/>
              <w:rPr>
                <w:rFonts w:asciiTheme="minorEastAsia" w:eastAsiaTheme="minorEastAsia" w:hAnsiTheme="minorEastAsia"/>
                <w:color w:val="000000"/>
                <w:sz w:val="20"/>
              </w:rPr>
            </w:pPr>
            <w:r w:rsidRPr="00840AE1">
              <w:rPr>
                <w:rFonts w:asciiTheme="minorEastAsia" w:eastAsiaTheme="minorEastAsia" w:hAnsiTheme="minorEastAsia" w:hint="eastAsia"/>
                <w:color w:val="000000"/>
                <w:sz w:val="20"/>
              </w:rPr>
              <w:t>２　法第十四条第三項の規定により地方公共団体が条例で同条第一項の建築の規模を床面積の合計五百平方メートル未満で定めた場合における床面積の合計が五百平方メートル未満の当該建築に係る特別特定建築物（公衆便所を除き、同条第三項の条例で定める特定建築物を含む。第二十五条において「条例対象小規模特別特定建築物」という。）についての法第十四条第一項の政令で定める建築物特定施設の構造及び配置に関する基準は、第十九条及び第二十五条に定めるところによる。</w:t>
            </w:r>
          </w:p>
        </w:tc>
        <w:tc>
          <w:tcPr>
            <w:tcW w:w="2500" w:type="pct"/>
            <w:tcBorders>
              <w:top w:val="dotted" w:sz="4" w:space="0" w:color="auto"/>
              <w:left w:val="dotted" w:sz="4" w:space="0" w:color="auto"/>
              <w:bottom w:val="single" w:sz="12" w:space="0" w:color="auto"/>
              <w:right w:val="single" w:sz="12" w:space="0" w:color="auto"/>
            </w:tcBorders>
          </w:tcPr>
          <w:p w14:paraId="187FB682" w14:textId="0253CE40" w:rsidR="00196E4E" w:rsidRPr="00840AE1" w:rsidRDefault="00627CCE" w:rsidP="00F57A86">
            <w:pPr>
              <w:ind w:left="200" w:hangingChars="100" w:hanging="200"/>
              <w:rPr>
                <w:rFonts w:asciiTheme="minorEastAsia" w:eastAsiaTheme="minorEastAsia" w:hAnsiTheme="minorEastAsia"/>
                <w:color w:val="000000"/>
                <w:sz w:val="20"/>
              </w:rPr>
            </w:pPr>
            <w:r w:rsidRPr="00840AE1">
              <w:rPr>
                <w:rFonts w:asciiTheme="minorEastAsia" w:eastAsiaTheme="minorEastAsia" w:hAnsiTheme="minorEastAsia" w:hint="eastAsia"/>
                <w:color w:val="000000"/>
                <w:sz w:val="20"/>
              </w:rPr>
              <w:t>２　条例対象小規模特別特定建築物に係る法第十四条第三項の規定により建築物移動等円滑化基準に条例で付加する必要な事項は、令第二十三条及び第二十四条の規定により読み替えて適用する令第十一条から第十四条まで、第十六条、第十七条、第二十条及び第二十一条に定めるところによるほか、次条から第十七条まで、第十八条（第二項及び第五項を除く。）、第二十二条、第二十三条、第二十四条第一項第二号（トを除く。）及び同項第三号並びに同条第四項、第二十五条、第二十六条、第二十八条並びに第二十九条に定めるところによる。</w:t>
            </w:r>
          </w:p>
        </w:tc>
      </w:tr>
    </w:tbl>
    <w:p w14:paraId="329B4653" w14:textId="5CD67E9C" w:rsidR="00C24422" w:rsidRPr="00840AE1" w:rsidRDefault="00C24422" w:rsidP="006E210C">
      <w:pPr>
        <w:rPr>
          <w:rFonts w:asciiTheme="minorEastAsia" w:eastAsiaTheme="minorEastAsia" w:hAnsiTheme="minorEastAsia"/>
          <w:color w:val="000000"/>
        </w:rPr>
      </w:pPr>
    </w:p>
    <w:p w14:paraId="2BC416FE" w14:textId="49DA96EE" w:rsidR="00C24422" w:rsidRPr="00840AE1" w:rsidRDefault="00C24422" w:rsidP="006E210C">
      <w:pPr>
        <w:rPr>
          <w:rFonts w:asciiTheme="minorEastAsia" w:eastAsiaTheme="minorEastAsia" w:hAnsiTheme="minorEastAsia"/>
          <w:color w:val="000000"/>
          <w:sz w:val="24"/>
        </w:rPr>
      </w:pPr>
      <w:r w:rsidRPr="00840AE1">
        <w:rPr>
          <w:rFonts w:asciiTheme="minorEastAsia" w:eastAsiaTheme="minorEastAsia" w:hAnsiTheme="minorEastAsia" w:hint="eastAsia"/>
          <w:color w:val="000000"/>
          <w:sz w:val="24"/>
        </w:rPr>
        <w:t>〔解説〕</w:t>
      </w:r>
    </w:p>
    <w:p w14:paraId="61DD08BE" w14:textId="04A1DA5C" w:rsidR="004B25B0" w:rsidRPr="00840AE1" w:rsidRDefault="004B25B0" w:rsidP="006E210C">
      <w:pPr>
        <w:rPr>
          <w:rFonts w:asciiTheme="minorEastAsia" w:eastAsiaTheme="minorEastAsia" w:hAnsiTheme="minorEastAsia"/>
          <w:color w:val="000000"/>
          <w:szCs w:val="21"/>
        </w:rPr>
      </w:pPr>
    </w:p>
    <w:p w14:paraId="794A0A0C" w14:textId="77777777" w:rsidR="00A34D98" w:rsidRPr="00840AE1" w:rsidRDefault="00DC7CFF" w:rsidP="00A34D98">
      <w:pPr>
        <w:ind w:leftChars="100" w:left="420" w:hangingChars="100" w:hanging="210"/>
        <w:rPr>
          <w:rFonts w:asciiTheme="minorEastAsia" w:eastAsiaTheme="minorEastAsia" w:hAnsiTheme="minorEastAsia"/>
          <w:color w:val="000000"/>
          <w:szCs w:val="21"/>
        </w:rPr>
      </w:pPr>
      <w:r w:rsidRPr="00840AE1">
        <w:rPr>
          <w:rFonts w:asciiTheme="minorEastAsia" w:eastAsiaTheme="minorEastAsia" w:hAnsiTheme="minorEastAsia" w:hint="eastAsia"/>
          <w:color w:val="000000"/>
          <w:szCs w:val="21"/>
        </w:rPr>
        <w:t>○</w:t>
      </w:r>
      <w:r w:rsidR="00A34D98" w:rsidRPr="00840AE1">
        <w:rPr>
          <w:rFonts w:asciiTheme="minorEastAsia" w:eastAsiaTheme="minorEastAsia" w:hAnsiTheme="minorEastAsia" w:hint="eastAsia"/>
          <w:color w:val="000000"/>
          <w:szCs w:val="21"/>
        </w:rPr>
        <w:t>従来のバリアフリー法では、大規模の建築物を想定しているため、小規模の建築物に当てはめた場合に建築主に過度の負担が生じる場合が考えられ、地方公共団体での条例制定が進まない一因となっていました。</w:t>
      </w:r>
    </w:p>
    <w:p w14:paraId="0CF28927" w14:textId="77777777" w:rsidR="00A34D98" w:rsidRPr="00840AE1" w:rsidRDefault="00A34D98" w:rsidP="00A34D98">
      <w:pPr>
        <w:ind w:leftChars="100" w:left="420" w:hangingChars="100" w:hanging="210"/>
        <w:rPr>
          <w:rFonts w:asciiTheme="minorEastAsia" w:eastAsiaTheme="minorEastAsia" w:hAnsiTheme="minorEastAsia"/>
          <w:color w:val="000000"/>
          <w:szCs w:val="21"/>
        </w:rPr>
      </w:pPr>
    </w:p>
    <w:p w14:paraId="1CC31588" w14:textId="49CF5795" w:rsidR="00A34D98" w:rsidRPr="00840AE1" w:rsidRDefault="00A34D98" w:rsidP="00A34D98">
      <w:pPr>
        <w:ind w:leftChars="100" w:left="420" w:hangingChars="100" w:hanging="210"/>
        <w:rPr>
          <w:rFonts w:asciiTheme="minorEastAsia" w:eastAsiaTheme="minorEastAsia" w:hAnsiTheme="minorEastAsia"/>
          <w:color w:val="000000"/>
          <w:szCs w:val="21"/>
        </w:rPr>
      </w:pPr>
      <w:r w:rsidRPr="00840AE1">
        <w:rPr>
          <w:rFonts w:asciiTheme="minorEastAsia" w:eastAsiaTheme="minorEastAsia" w:hAnsiTheme="minorEastAsia" w:hint="eastAsia"/>
          <w:color w:val="000000"/>
          <w:szCs w:val="21"/>
        </w:rPr>
        <w:t>○このため、令和2年12月に地方公共団体がより柔軟に条例による規模引き下げを行うことができるよう、500㎡未満の移動等円滑化基準の見直しが行われました。</w:t>
      </w:r>
    </w:p>
    <w:p w14:paraId="325FD016" w14:textId="1A3C3735" w:rsidR="00A34D98" w:rsidRPr="00840AE1" w:rsidRDefault="00A34D98" w:rsidP="00A34D98">
      <w:pPr>
        <w:ind w:leftChars="100" w:left="420" w:hangingChars="100" w:hanging="210"/>
        <w:rPr>
          <w:rFonts w:asciiTheme="minorEastAsia" w:eastAsiaTheme="minorEastAsia" w:hAnsiTheme="minorEastAsia"/>
          <w:color w:val="000000"/>
          <w:szCs w:val="21"/>
        </w:rPr>
      </w:pPr>
    </w:p>
    <w:p w14:paraId="131EBA2F" w14:textId="3F8016A5" w:rsidR="00A34D98" w:rsidRPr="00840AE1" w:rsidRDefault="00A34D98" w:rsidP="00A34D98">
      <w:pPr>
        <w:ind w:leftChars="100" w:left="420" w:hangingChars="100" w:hanging="210"/>
        <w:rPr>
          <w:rFonts w:asciiTheme="minorEastAsia" w:eastAsiaTheme="minorEastAsia" w:hAnsiTheme="minorEastAsia"/>
          <w:color w:val="000000"/>
          <w:szCs w:val="21"/>
        </w:rPr>
      </w:pPr>
      <w:r w:rsidRPr="00840AE1">
        <w:rPr>
          <w:rFonts w:asciiTheme="minorEastAsia" w:eastAsiaTheme="minorEastAsia" w:hAnsiTheme="minorEastAsia" w:hint="eastAsia"/>
          <w:color w:val="000000"/>
          <w:szCs w:val="21"/>
        </w:rPr>
        <w:t>○これにより、500㎡未満の建築物における政令の移動等円滑化基準が緩和されることになりましたが、条例により、従来どおりの基準となるよう規定しました。</w:t>
      </w:r>
    </w:p>
    <w:p w14:paraId="2FF19C6C" w14:textId="0A2B6BD6" w:rsidR="00A34D98" w:rsidRPr="00840AE1" w:rsidRDefault="00A34D98" w:rsidP="00A34D98">
      <w:pPr>
        <w:ind w:leftChars="100" w:left="420" w:hangingChars="100" w:hanging="210"/>
        <w:rPr>
          <w:rFonts w:asciiTheme="minorEastAsia" w:eastAsiaTheme="minorEastAsia" w:hAnsiTheme="minorEastAsia"/>
          <w:color w:val="000000"/>
          <w:szCs w:val="21"/>
        </w:rPr>
      </w:pPr>
    </w:p>
    <w:p w14:paraId="3ED4B839" w14:textId="6DE4098B" w:rsidR="00A34D98" w:rsidRPr="00840AE1" w:rsidRDefault="00A34D98" w:rsidP="00A34D98">
      <w:pPr>
        <w:ind w:leftChars="100" w:left="420" w:hangingChars="100" w:hanging="210"/>
        <w:rPr>
          <w:rFonts w:asciiTheme="minorEastAsia" w:eastAsiaTheme="minorEastAsia" w:hAnsiTheme="minorEastAsia"/>
          <w:color w:val="000000"/>
          <w:szCs w:val="21"/>
        </w:rPr>
      </w:pPr>
      <w:r w:rsidRPr="00840AE1">
        <w:rPr>
          <w:rFonts w:asciiTheme="minorEastAsia" w:eastAsiaTheme="minorEastAsia" w:hAnsiTheme="minorEastAsia" w:hint="eastAsia"/>
          <w:color w:val="000000"/>
          <w:szCs w:val="21"/>
        </w:rPr>
        <w:t>○なお、一部の基準については、強化されました。（Ｐ66参照）</w:t>
      </w:r>
    </w:p>
    <w:p w14:paraId="20A90CED" w14:textId="481C968F" w:rsidR="00FB19E4" w:rsidRPr="00587B01" w:rsidRDefault="00FB19E4" w:rsidP="006A50CE">
      <w:pPr>
        <w:rPr>
          <w:rFonts w:asciiTheme="minorEastAsia" w:eastAsiaTheme="minorEastAsia" w:hAnsiTheme="minorEastAsia"/>
          <w:shd w:val="pct15" w:color="auto" w:fill="FFFFFF"/>
        </w:rPr>
      </w:pPr>
    </w:p>
    <w:sectPr w:rsidR="00FB19E4" w:rsidRPr="00587B01" w:rsidSect="00F47C3C">
      <w:footerReference w:type="default" r:id="rId11"/>
      <w:pgSz w:w="11906" w:h="16838" w:code="9"/>
      <w:pgMar w:top="1701" w:right="1418" w:bottom="1134" w:left="1418" w:header="851" w:footer="510" w:gutter="0"/>
      <w:pgNumType w:fmt="numberInDash" w:start="22"/>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charset w:val="80"/>
    <w:family w:val="auto"/>
    <w:pitch w:val="fixed"/>
    <w:sig w:usb0="00000000"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23997"/>
      <w:docPartObj>
        <w:docPartGallery w:val="Page Numbers (Bottom of Page)"/>
        <w:docPartUnique/>
      </w:docPartObj>
    </w:sdtPr>
    <w:sdtEndPr/>
    <w:sdtContent>
      <w:p w14:paraId="16DDE016" w14:textId="779FB7C6" w:rsidR="00957082" w:rsidRDefault="00957082" w:rsidP="001F547D">
        <w:pPr>
          <w:pStyle w:val="a6"/>
          <w:jc w:val="center"/>
        </w:pPr>
        <w:r>
          <w:fldChar w:fldCharType="begin"/>
        </w:r>
        <w:r>
          <w:instrText>PAGE   \* MERGEFORMAT</w:instrText>
        </w:r>
        <w:r>
          <w:fldChar w:fldCharType="separate"/>
        </w:r>
        <w:r w:rsidR="00F47C3C" w:rsidRPr="00F47C3C">
          <w:rPr>
            <w:noProof/>
            <w:lang w:val="ja-JP"/>
          </w:rPr>
          <w:t>-</w:t>
        </w:r>
        <w:r w:rsidR="00F47C3C">
          <w:rPr>
            <w:noProof/>
          </w:rPr>
          <w:t xml:space="preserve"> 22 -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C3C"/>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ACA6D-3039-4B73-AA27-1E0092C6B2D4}">
  <ds:schemaRef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c736cf6b-2129-4b8b-aeb8-81e1ec8849f8"/>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3.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60239E-2712-4F0A-8445-62394461B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990</Words>
  <Characters>35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1023</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2022-04-06T08:46:00Z</dcterms:created>
  <dcterms:modified xsi:type="dcterms:W3CDTF">2022-04-06T08:46:00Z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