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4A" w:rsidRPr="006E6108" w:rsidRDefault="003404EC">
      <w:pPr>
        <w:rPr>
          <w:b/>
          <w:sz w:val="28"/>
        </w:rPr>
      </w:pPr>
      <w:r w:rsidRPr="006E6108">
        <w:rPr>
          <w:rFonts w:hint="eastAsia"/>
          <w:b/>
          <w:sz w:val="28"/>
        </w:rPr>
        <w:t>高まん延国からの入国者に対する取組・対応について</w:t>
      </w:r>
    </w:p>
    <w:p w:rsidR="001516A2" w:rsidRPr="009B5510" w:rsidRDefault="001516A2">
      <w:pPr>
        <w:rPr>
          <w:sz w:val="22"/>
        </w:rPr>
      </w:pPr>
    </w:p>
    <w:p w:rsidR="003404EC" w:rsidRPr="001219B0" w:rsidRDefault="00D236C7">
      <w:pPr>
        <w:rPr>
          <w:sz w:val="22"/>
        </w:rPr>
      </w:pPr>
      <w:r>
        <w:rPr>
          <w:rFonts w:hint="eastAsia"/>
          <w:sz w:val="24"/>
        </w:rPr>
        <w:t>■</w:t>
      </w:r>
      <w:r w:rsidR="003404EC" w:rsidRPr="00D236C7">
        <w:rPr>
          <w:rFonts w:hint="eastAsia"/>
          <w:b/>
          <w:sz w:val="24"/>
        </w:rPr>
        <w:t>大阪府内の結核のまん延状況</w:t>
      </w:r>
    </w:p>
    <w:p w:rsidR="00C92874" w:rsidRPr="001219B0" w:rsidRDefault="00C92874">
      <w:pPr>
        <w:rPr>
          <w:rFonts w:cs="ＭＳ Ｐゴシック"/>
          <w:color w:val="000000" w:themeColor="text1"/>
          <w:kern w:val="0"/>
          <w:sz w:val="22"/>
        </w:rPr>
      </w:pPr>
      <w:r w:rsidRPr="001219B0">
        <w:rPr>
          <w:rFonts w:hint="eastAsia"/>
        </w:rPr>
        <w:t xml:space="preserve">　</w:t>
      </w:r>
      <w:r w:rsidRPr="001219B0">
        <w:rPr>
          <w:rFonts w:cs="ＭＳ Ｐゴシック" w:hint="eastAsia"/>
          <w:color w:val="000000" w:themeColor="text1"/>
          <w:kern w:val="0"/>
          <w:sz w:val="22"/>
        </w:rPr>
        <w:t>全国の結核り患率は、年々減少し</w:t>
      </w:r>
      <w:r w:rsidRPr="001219B0">
        <w:rPr>
          <w:rFonts w:cs="ＭＳ Ｐゴシック"/>
          <w:color w:val="000000" w:themeColor="text1"/>
          <w:kern w:val="0"/>
          <w:sz w:val="22"/>
        </w:rPr>
        <w:t>201</w:t>
      </w:r>
      <w:r w:rsidRPr="001219B0">
        <w:rPr>
          <w:rFonts w:cs="ＭＳ Ｐゴシック" w:hint="eastAsia"/>
          <w:color w:val="000000" w:themeColor="text1"/>
          <w:kern w:val="0"/>
          <w:sz w:val="22"/>
        </w:rPr>
        <w:t>7年は</w:t>
      </w:r>
      <w:r w:rsidRPr="001219B0">
        <w:rPr>
          <w:rFonts w:cs="ＭＳ Ｐゴシック"/>
          <w:color w:val="000000" w:themeColor="text1"/>
          <w:kern w:val="0"/>
          <w:sz w:val="22"/>
        </w:rPr>
        <w:t>1</w:t>
      </w:r>
      <w:r w:rsidRPr="001219B0">
        <w:rPr>
          <w:rFonts w:cs="ＭＳ Ｐゴシック" w:hint="eastAsia"/>
          <w:color w:val="000000" w:themeColor="text1"/>
          <w:kern w:val="0"/>
          <w:sz w:val="22"/>
        </w:rPr>
        <w:t>3</w:t>
      </w:r>
      <w:r w:rsidRPr="001219B0">
        <w:rPr>
          <w:rFonts w:cs="ＭＳ Ｐゴシック"/>
          <w:color w:val="000000" w:themeColor="text1"/>
          <w:kern w:val="0"/>
          <w:sz w:val="22"/>
        </w:rPr>
        <w:t>.</w:t>
      </w:r>
      <w:r w:rsidRPr="001219B0">
        <w:rPr>
          <w:rFonts w:cs="ＭＳ Ｐゴシック" w:hint="eastAsia"/>
          <w:color w:val="000000" w:themeColor="text1"/>
          <w:kern w:val="0"/>
          <w:sz w:val="22"/>
        </w:rPr>
        <w:t>2となりました。大阪府の結核り患率も減少し続けているものの、全国で最も高い状況が続いています。（</w:t>
      </w:r>
      <w:r w:rsidRPr="001219B0">
        <w:rPr>
          <w:rFonts w:cs="ＭＳ Ｐゴシック"/>
          <w:color w:val="000000" w:themeColor="text1"/>
          <w:kern w:val="0"/>
          <w:sz w:val="22"/>
        </w:rPr>
        <w:t>図１</w:t>
      </w:r>
      <w:r w:rsidRPr="001219B0">
        <w:rPr>
          <w:rFonts w:cs="ＭＳ Ｐゴシック" w:hint="eastAsia"/>
          <w:color w:val="000000" w:themeColor="text1"/>
          <w:kern w:val="0"/>
          <w:sz w:val="22"/>
        </w:rPr>
        <w:t>）</w:t>
      </w:r>
      <w:r w:rsidRPr="001219B0">
        <w:rPr>
          <w:rFonts w:cs="ＭＳ Ｐゴシック"/>
          <w:color w:val="000000" w:themeColor="text1"/>
          <w:kern w:val="0"/>
          <w:sz w:val="22"/>
        </w:rPr>
        <w:t xml:space="preserve">　</w:t>
      </w:r>
    </w:p>
    <w:p w:rsidR="00C92874" w:rsidRPr="001219B0" w:rsidRDefault="00C92874">
      <w:r w:rsidRPr="001219B0">
        <w:rPr>
          <w:rFonts w:cs="ＭＳ Ｐゴシック" w:hint="eastAsia"/>
          <w:color w:val="000000" w:themeColor="text1"/>
          <w:kern w:val="0"/>
          <w:sz w:val="22"/>
        </w:rPr>
        <w:t xml:space="preserve">　</w:t>
      </w:r>
      <w:r w:rsidRPr="001219B0">
        <w:rPr>
          <w:rFonts w:cs="ＭＳ Ｐゴシック"/>
          <w:color w:val="000000" w:themeColor="text1"/>
          <w:kern w:val="0"/>
          <w:sz w:val="22"/>
        </w:rPr>
        <w:t>201</w:t>
      </w:r>
      <w:r w:rsidRPr="001219B0">
        <w:rPr>
          <w:rFonts w:cs="ＭＳ Ｐゴシック" w:hint="eastAsia"/>
          <w:color w:val="000000" w:themeColor="text1"/>
          <w:kern w:val="0"/>
          <w:sz w:val="22"/>
        </w:rPr>
        <w:t>7年大阪府では1,881人（り患率</w:t>
      </w:r>
      <w:r w:rsidRPr="001219B0">
        <w:rPr>
          <w:rFonts w:cs="ＭＳ Ｐゴシック"/>
          <w:color w:val="000000" w:themeColor="text1"/>
          <w:kern w:val="0"/>
          <w:sz w:val="22"/>
        </w:rPr>
        <w:t>2</w:t>
      </w:r>
      <w:r w:rsidRPr="001219B0">
        <w:rPr>
          <w:rFonts w:cs="ＭＳ Ｐゴシック" w:hint="eastAsia"/>
          <w:color w:val="000000" w:themeColor="text1"/>
          <w:kern w:val="0"/>
          <w:sz w:val="22"/>
        </w:rPr>
        <w:t>1</w:t>
      </w:r>
      <w:r w:rsidRPr="001219B0">
        <w:rPr>
          <w:rFonts w:cs="ＭＳ Ｐゴシック"/>
          <w:color w:val="000000" w:themeColor="text1"/>
          <w:kern w:val="0"/>
          <w:sz w:val="22"/>
        </w:rPr>
        <w:t>.</w:t>
      </w:r>
      <w:r w:rsidRPr="001219B0">
        <w:rPr>
          <w:rFonts w:cs="ＭＳ Ｐゴシック" w:hint="eastAsia"/>
          <w:color w:val="000000" w:themeColor="text1"/>
          <w:kern w:val="0"/>
          <w:sz w:val="22"/>
        </w:rPr>
        <w:t>3）、大阪市は880人（り患率</w:t>
      </w:r>
      <w:r w:rsidRPr="001219B0">
        <w:rPr>
          <w:rFonts w:cs="ＭＳ Ｐゴシック"/>
          <w:color w:val="000000" w:themeColor="text1"/>
          <w:kern w:val="0"/>
          <w:sz w:val="22"/>
        </w:rPr>
        <w:t>3</w:t>
      </w:r>
      <w:r w:rsidRPr="001219B0">
        <w:rPr>
          <w:rFonts w:cs="ＭＳ Ｐゴシック" w:hint="eastAsia"/>
          <w:color w:val="000000" w:themeColor="text1"/>
          <w:kern w:val="0"/>
          <w:sz w:val="22"/>
        </w:rPr>
        <w:t>2</w:t>
      </w:r>
      <w:r w:rsidRPr="001219B0">
        <w:rPr>
          <w:rFonts w:cs="ＭＳ Ｐゴシック"/>
          <w:color w:val="000000" w:themeColor="text1"/>
          <w:kern w:val="0"/>
          <w:sz w:val="22"/>
        </w:rPr>
        <w:t>.4</w:t>
      </w:r>
      <w:r w:rsidRPr="001219B0">
        <w:rPr>
          <w:rFonts w:cs="ＭＳ Ｐゴシック" w:hint="eastAsia"/>
          <w:color w:val="000000" w:themeColor="text1"/>
          <w:kern w:val="0"/>
          <w:sz w:val="22"/>
        </w:rPr>
        <w:t>）となっています。</w:t>
      </w:r>
    </w:p>
    <w:p w:rsidR="003C6969" w:rsidRDefault="007A7967" w:rsidP="003404EC">
      <w:pPr>
        <w:jc w:val="center"/>
      </w:pPr>
      <w:r>
        <w:rPr>
          <w:noProof/>
        </w:rPr>
        <mc:AlternateContent>
          <mc:Choice Requires="wps">
            <w:drawing>
              <wp:anchor distT="0" distB="0" distL="114300" distR="114300" simplePos="0" relativeHeight="251664384" behindDoc="0" locked="0" layoutInCell="1" allowOverlap="1" wp14:anchorId="24C440AB" wp14:editId="36ECB854">
                <wp:simplePos x="0" y="0"/>
                <wp:positionH relativeFrom="margin">
                  <wp:posOffset>3302635</wp:posOffset>
                </wp:positionH>
                <wp:positionV relativeFrom="paragraph">
                  <wp:posOffset>1755775</wp:posOffset>
                </wp:positionV>
                <wp:extent cx="2543175" cy="304800"/>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2543175" cy="304800"/>
                        </a:xfrm>
                        <a:prstGeom prst="rect">
                          <a:avLst/>
                        </a:prstGeom>
                        <a:noFill/>
                        <a:ln w="6350">
                          <a:noFill/>
                        </a:ln>
                      </wps:spPr>
                      <wps:txbx>
                        <w:txbxContent>
                          <w:p w:rsidR="00E84B74" w:rsidRPr="007A7967" w:rsidRDefault="00E84B74" w:rsidP="00E84B74">
                            <w:pPr>
                              <w:pStyle w:val="Web"/>
                              <w:spacing w:before="0" w:beforeAutospacing="0" w:after="0" w:afterAutospacing="0"/>
                              <w:jc w:val="both"/>
                              <w:rPr>
                                <w:sz w:val="22"/>
                              </w:rPr>
                            </w:pPr>
                            <w:r w:rsidRPr="007A7967">
                              <w:rPr>
                                <w:rFonts w:ascii="ＭＳ 明朝" w:eastAsia="ＭＳ 明朝" w:hAnsi="ＭＳ 明朝" w:cstheme="minorBidi" w:hint="eastAsia"/>
                                <w:sz w:val="16"/>
                                <w:szCs w:val="18"/>
                              </w:rPr>
                              <w:t>出典:結核予防会結核研究所疫学情報センター</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440AB" id="_x0000_t202" coordsize="21600,21600" o:spt="202" path="m,l,21600r21600,l21600,xe">
                <v:stroke joinstyle="miter"/>
                <v:path gradientshapeok="t" o:connecttype="rect"/>
              </v:shapetype>
              <v:shape id="テキスト ボックス 10" o:spid="_x0000_s1026" type="#_x0000_t202" style="position:absolute;left:0;text-align:left;margin-left:260.05pt;margin-top:138.25pt;width:200.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" filled="f" stroked="f" strokeweight=".5pt">
                <v:textbox>
                  <w:txbxContent>
                    <w:p w:rsidR="00E84B74" w:rsidRPr="007A7967" w:rsidRDefault="00E84B74" w:rsidP="00E84B74">
                      <w:pPr>
                        <w:pStyle w:val="Web"/>
                        <w:spacing w:before="0" w:beforeAutospacing="0" w:after="0" w:afterAutospacing="0"/>
                        <w:jc w:val="both"/>
                        <w:rPr>
                          <w:sz w:val="22"/>
                        </w:rPr>
                      </w:pPr>
                      <w:r w:rsidRPr="007A7967">
                        <w:rPr>
                          <w:rFonts w:ascii="ＭＳ 明朝" w:eastAsia="ＭＳ 明朝" w:hAnsi="ＭＳ 明朝" w:cstheme="minorBidi" w:hint="eastAsia"/>
                          <w:sz w:val="16"/>
                          <w:szCs w:val="18"/>
                        </w:rPr>
                        <w:t>出典:結核予防会結核研究所疫学情報センター</w:t>
                      </w:r>
                    </w:p>
                  </w:txbxContent>
                </v:textbox>
                <w10:wrap anchorx="margin"/>
              </v:shape>
            </w:pict>
          </mc:Fallback>
        </mc:AlternateContent>
      </w:r>
      <w:r w:rsidR="003C6969">
        <w:rPr>
          <w:noProof/>
        </w:rPr>
        <w:drawing>
          <wp:inline distT="0" distB="0" distL="0" distR="0" wp14:anchorId="61D24FD9" wp14:editId="5F295536">
            <wp:extent cx="5162550" cy="18669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874" w:rsidRDefault="00AB15F1" w:rsidP="00AB15F1">
      <w:pPr>
        <w:jc w:val="center"/>
      </w:pPr>
      <w:r>
        <w:rPr>
          <w:rFonts w:hint="eastAsia"/>
        </w:rPr>
        <w:t>図1　大阪府内の罹患率の推移</w:t>
      </w:r>
    </w:p>
    <w:p w:rsidR="00B24E98" w:rsidRPr="009B5510" w:rsidRDefault="00D236C7" w:rsidP="00B24E98">
      <w:pPr>
        <w:jc w:val="left"/>
        <w:rPr>
          <w:sz w:val="24"/>
        </w:rPr>
      </w:pPr>
      <w:r>
        <w:rPr>
          <w:rFonts w:hint="eastAsia"/>
          <w:sz w:val="24"/>
        </w:rPr>
        <w:t>■</w:t>
      </w:r>
      <w:r w:rsidR="00AB15F1" w:rsidRPr="00D236C7">
        <w:rPr>
          <w:rFonts w:hint="eastAsia"/>
          <w:b/>
          <w:sz w:val="24"/>
        </w:rPr>
        <w:t>入国者の状況</w:t>
      </w:r>
      <w:r w:rsidR="00E04EA0">
        <w:rPr>
          <w:rFonts w:hint="eastAsia"/>
        </w:rPr>
        <w:t>（</w:t>
      </w:r>
      <w:r w:rsidR="00E63C34">
        <w:rPr>
          <w:rFonts w:hint="eastAsia"/>
        </w:rPr>
        <w:t xml:space="preserve">平成２９年末現在 </w:t>
      </w:r>
      <w:r w:rsidR="00E04EA0">
        <w:rPr>
          <w:rFonts w:hint="eastAsia"/>
        </w:rPr>
        <w:t>法務省統計）</w:t>
      </w:r>
    </w:p>
    <w:p w:rsidR="00AC6421" w:rsidRDefault="00AC6421" w:rsidP="00DA3CB7">
      <w:pPr>
        <w:pStyle w:val="a9"/>
        <w:numPr>
          <w:ilvl w:val="0"/>
          <w:numId w:val="3"/>
        </w:numPr>
        <w:ind w:leftChars="0"/>
        <w:jc w:val="left"/>
      </w:pPr>
      <w:r w:rsidRPr="00AC6421">
        <w:rPr>
          <w:rFonts w:hint="eastAsia"/>
        </w:rPr>
        <w:t>平成２９年末現在における中長期在留者数は</w:t>
      </w:r>
      <w:r w:rsidR="00B532E3">
        <w:rPr>
          <w:rFonts w:hint="eastAsia"/>
        </w:rPr>
        <w:t>223</w:t>
      </w:r>
      <w:r w:rsidRPr="00AC6421">
        <w:rPr>
          <w:rFonts w:hint="eastAsia"/>
        </w:rPr>
        <w:t>万</w:t>
      </w:r>
      <w:r w:rsidR="00B532E3">
        <w:rPr>
          <w:rFonts w:hint="eastAsia"/>
        </w:rPr>
        <w:t>2千</w:t>
      </w:r>
      <w:r w:rsidR="00AF05CE">
        <w:rPr>
          <w:rFonts w:hint="eastAsia"/>
        </w:rPr>
        <w:t>人で</w:t>
      </w:r>
      <w:r w:rsidR="00B532E3">
        <w:rPr>
          <w:rFonts w:hint="eastAsia"/>
        </w:rPr>
        <w:t>、</w:t>
      </w:r>
      <w:r w:rsidR="00AF05CE">
        <w:rPr>
          <w:rFonts w:hint="eastAsia"/>
        </w:rPr>
        <w:t>留学や技能実習生として</w:t>
      </w:r>
      <w:r w:rsidR="00DF45EE">
        <w:rPr>
          <w:rFonts w:hint="eastAsia"/>
        </w:rPr>
        <w:t>入国する者が</w:t>
      </w:r>
      <w:r w:rsidR="00B532E3">
        <w:rPr>
          <w:rFonts w:hint="eastAsia"/>
        </w:rPr>
        <w:t>増加し</w:t>
      </w:r>
      <w:r w:rsidR="00DF45EE">
        <w:rPr>
          <w:rFonts w:hint="eastAsia"/>
        </w:rPr>
        <w:t>てい</w:t>
      </w:r>
      <w:r w:rsidRPr="00AC6421">
        <w:rPr>
          <w:rFonts w:hint="eastAsia"/>
        </w:rPr>
        <w:t>ま</w:t>
      </w:r>
      <w:r w:rsidR="00DF45EE">
        <w:rPr>
          <w:rFonts w:hint="eastAsia"/>
        </w:rPr>
        <w:t>す</w:t>
      </w:r>
      <w:r w:rsidRPr="00AC6421">
        <w:rPr>
          <w:rFonts w:hint="eastAsia"/>
        </w:rPr>
        <w:t>。</w:t>
      </w:r>
    </w:p>
    <w:p w:rsidR="001516A2" w:rsidRPr="007A7967" w:rsidRDefault="008E0EE0" w:rsidP="00DA3CB7">
      <w:pPr>
        <w:pStyle w:val="a9"/>
        <w:numPr>
          <w:ilvl w:val="0"/>
          <w:numId w:val="3"/>
        </w:numPr>
        <w:ind w:leftChars="0"/>
        <w:jc w:val="left"/>
      </w:pPr>
      <w:r>
        <w:rPr>
          <w:rFonts w:hint="eastAsia"/>
        </w:rPr>
        <w:t>在留外国人の</w:t>
      </w:r>
      <w:r w:rsidR="00AC6421">
        <w:rPr>
          <w:rFonts w:hint="eastAsia"/>
        </w:rPr>
        <w:t>国</w:t>
      </w:r>
      <w:r>
        <w:rPr>
          <w:rFonts w:hint="eastAsia"/>
        </w:rPr>
        <w:t>籍</w:t>
      </w:r>
      <w:r w:rsidR="009B5510">
        <w:rPr>
          <w:rFonts w:hint="eastAsia"/>
        </w:rPr>
        <w:t>別で</w:t>
      </w:r>
      <w:r w:rsidR="00AC6421">
        <w:rPr>
          <w:rFonts w:hint="eastAsia"/>
        </w:rPr>
        <w:t>は、中国（73万人</w:t>
      </w:r>
      <w:r w:rsidR="00AC6421">
        <w:t>）</w:t>
      </w:r>
      <w:r w:rsidR="00AC6421">
        <w:rPr>
          <w:rFonts w:hint="eastAsia"/>
        </w:rPr>
        <w:t>、韓国（45万人）、ベトナム（26万人）、フィリピン（26万人）、ブラジル（20万人）、ネパール、台湾</w:t>
      </w:r>
      <w:r w:rsidR="009B5510">
        <w:rPr>
          <w:rFonts w:hint="eastAsia"/>
        </w:rPr>
        <w:t>など</w:t>
      </w:r>
      <w:r w:rsidR="00DF45EE">
        <w:rPr>
          <w:rFonts w:hint="eastAsia"/>
        </w:rPr>
        <w:t>結核高まん延地域</w:t>
      </w:r>
      <w:r w:rsidR="00C97D51">
        <w:rPr>
          <w:rFonts w:hint="eastAsia"/>
        </w:rPr>
        <w:t>となって</w:t>
      </w:r>
      <w:r w:rsidR="001219B0">
        <w:rPr>
          <w:rFonts w:hint="eastAsia"/>
        </w:rPr>
        <w:t>います</w:t>
      </w:r>
      <w:r w:rsidR="00AC6421">
        <w:rPr>
          <w:rFonts w:hint="eastAsia"/>
        </w:rPr>
        <w:t>。</w:t>
      </w:r>
    </w:p>
    <w:p w:rsidR="00B532E3" w:rsidRPr="00E04EA0" w:rsidRDefault="009B5510" w:rsidP="009B5510">
      <w:pPr>
        <w:pStyle w:val="a9"/>
        <w:numPr>
          <w:ilvl w:val="0"/>
          <w:numId w:val="3"/>
        </w:numPr>
        <w:ind w:leftChars="0"/>
        <w:jc w:val="left"/>
      </w:pPr>
      <w:r>
        <w:rPr>
          <w:rFonts w:hint="eastAsia"/>
        </w:rPr>
        <w:t>在留資格別で</w:t>
      </w:r>
      <w:r w:rsidR="00521A83">
        <w:rPr>
          <w:rFonts w:hint="eastAsia"/>
        </w:rPr>
        <w:t>留学（31</w:t>
      </w:r>
      <w:r w:rsidR="00E04EA0" w:rsidRPr="00E04EA0">
        <w:rPr>
          <w:rFonts w:hint="eastAsia"/>
        </w:rPr>
        <w:t>万人</w:t>
      </w:r>
      <w:r w:rsidR="00521A83">
        <w:rPr>
          <w:rFonts w:hint="eastAsia"/>
        </w:rPr>
        <w:t>、前年対比3</w:t>
      </w:r>
      <w:r w:rsidR="00E04EA0" w:rsidRPr="00E04EA0">
        <w:rPr>
          <w:rFonts w:hint="eastAsia"/>
        </w:rPr>
        <w:t>万</w:t>
      </w:r>
      <w:r w:rsidR="00521A83">
        <w:rPr>
          <w:rFonts w:hint="eastAsia"/>
        </w:rPr>
        <w:t>4千</w:t>
      </w:r>
      <w:r w:rsidR="00E04EA0" w:rsidRPr="00E04EA0">
        <w:rPr>
          <w:rFonts w:hint="eastAsia"/>
        </w:rPr>
        <w:t>人</w:t>
      </w:r>
      <w:r w:rsidR="00521A83">
        <w:rPr>
          <w:rFonts w:hint="eastAsia"/>
        </w:rPr>
        <w:t>（12.3</w:t>
      </w:r>
      <w:r w:rsidR="00E04EA0" w:rsidRPr="00E04EA0">
        <w:rPr>
          <w:rFonts w:hint="eastAsia"/>
        </w:rPr>
        <w:t>％）増)</w:t>
      </w:r>
      <w:r w:rsidR="00B532E3">
        <w:rPr>
          <w:rFonts w:hint="eastAsia"/>
        </w:rPr>
        <w:t>、</w:t>
      </w:r>
      <w:r w:rsidR="00521A83">
        <w:rPr>
          <w:rFonts w:hint="eastAsia"/>
        </w:rPr>
        <w:t>技能実習（27万4千</w:t>
      </w:r>
      <w:r w:rsidR="00E04EA0" w:rsidRPr="00E04EA0">
        <w:rPr>
          <w:rFonts w:hint="eastAsia"/>
        </w:rPr>
        <w:t>人</w:t>
      </w:r>
      <w:r w:rsidR="00521A83">
        <w:rPr>
          <w:rFonts w:hint="eastAsia"/>
        </w:rPr>
        <w:t>、</w:t>
      </w:r>
      <w:r w:rsidR="00C97D51">
        <w:rPr>
          <w:rFonts w:hint="eastAsia"/>
        </w:rPr>
        <w:t>前年対比</w:t>
      </w:r>
      <w:r w:rsidR="00521A83">
        <w:rPr>
          <w:rFonts w:hint="eastAsia"/>
        </w:rPr>
        <w:t>4万5千人（20.0</w:t>
      </w:r>
      <w:r w:rsidR="00E04EA0" w:rsidRPr="00E04EA0">
        <w:rPr>
          <w:rFonts w:hint="eastAsia"/>
        </w:rPr>
        <w:t>％）増)と</w:t>
      </w:r>
      <w:r w:rsidR="00521A83">
        <w:rPr>
          <w:rFonts w:hint="eastAsia"/>
        </w:rPr>
        <w:t>なっ</w:t>
      </w:r>
      <w:r w:rsidR="00E04EA0" w:rsidRPr="00E04EA0">
        <w:rPr>
          <w:rFonts w:hint="eastAsia"/>
        </w:rPr>
        <w:t>ています。</w:t>
      </w:r>
    </w:p>
    <w:p w:rsidR="00AC6421" w:rsidRDefault="00B532E3" w:rsidP="0033174A">
      <w:pPr>
        <w:pStyle w:val="a9"/>
        <w:numPr>
          <w:ilvl w:val="0"/>
          <w:numId w:val="3"/>
        </w:numPr>
        <w:ind w:leftChars="0"/>
        <w:jc w:val="left"/>
      </w:pPr>
      <w:r>
        <w:rPr>
          <w:rFonts w:hint="eastAsia"/>
        </w:rPr>
        <w:t>在留外国人数の都道府県別では、</w:t>
      </w:r>
      <w:r w:rsidR="00521A83" w:rsidRPr="00521A83">
        <w:rPr>
          <w:rFonts w:hint="eastAsia"/>
        </w:rPr>
        <w:t>長崎県を除く４６都道府県で前年末を上回りました。在留外国人数が最も多いのは東京都の</w:t>
      </w:r>
      <w:r>
        <w:rPr>
          <w:rFonts w:hint="eastAsia"/>
        </w:rPr>
        <w:t>53</w:t>
      </w:r>
      <w:r w:rsidR="00521A83" w:rsidRPr="00521A83">
        <w:rPr>
          <w:rFonts w:hint="eastAsia"/>
        </w:rPr>
        <w:t>万</w:t>
      </w:r>
      <w:r>
        <w:rPr>
          <w:rFonts w:hint="eastAsia"/>
        </w:rPr>
        <w:t>7千人（</w:t>
      </w:r>
      <w:r w:rsidR="00C97D51">
        <w:rPr>
          <w:rFonts w:hint="eastAsia"/>
        </w:rPr>
        <w:t>前年対比</w:t>
      </w:r>
      <w:r>
        <w:rPr>
          <w:rFonts w:hint="eastAsia"/>
        </w:rPr>
        <w:t>3万6千</w:t>
      </w:r>
      <w:r w:rsidR="00521A83" w:rsidRPr="00521A83">
        <w:rPr>
          <w:rFonts w:hint="eastAsia"/>
        </w:rPr>
        <w:t>人</w:t>
      </w:r>
      <w:r>
        <w:rPr>
          <w:rFonts w:hint="eastAsia"/>
        </w:rPr>
        <w:t>、7.3</w:t>
      </w:r>
      <w:r w:rsidR="00521A83" w:rsidRPr="00521A83">
        <w:rPr>
          <w:rFonts w:hint="eastAsia"/>
        </w:rPr>
        <w:t>％）増）で全国の</w:t>
      </w:r>
      <w:r>
        <w:rPr>
          <w:rFonts w:hint="eastAsia"/>
        </w:rPr>
        <w:t>21.0％を占め、以下、愛知県、</w:t>
      </w:r>
      <w:r w:rsidR="00521A83" w:rsidRPr="00521A83">
        <w:rPr>
          <w:rFonts w:hint="eastAsia"/>
        </w:rPr>
        <w:t>大阪府</w:t>
      </w:r>
      <w:r>
        <w:rPr>
          <w:rFonts w:hint="eastAsia"/>
        </w:rPr>
        <w:t>（22</w:t>
      </w:r>
      <w:r w:rsidRPr="00521A83">
        <w:rPr>
          <w:rFonts w:hint="eastAsia"/>
        </w:rPr>
        <w:t>万</w:t>
      </w:r>
      <w:r>
        <w:rPr>
          <w:rFonts w:hint="eastAsia"/>
        </w:rPr>
        <w:t>8千人）、神奈川県、</w:t>
      </w:r>
      <w:r w:rsidR="00521A83" w:rsidRPr="00521A83">
        <w:rPr>
          <w:rFonts w:hint="eastAsia"/>
        </w:rPr>
        <w:t>埼玉県と続いています。</w:t>
      </w:r>
    </w:p>
    <w:p w:rsidR="007A7967" w:rsidRDefault="007A7967" w:rsidP="00521A83">
      <w:pPr>
        <w:jc w:val="left"/>
      </w:pPr>
    </w:p>
    <w:p w:rsidR="00EE361B" w:rsidRDefault="007A7967" w:rsidP="00521A83">
      <w:pPr>
        <w:jc w:val="left"/>
        <w:rPr>
          <w:b/>
          <w:sz w:val="24"/>
        </w:rPr>
      </w:pPr>
      <w:r w:rsidRPr="007A7967">
        <w:rPr>
          <w:rFonts w:hint="eastAsia"/>
          <w:sz w:val="24"/>
        </w:rPr>
        <w:t>■</w:t>
      </w:r>
      <w:r w:rsidR="00E63C34" w:rsidRPr="007A7967">
        <w:rPr>
          <w:rFonts w:hint="eastAsia"/>
          <w:b/>
          <w:sz w:val="24"/>
        </w:rPr>
        <w:t>大</w:t>
      </w:r>
      <w:r w:rsidR="00EE361B" w:rsidRPr="007A7967">
        <w:rPr>
          <w:rFonts w:hint="eastAsia"/>
          <w:b/>
          <w:sz w:val="24"/>
        </w:rPr>
        <w:t>阪府内における外国生まれの結核患者の状況</w:t>
      </w:r>
    </w:p>
    <w:p w:rsidR="007F19F2" w:rsidRDefault="009B5510" w:rsidP="00521A83">
      <w:pPr>
        <w:jc w:val="left"/>
      </w:pPr>
      <w:r>
        <w:rPr>
          <w:rFonts w:hint="eastAsia"/>
          <w:noProof/>
        </w:rPr>
        <mc:AlternateContent>
          <mc:Choice Requires="wps">
            <w:drawing>
              <wp:anchor distT="0" distB="0" distL="114300" distR="114300" simplePos="0" relativeHeight="251659264" behindDoc="0" locked="0" layoutInCell="1" allowOverlap="1" wp14:anchorId="3DD0052D" wp14:editId="706366B6">
                <wp:simplePos x="0" y="0"/>
                <wp:positionH relativeFrom="margin">
                  <wp:posOffset>3504565</wp:posOffset>
                </wp:positionH>
                <wp:positionV relativeFrom="paragraph">
                  <wp:posOffset>2259965</wp:posOffset>
                </wp:positionV>
                <wp:extent cx="23336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33625" cy="333375"/>
                        </a:xfrm>
                        <a:prstGeom prst="rect">
                          <a:avLst/>
                        </a:prstGeom>
                        <a:noFill/>
                        <a:ln w="6350">
                          <a:noFill/>
                        </a:ln>
                      </wps:spPr>
                      <wps:txbx>
                        <w:txbxContent>
                          <w:p w:rsidR="007F19F2" w:rsidRPr="009B5510" w:rsidRDefault="007F19F2" w:rsidP="007F19F2">
                            <w:pPr>
                              <w:rPr>
                                <w:sz w:val="16"/>
                              </w:rPr>
                            </w:pPr>
                            <w:r w:rsidRPr="009B5510">
                              <w:rPr>
                                <w:rFonts w:hint="eastAsia"/>
                                <w:sz w:val="16"/>
                              </w:rPr>
                              <w:t>出典:結核研究所</w:t>
                            </w:r>
                            <w:r w:rsidRPr="009B5510">
                              <w:rPr>
                                <w:sz w:val="16"/>
                              </w:rPr>
                              <w:t xml:space="preserve">　結核の統計2009</w:t>
                            </w:r>
                            <w:r w:rsidRPr="009B5510">
                              <w:rPr>
                                <w:rFonts w:hint="eastAsia"/>
                                <w:sz w:val="16"/>
                              </w:rPr>
                              <w:t>～2018</w:t>
                            </w:r>
                            <w:r w:rsidRPr="009B5510">
                              <w:rPr>
                                <w:sz w:val="16"/>
                              </w:rPr>
                              <w:t>年版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052D" id="_x0000_s1027" type="#_x0000_t202" style="position:absolute;margin-left:275.95pt;margin-top:177.95pt;width:183.7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" filled="f" stroked="f" strokeweight=".5pt">
                <v:textbox>
                  <w:txbxContent>
                    <w:p w:rsidR="007F19F2" w:rsidRPr="009B5510" w:rsidRDefault="007F19F2" w:rsidP="007F19F2">
                      <w:pPr>
                        <w:rPr>
                          <w:sz w:val="16"/>
                        </w:rPr>
                      </w:pPr>
                      <w:r w:rsidRPr="009B5510">
                        <w:rPr>
                          <w:rFonts w:hint="eastAsia"/>
                          <w:sz w:val="16"/>
                        </w:rPr>
                        <w:t>出典:</w:t>
                      </w:r>
                      <w:r w:rsidRPr="009B5510">
                        <w:rPr>
                          <w:rFonts w:hint="eastAsia"/>
                          <w:sz w:val="16"/>
                        </w:rPr>
                        <w:t>結核研究所</w:t>
                      </w:r>
                      <w:r w:rsidRPr="009B5510">
                        <w:rPr>
                          <w:sz w:val="16"/>
                        </w:rPr>
                        <w:t xml:space="preserve">　結核の統計2009</w:t>
                      </w:r>
                      <w:r w:rsidRPr="009B5510">
                        <w:rPr>
                          <w:rFonts w:hint="eastAsia"/>
                          <w:sz w:val="16"/>
                        </w:rPr>
                        <w:t>～2018</w:t>
                      </w:r>
                      <w:r w:rsidRPr="009B5510">
                        <w:rPr>
                          <w:sz w:val="16"/>
                        </w:rPr>
                        <w:t>年版</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48BF20DA" wp14:editId="675C1825">
                <wp:simplePos x="0" y="0"/>
                <wp:positionH relativeFrom="margin">
                  <wp:posOffset>618490</wp:posOffset>
                </wp:positionH>
                <wp:positionV relativeFrom="paragraph">
                  <wp:posOffset>2251075</wp:posOffset>
                </wp:positionV>
                <wp:extent cx="2305050" cy="33337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2305050" cy="333375"/>
                        </a:xfrm>
                        <a:prstGeom prst="rect">
                          <a:avLst/>
                        </a:prstGeom>
                        <a:noFill/>
                        <a:ln w="6350">
                          <a:noFill/>
                        </a:ln>
                      </wps:spPr>
                      <wps:txbx>
                        <w:txbxContent>
                          <w:p w:rsidR="00EA4468" w:rsidRPr="00EA4468" w:rsidRDefault="00EA4468" w:rsidP="00EA4468">
                            <w:pPr>
                              <w:pStyle w:val="Web"/>
                              <w:spacing w:before="0" w:beforeAutospacing="0" w:after="0" w:afterAutospacing="0"/>
                              <w:jc w:val="both"/>
                              <w:rPr>
                                <w:sz w:val="22"/>
                              </w:rPr>
                            </w:pPr>
                            <w:r w:rsidRPr="00EA4468">
                              <w:rPr>
                                <w:rFonts w:ascii="ＭＳ 明朝" w:eastAsia="ＭＳ 明朝" w:hAnsi="ＭＳ 明朝" w:cstheme="minorBidi" w:hint="eastAsia"/>
                                <w:sz w:val="16"/>
                                <w:szCs w:val="18"/>
                              </w:rPr>
                              <w:t>出典:結核予防会結核研究所疫学情報センター</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20DA" id="_x0000_s1028" type="#_x0000_t202" style="position:absolute;margin-left:48.7pt;margin-top:177.25pt;width:181.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" filled="f" stroked="f" strokeweight=".5pt">
                <v:textbox>
                  <w:txbxContent>
                    <w:p w:rsidR="00EA4468" w:rsidRPr="00EA4468" w:rsidRDefault="00EA4468" w:rsidP="00EA4468">
                      <w:pPr>
                        <w:pStyle w:val="Web"/>
                        <w:spacing w:before="0" w:beforeAutospacing="0" w:after="0" w:afterAutospacing="0"/>
                        <w:jc w:val="both"/>
                        <w:rPr>
                          <w:sz w:val="22"/>
                        </w:rPr>
                      </w:pPr>
                      <w:r w:rsidRPr="00EA4468">
                        <w:rPr>
                          <w:rFonts w:ascii="ＭＳ 明朝" w:eastAsia="ＭＳ 明朝" w:hAnsi="ＭＳ 明朝" w:cstheme="minorBidi" w:hint="eastAsia"/>
                          <w:sz w:val="16"/>
                          <w:szCs w:val="18"/>
                        </w:rPr>
                        <w:t>出典:</w:t>
                      </w:r>
                      <w:r w:rsidRPr="00EA4468">
                        <w:rPr>
                          <w:rFonts w:ascii="ＭＳ 明朝" w:eastAsia="ＭＳ 明朝" w:hAnsi="ＭＳ 明朝" w:cstheme="minorBidi" w:hint="eastAsia"/>
                          <w:sz w:val="16"/>
                          <w:szCs w:val="18"/>
                        </w:rPr>
                        <w:t>結核予防会結核研究所疫学情報センター</w:t>
                      </w:r>
                    </w:p>
                  </w:txbxContent>
                </v:textbox>
                <w10:wrap anchorx="margin"/>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margin">
                  <wp:posOffset>-635</wp:posOffset>
                </wp:positionH>
                <wp:positionV relativeFrom="paragraph">
                  <wp:posOffset>2508250</wp:posOffset>
                </wp:positionV>
                <wp:extent cx="291465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14650" cy="381000"/>
                        </a:xfrm>
                        <a:prstGeom prst="rect">
                          <a:avLst/>
                        </a:prstGeom>
                        <a:noFill/>
                        <a:ln w="6350">
                          <a:noFill/>
                        </a:ln>
                      </wps:spPr>
                      <wps:txbx>
                        <w:txbxContent>
                          <w:p w:rsidR="00EA4468" w:rsidRDefault="00D236C7" w:rsidP="00EA4468">
                            <w:pPr>
                              <w:jc w:val="center"/>
                            </w:pPr>
                            <w:r>
                              <w:rPr>
                                <w:rFonts w:hint="eastAsia"/>
                              </w:rPr>
                              <w:t xml:space="preserve">図２ </w:t>
                            </w:r>
                            <w:r w:rsidR="00EA4468">
                              <w:rPr>
                                <w:rFonts w:hint="eastAsia"/>
                              </w:rPr>
                              <w:t>新登録結核患者の外国人出生割合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9" type="#_x0000_t202" style="position:absolute;margin-left:-.05pt;margin-top:197.5pt;width:229.5pt;height:3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" filled="f" stroked="f" strokeweight=".5pt">
                <v:textbox>
                  <w:txbxContent>
                    <w:p w:rsidR="00EA4468" w:rsidRDefault="00D236C7" w:rsidP="00EA4468">
                      <w:pPr>
                        <w:jc w:val="center"/>
                      </w:pPr>
                      <w:r>
                        <w:rPr>
                          <w:rFonts w:hint="eastAsia"/>
                        </w:rPr>
                        <w:t xml:space="preserve">図２ </w:t>
                      </w:r>
                      <w:r w:rsidR="00EA4468">
                        <w:rPr>
                          <w:rFonts w:hint="eastAsia"/>
                        </w:rPr>
                        <w:t>新登録結核患者の外国人出生割合</w:t>
                      </w:r>
                    </w:p>
                  </w:txbxContent>
                </v:textbox>
                <w10:wrap anchorx="margin"/>
              </v:shape>
            </w:pict>
          </mc:Fallback>
        </mc:AlternateContent>
      </w:r>
      <w:r w:rsidR="00DA3CB7">
        <w:rPr>
          <w:noProof/>
        </w:rPr>
        <w:drawing>
          <wp:inline distT="0" distB="0" distL="0" distR="0" wp14:anchorId="0A60EA53" wp14:editId="430A1BAA">
            <wp:extent cx="2886075" cy="242887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122F7" w:rsidRPr="00D122F7">
        <w:rPr>
          <w:noProof/>
        </w:rPr>
        <w:t xml:space="preserve"> </w:t>
      </w:r>
      <w:r w:rsidR="00C97D51">
        <w:rPr>
          <w:noProof/>
        </w:rPr>
        <w:drawing>
          <wp:inline distT="0" distB="0" distL="0" distR="0" wp14:anchorId="3500A6D1" wp14:editId="53651159">
            <wp:extent cx="2790825" cy="2419350"/>
            <wp:effectExtent l="0" t="0" r="9525"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97D51">
        <w:rPr>
          <w:noProof/>
        </w:rPr>
        <w:t xml:space="preserve"> </w:t>
      </w:r>
    </w:p>
    <w:p w:rsidR="007F19F2" w:rsidRDefault="00DA3CB7" w:rsidP="00D122F7">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2866390</wp:posOffset>
                </wp:positionH>
                <wp:positionV relativeFrom="paragraph">
                  <wp:posOffset>3175</wp:posOffset>
                </wp:positionV>
                <wp:extent cx="3133725"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33725" cy="514350"/>
                        </a:xfrm>
                        <a:prstGeom prst="rect">
                          <a:avLst/>
                        </a:prstGeom>
                        <a:noFill/>
                        <a:ln w="6350">
                          <a:noFill/>
                        </a:ln>
                      </wps:spPr>
                      <wps:txbx>
                        <w:txbxContent>
                          <w:p w:rsidR="00EA4468" w:rsidRPr="00EA4468" w:rsidRDefault="00D236C7" w:rsidP="00D236C7">
                            <w:pPr>
                              <w:ind w:leftChars="150" w:left="915" w:hangingChars="300" w:hanging="600"/>
                              <w:jc w:val="left"/>
                              <w:rPr>
                                <w:sz w:val="20"/>
                              </w:rPr>
                            </w:pPr>
                            <w:r>
                              <w:rPr>
                                <w:rFonts w:hint="eastAsia"/>
                                <w:sz w:val="20"/>
                              </w:rPr>
                              <w:t xml:space="preserve">図３ </w:t>
                            </w:r>
                            <w:r w:rsidR="00EA4468" w:rsidRPr="00EA4468">
                              <w:rPr>
                                <w:rFonts w:hint="eastAsia"/>
                                <w:sz w:val="20"/>
                              </w:rPr>
                              <w:t>年代別</w:t>
                            </w:r>
                            <w:r w:rsidR="00C97D51">
                              <w:rPr>
                                <w:rFonts w:hint="eastAsia"/>
                                <w:sz w:val="20"/>
                              </w:rPr>
                              <w:t>結核</w:t>
                            </w:r>
                            <w:r w:rsidR="00C97D51">
                              <w:rPr>
                                <w:sz w:val="20"/>
                              </w:rPr>
                              <w:t>患者数と</w:t>
                            </w:r>
                            <w:r w:rsidR="00C97D51">
                              <w:rPr>
                                <w:rFonts w:hint="eastAsia"/>
                                <w:sz w:val="20"/>
                              </w:rPr>
                              <w:t>外国生まれ</w:t>
                            </w:r>
                            <w:r w:rsidR="00C97D51">
                              <w:rPr>
                                <w:sz w:val="20"/>
                              </w:rPr>
                              <w:t>の</w:t>
                            </w:r>
                            <w:r w:rsidR="00EA4468" w:rsidRPr="00EA4468">
                              <w:rPr>
                                <w:rFonts w:hint="eastAsia"/>
                                <w:sz w:val="20"/>
                              </w:rPr>
                              <w:t>割合</w:t>
                            </w:r>
                            <w:r w:rsidR="00C97D51">
                              <w:rPr>
                                <w:rFonts w:hint="eastAsia"/>
                                <w:sz w:val="20"/>
                              </w:rPr>
                              <w:t xml:space="preserve">　</w:t>
                            </w:r>
                            <w:r w:rsidR="00EA4468">
                              <w:rPr>
                                <w:rFonts w:hint="eastAsia"/>
                                <w:sz w:val="20"/>
                              </w:rPr>
                              <w:t xml:space="preserve">　</w:t>
                            </w:r>
                            <w:r w:rsidR="00EA4468" w:rsidRPr="00EA4468">
                              <w:rPr>
                                <w:rFonts w:hint="eastAsia"/>
                                <w:sz w:val="20"/>
                              </w:rPr>
                              <w:t>（大阪府内（政令市除く））</w:t>
                            </w:r>
                          </w:p>
                          <w:p w:rsidR="00EA4468" w:rsidRPr="00EA4468" w:rsidRDefault="00EA4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left:0;text-align:left;margin-left:225.7pt;margin-top:.25pt;width:246.75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" filled="f" stroked="f" strokeweight=".5pt">
                <v:textbox>
                  <w:txbxContent>
                    <w:p w:rsidR="00EA4468" w:rsidRPr="00EA4468" w:rsidRDefault="00D236C7" w:rsidP="00D236C7">
                      <w:pPr>
                        <w:ind w:leftChars="150" w:left="915" w:hangingChars="300" w:hanging="600"/>
                        <w:jc w:val="left"/>
                        <w:rPr>
                          <w:sz w:val="20"/>
                        </w:rPr>
                      </w:pPr>
                      <w:r>
                        <w:rPr>
                          <w:rFonts w:hint="eastAsia"/>
                          <w:sz w:val="20"/>
                        </w:rPr>
                        <w:t xml:space="preserve">図３ </w:t>
                      </w:r>
                      <w:r w:rsidR="00EA4468" w:rsidRPr="00EA4468">
                        <w:rPr>
                          <w:rFonts w:hint="eastAsia"/>
                          <w:sz w:val="20"/>
                        </w:rPr>
                        <w:t>年代別</w:t>
                      </w:r>
                      <w:r w:rsidR="00C97D51">
                        <w:rPr>
                          <w:rFonts w:hint="eastAsia"/>
                          <w:sz w:val="20"/>
                        </w:rPr>
                        <w:t>結核</w:t>
                      </w:r>
                      <w:r w:rsidR="00C97D51">
                        <w:rPr>
                          <w:sz w:val="20"/>
                        </w:rPr>
                        <w:t>患者数と</w:t>
                      </w:r>
                      <w:r w:rsidR="00C97D51">
                        <w:rPr>
                          <w:rFonts w:hint="eastAsia"/>
                          <w:sz w:val="20"/>
                        </w:rPr>
                        <w:t>外国生まれ</w:t>
                      </w:r>
                      <w:r w:rsidR="00C97D51">
                        <w:rPr>
                          <w:sz w:val="20"/>
                        </w:rPr>
                        <w:t>の</w:t>
                      </w:r>
                      <w:r w:rsidR="00EA4468" w:rsidRPr="00EA4468">
                        <w:rPr>
                          <w:rFonts w:hint="eastAsia"/>
                          <w:sz w:val="20"/>
                        </w:rPr>
                        <w:t>割合</w:t>
                      </w:r>
                      <w:r w:rsidR="00C97D51">
                        <w:rPr>
                          <w:rFonts w:hint="eastAsia"/>
                          <w:sz w:val="20"/>
                        </w:rPr>
                        <w:t xml:space="preserve">　</w:t>
                      </w:r>
                      <w:r w:rsidR="00EA4468">
                        <w:rPr>
                          <w:rFonts w:hint="eastAsia"/>
                          <w:sz w:val="20"/>
                        </w:rPr>
                        <w:t xml:space="preserve">　</w:t>
                      </w:r>
                      <w:r w:rsidR="00EA4468" w:rsidRPr="00EA4468">
                        <w:rPr>
                          <w:rFonts w:hint="eastAsia"/>
                          <w:sz w:val="20"/>
                        </w:rPr>
                        <w:t>（大阪府内（政令市除く））</w:t>
                      </w:r>
                    </w:p>
                    <w:p w:rsidR="00EA4468" w:rsidRPr="00EA4468" w:rsidRDefault="00EA4468"/>
                  </w:txbxContent>
                </v:textbox>
              </v:shape>
            </w:pict>
          </mc:Fallback>
        </mc:AlternateContent>
      </w:r>
      <w:r w:rsidR="00D122F7">
        <w:rPr>
          <w:rFonts w:hint="eastAsia"/>
        </w:rPr>
        <w:t xml:space="preserve">　　　　　　</w:t>
      </w:r>
    </w:p>
    <w:p w:rsidR="009B5510" w:rsidRDefault="009B5510" w:rsidP="007A7967">
      <w:pPr>
        <w:jc w:val="left"/>
        <w:rPr>
          <w:sz w:val="24"/>
        </w:rPr>
      </w:pPr>
    </w:p>
    <w:p w:rsidR="00ED2ADC" w:rsidRDefault="00ED2ADC" w:rsidP="00ED2ADC">
      <w:pPr>
        <w:jc w:val="left"/>
        <w:rPr>
          <w:b/>
          <w:sz w:val="24"/>
        </w:rPr>
      </w:pPr>
      <w:r>
        <w:rPr>
          <w:rFonts w:hint="eastAsia"/>
          <w:sz w:val="24"/>
        </w:rPr>
        <w:lastRenderedPageBreak/>
        <w:t>■</w:t>
      </w:r>
      <w:r w:rsidR="005B53E5" w:rsidRPr="005B53E5">
        <w:rPr>
          <w:rFonts w:hint="eastAsia"/>
          <w:b/>
          <w:sz w:val="24"/>
        </w:rPr>
        <w:t>入国者に対する結核対策</w:t>
      </w:r>
    </w:p>
    <w:p w:rsidR="005B53E5" w:rsidRPr="007A7967" w:rsidRDefault="005B53E5" w:rsidP="00ED2ADC">
      <w:pPr>
        <w:jc w:val="left"/>
        <w:rPr>
          <w:sz w:val="24"/>
        </w:rPr>
      </w:pPr>
      <w:r>
        <w:rPr>
          <w:rFonts w:hint="eastAsia"/>
          <w:b/>
          <w:sz w:val="24"/>
        </w:rPr>
        <w:t>【国の動向】</w:t>
      </w:r>
    </w:p>
    <w:p w:rsidR="00ED2ADC" w:rsidRDefault="00ED2ADC" w:rsidP="00ED2ADC">
      <w:pPr>
        <w:pStyle w:val="a9"/>
        <w:numPr>
          <w:ilvl w:val="0"/>
          <w:numId w:val="4"/>
        </w:numPr>
        <w:ind w:leftChars="0"/>
        <w:jc w:val="left"/>
      </w:pPr>
      <w:r>
        <w:rPr>
          <w:rFonts w:hint="eastAsia"/>
        </w:rPr>
        <w:t>新たに</w:t>
      </w:r>
      <w:r w:rsidRPr="00010FD9">
        <w:rPr>
          <w:rFonts w:hint="eastAsia"/>
        </w:rPr>
        <w:t>14</w:t>
      </w:r>
      <w:r>
        <w:rPr>
          <w:rFonts w:hint="eastAsia"/>
        </w:rPr>
        <w:t>業種の</w:t>
      </w:r>
      <w:r w:rsidRPr="00010FD9">
        <w:rPr>
          <w:rFonts w:hint="eastAsia"/>
        </w:rPr>
        <w:t>在留資格</w:t>
      </w:r>
      <w:r>
        <w:rPr>
          <w:rFonts w:hint="eastAsia"/>
        </w:rPr>
        <w:t>を認める</w:t>
      </w:r>
      <w:r w:rsidRPr="00010FD9">
        <w:rPr>
          <w:rFonts w:hint="eastAsia"/>
        </w:rPr>
        <w:t>入国管理法が2018年12</w:t>
      </w:r>
      <w:r>
        <w:rPr>
          <w:rFonts w:hint="eastAsia"/>
        </w:rPr>
        <w:t>月に閣議決定されました。</w:t>
      </w:r>
    </w:p>
    <w:p w:rsidR="00ED2ADC" w:rsidRDefault="00ED2ADC" w:rsidP="00ED2ADC">
      <w:pPr>
        <w:pStyle w:val="a9"/>
        <w:numPr>
          <w:ilvl w:val="0"/>
          <w:numId w:val="4"/>
        </w:numPr>
        <w:ind w:leftChars="0"/>
        <w:jc w:val="left"/>
      </w:pPr>
      <w:r>
        <w:rPr>
          <w:rFonts w:hint="eastAsia"/>
        </w:rPr>
        <w:t>高まん延国からの入国者に対して入国前健診が導入される予定。</w:t>
      </w:r>
    </w:p>
    <w:p w:rsidR="00ED2ADC" w:rsidRDefault="00ED2ADC" w:rsidP="00ED2ADC">
      <w:pPr>
        <w:ind w:left="210"/>
        <w:jc w:val="left"/>
      </w:pPr>
    </w:p>
    <w:p w:rsidR="00B1305B" w:rsidRDefault="005B53E5" w:rsidP="005B53E5">
      <w:pPr>
        <w:jc w:val="left"/>
        <w:rPr>
          <w:b/>
          <w:sz w:val="24"/>
        </w:rPr>
      </w:pPr>
      <w:r>
        <w:rPr>
          <w:rFonts w:hint="eastAsia"/>
          <w:b/>
          <w:sz w:val="24"/>
        </w:rPr>
        <w:t>【</w:t>
      </w:r>
      <w:r w:rsidR="007A7967" w:rsidRPr="007A7967">
        <w:rPr>
          <w:rFonts w:hint="eastAsia"/>
          <w:b/>
          <w:sz w:val="24"/>
        </w:rPr>
        <w:t>大阪府の</w:t>
      </w:r>
      <w:r w:rsidR="00963977" w:rsidRPr="00D236C7">
        <w:rPr>
          <w:rFonts w:hint="eastAsia"/>
          <w:b/>
          <w:sz w:val="24"/>
        </w:rPr>
        <w:t>入国者</w:t>
      </w:r>
      <w:r w:rsidR="00ED2ADC">
        <w:rPr>
          <w:rFonts w:hint="eastAsia"/>
          <w:b/>
          <w:sz w:val="24"/>
        </w:rPr>
        <w:t>に対する結核</w:t>
      </w:r>
      <w:r w:rsidR="00963977" w:rsidRPr="00D236C7">
        <w:rPr>
          <w:rFonts w:hint="eastAsia"/>
          <w:b/>
          <w:sz w:val="24"/>
        </w:rPr>
        <w:t>対策</w:t>
      </w:r>
      <w:r>
        <w:rPr>
          <w:rFonts w:hint="eastAsia"/>
          <w:b/>
          <w:sz w:val="24"/>
        </w:rPr>
        <w:t>】</w:t>
      </w:r>
    </w:p>
    <w:p w:rsidR="00ED2ADC" w:rsidRPr="00ED2ADC" w:rsidRDefault="00ED2ADC" w:rsidP="005B53E5">
      <w:pPr>
        <w:ind w:firstLineChars="100" w:firstLine="241"/>
        <w:jc w:val="left"/>
        <w:rPr>
          <w:sz w:val="24"/>
        </w:rPr>
      </w:pPr>
      <w:r>
        <w:rPr>
          <w:rFonts w:hint="eastAsia"/>
          <w:b/>
          <w:sz w:val="24"/>
        </w:rPr>
        <w:t>＜方針＞</w:t>
      </w:r>
    </w:p>
    <w:p w:rsidR="00ED2ADC" w:rsidRPr="00A94E95" w:rsidRDefault="00ED2ADC" w:rsidP="00ED2ADC">
      <w:pPr>
        <w:pStyle w:val="a9"/>
        <w:numPr>
          <w:ilvl w:val="0"/>
          <w:numId w:val="2"/>
        </w:numPr>
        <w:ind w:leftChars="0"/>
        <w:jc w:val="left"/>
      </w:pPr>
      <w:r w:rsidRPr="00A94E95">
        <w:rPr>
          <w:rFonts w:hint="eastAsia"/>
        </w:rPr>
        <w:t>高まん延国からの入国者が</w:t>
      </w:r>
      <w:r>
        <w:rPr>
          <w:rFonts w:hint="eastAsia"/>
        </w:rPr>
        <w:t>咳などの</w:t>
      </w:r>
      <w:r w:rsidRPr="00A94E95">
        <w:rPr>
          <w:rFonts w:hint="eastAsia"/>
        </w:rPr>
        <w:t>症状を</w:t>
      </w:r>
      <w:r>
        <w:rPr>
          <w:rFonts w:hint="eastAsia"/>
        </w:rPr>
        <w:t>呈</w:t>
      </w:r>
      <w:r w:rsidRPr="00A94E95">
        <w:rPr>
          <w:rFonts w:hint="eastAsia"/>
        </w:rPr>
        <w:t>した場合に医療機関を早期受診し、早期治療に結び付けるように啓発していきます。</w:t>
      </w:r>
    </w:p>
    <w:p w:rsidR="00ED2ADC" w:rsidRDefault="00ED2ADC" w:rsidP="00ED2ADC">
      <w:pPr>
        <w:pStyle w:val="a9"/>
        <w:numPr>
          <w:ilvl w:val="0"/>
          <w:numId w:val="2"/>
        </w:numPr>
        <w:ind w:leftChars="0"/>
        <w:jc w:val="left"/>
      </w:pPr>
      <w:r w:rsidRPr="00A94E95">
        <w:rPr>
          <w:rFonts w:hint="eastAsia"/>
        </w:rPr>
        <w:t>入国者が結核患者となった場合には、</w:t>
      </w:r>
      <w:r>
        <w:rPr>
          <w:rFonts w:hint="eastAsia"/>
        </w:rPr>
        <w:t>通訳制度等による母国語で治療の必要性を理解</w:t>
      </w:r>
      <w:r w:rsidRPr="00A94E95">
        <w:rPr>
          <w:rFonts w:hint="eastAsia"/>
        </w:rPr>
        <w:t>し、治療完遂するように服薬支援等を行うことでまん延防止に努めます。</w:t>
      </w:r>
    </w:p>
    <w:p w:rsidR="00ED2ADC" w:rsidRDefault="00ED2ADC" w:rsidP="00ED2ADC">
      <w:pPr>
        <w:ind w:left="210"/>
        <w:jc w:val="left"/>
      </w:pPr>
    </w:p>
    <w:p w:rsidR="00ED2ADC" w:rsidRPr="00ED2ADC" w:rsidRDefault="00ED2ADC" w:rsidP="005B53E5">
      <w:pPr>
        <w:ind w:firstLineChars="100" w:firstLine="241"/>
        <w:jc w:val="left"/>
        <w:rPr>
          <w:sz w:val="24"/>
        </w:rPr>
      </w:pPr>
      <w:r>
        <w:rPr>
          <w:rFonts w:hint="eastAsia"/>
          <w:b/>
          <w:sz w:val="24"/>
        </w:rPr>
        <w:t>＜対策＞</w:t>
      </w:r>
    </w:p>
    <w:p w:rsidR="00963977" w:rsidRDefault="00963977" w:rsidP="00E63C34">
      <w:pPr>
        <w:pStyle w:val="a9"/>
        <w:numPr>
          <w:ilvl w:val="0"/>
          <w:numId w:val="2"/>
        </w:numPr>
        <w:ind w:leftChars="0"/>
        <w:jc w:val="left"/>
      </w:pPr>
      <w:r>
        <w:rPr>
          <w:rFonts w:hint="eastAsia"/>
        </w:rPr>
        <w:t>結核患者への服薬支援のための医療通訳</w:t>
      </w:r>
      <w:r w:rsidR="001219B0">
        <w:rPr>
          <w:rFonts w:hint="eastAsia"/>
        </w:rPr>
        <w:t>派遣制度の活用</w:t>
      </w:r>
      <w:r>
        <w:rPr>
          <w:rFonts w:hint="eastAsia"/>
        </w:rPr>
        <w:t>（平成23年度より）</w:t>
      </w:r>
    </w:p>
    <w:p w:rsidR="00D52640" w:rsidRDefault="00D52640" w:rsidP="00743919">
      <w:pPr>
        <w:ind w:firstLineChars="100" w:firstLine="210"/>
        <w:jc w:val="left"/>
      </w:pPr>
      <w:r>
        <w:rPr>
          <w:rFonts w:hint="eastAsia"/>
        </w:rPr>
        <w:t>（</w:t>
      </w:r>
      <w:r w:rsidRPr="0048150F">
        <w:rPr>
          <w:rFonts w:hint="eastAsia"/>
        </w:rPr>
        <w:t>平成29年度</w:t>
      </w:r>
      <w:r w:rsidR="0048150F" w:rsidRPr="0048150F">
        <w:rPr>
          <w:rFonts w:hint="eastAsia"/>
        </w:rPr>
        <w:t xml:space="preserve"> 15</w:t>
      </w:r>
      <w:r w:rsidR="00FD061B" w:rsidRPr="0048150F">
        <w:rPr>
          <w:rFonts w:hint="eastAsia"/>
        </w:rPr>
        <w:t>回</w:t>
      </w:r>
      <w:r w:rsidRPr="0048150F">
        <w:rPr>
          <w:rFonts w:hint="eastAsia"/>
        </w:rPr>
        <w:t>、平成28年度</w:t>
      </w:r>
      <w:r w:rsidR="0048150F" w:rsidRPr="0048150F">
        <w:rPr>
          <w:rFonts w:hint="eastAsia"/>
        </w:rPr>
        <w:t xml:space="preserve"> 21</w:t>
      </w:r>
      <w:r w:rsidR="00FD061B" w:rsidRPr="0048150F">
        <w:rPr>
          <w:rFonts w:hint="eastAsia"/>
        </w:rPr>
        <w:t>回</w:t>
      </w:r>
      <w:r w:rsidRPr="0048150F">
        <w:rPr>
          <w:rFonts w:hint="eastAsia"/>
        </w:rPr>
        <w:t>、平成27年度</w:t>
      </w:r>
      <w:r w:rsidR="0048150F" w:rsidRPr="0048150F">
        <w:rPr>
          <w:rFonts w:hint="eastAsia"/>
        </w:rPr>
        <w:t xml:space="preserve"> </w:t>
      </w:r>
      <w:r w:rsidR="0048150F" w:rsidRPr="0048150F">
        <w:t>18</w:t>
      </w:r>
      <w:r w:rsidR="00FD061B" w:rsidRPr="0048150F">
        <w:rPr>
          <w:rFonts w:hint="eastAsia"/>
        </w:rPr>
        <w:t>回</w:t>
      </w:r>
      <w:r w:rsidRPr="0048150F">
        <w:rPr>
          <w:rFonts w:hint="eastAsia"/>
        </w:rPr>
        <w:t>、平成26年度</w:t>
      </w:r>
      <w:r w:rsidR="0048150F" w:rsidRPr="0048150F">
        <w:rPr>
          <w:rFonts w:hint="eastAsia"/>
        </w:rPr>
        <w:t xml:space="preserve"> 2</w:t>
      </w:r>
      <w:r w:rsidR="0048150F" w:rsidRPr="0048150F">
        <w:t>3</w:t>
      </w:r>
      <w:r w:rsidR="00FD061B" w:rsidRPr="0048150F">
        <w:rPr>
          <w:rFonts w:hint="eastAsia"/>
        </w:rPr>
        <w:t>回</w:t>
      </w:r>
      <w:r w:rsidRPr="0048150F">
        <w:rPr>
          <w:rFonts w:hint="eastAsia"/>
        </w:rPr>
        <w:t>）</w:t>
      </w:r>
    </w:p>
    <w:p w:rsidR="00743919" w:rsidRDefault="00743919" w:rsidP="00E63C34">
      <w:pPr>
        <w:pStyle w:val="a9"/>
        <w:numPr>
          <w:ilvl w:val="0"/>
          <w:numId w:val="2"/>
        </w:numPr>
        <w:ind w:leftChars="0"/>
        <w:jc w:val="left"/>
      </w:pPr>
      <w:r>
        <w:rPr>
          <w:rFonts w:hint="eastAsia"/>
        </w:rPr>
        <w:t>デインジャーハイリスク層等結核健診事業の実施（平成24年度より）</w:t>
      </w:r>
    </w:p>
    <w:p w:rsidR="00D52640" w:rsidRDefault="00D52640" w:rsidP="00743919">
      <w:pPr>
        <w:ind w:firstLineChars="100" w:firstLine="210"/>
        <w:jc w:val="left"/>
      </w:pPr>
      <w:r>
        <w:rPr>
          <w:rFonts w:hint="eastAsia"/>
        </w:rPr>
        <w:t>（</w:t>
      </w:r>
      <w:r w:rsidR="00075693">
        <w:rPr>
          <w:rFonts w:hint="eastAsia"/>
        </w:rPr>
        <w:t xml:space="preserve">対象外国人 </w:t>
      </w:r>
      <w:r>
        <w:rPr>
          <w:rFonts w:hint="eastAsia"/>
        </w:rPr>
        <w:t>平成29年度41名、平成28年度0名、平成27年度8名、平成26年度24</w:t>
      </w:r>
      <w:r w:rsidR="00075693">
        <w:rPr>
          <w:rFonts w:hint="eastAsia"/>
        </w:rPr>
        <w:t>名）</w:t>
      </w:r>
    </w:p>
    <w:p w:rsidR="00743919" w:rsidRDefault="00743919" w:rsidP="00E63C34">
      <w:pPr>
        <w:pStyle w:val="a9"/>
        <w:numPr>
          <w:ilvl w:val="0"/>
          <w:numId w:val="2"/>
        </w:numPr>
        <w:ind w:leftChars="0"/>
        <w:jc w:val="left"/>
      </w:pPr>
      <w:r>
        <w:rPr>
          <w:rFonts w:hint="eastAsia"/>
        </w:rPr>
        <w:t>啓発チラシ（医療機関受診啓発のまんが版、潜在性結核患者用等）の作成（平成25</w:t>
      </w:r>
      <w:r w:rsidR="00D52640">
        <w:rPr>
          <w:rFonts w:hint="eastAsia"/>
        </w:rPr>
        <w:t>年度）</w:t>
      </w:r>
    </w:p>
    <w:p w:rsidR="00D52640" w:rsidRPr="00D52640" w:rsidRDefault="00B1305B" w:rsidP="00743919">
      <w:pPr>
        <w:ind w:firstLineChars="100" w:firstLine="210"/>
        <w:jc w:val="left"/>
      </w:pPr>
      <w:r>
        <w:rPr>
          <w:rFonts w:hint="eastAsia"/>
        </w:rPr>
        <w:t>（まんが版:７</w:t>
      </w:r>
      <w:r w:rsidR="00D52640">
        <w:rPr>
          <w:rFonts w:hint="eastAsia"/>
        </w:rPr>
        <w:t>か国語</w:t>
      </w:r>
      <w:r>
        <w:rPr>
          <w:rFonts w:hint="eastAsia"/>
        </w:rPr>
        <w:t>3500部、結核について:11か国語6400部、潜在性結核:11か国語6900部）</w:t>
      </w:r>
    </w:p>
    <w:p w:rsidR="00963977" w:rsidRDefault="00743919" w:rsidP="00E63C34">
      <w:pPr>
        <w:pStyle w:val="a9"/>
        <w:numPr>
          <w:ilvl w:val="0"/>
          <w:numId w:val="2"/>
        </w:numPr>
        <w:ind w:leftChars="0"/>
        <w:jc w:val="left"/>
      </w:pPr>
      <w:r>
        <w:rPr>
          <w:rFonts w:hint="eastAsia"/>
        </w:rPr>
        <w:t>外国人技能実習生受入監理団体との連携による結核啓発研修資料の作成（平成28年度）</w:t>
      </w:r>
    </w:p>
    <w:p w:rsidR="00743919" w:rsidRDefault="00D37540" w:rsidP="00E63C34">
      <w:pPr>
        <w:pStyle w:val="a9"/>
        <w:numPr>
          <w:ilvl w:val="0"/>
          <w:numId w:val="2"/>
        </w:numPr>
        <w:ind w:leftChars="0"/>
        <w:jc w:val="left"/>
      </w:pPr>
      <w:r>
        <w:rPr>
          <w:rFonts w:hint="eastAsia"/>
        </w:rPr>
        <w:t>医療通訳派遣法人と連携して早期発見のための啓発資料作成（平成29</w:t>
      </w:r>
      <w:r w:rsidR="00010FD9">
        <w:rPr>
          <w:rFonts w:hint="eastAsia"/>
        </w:rPr>
        <w:t>、30</w:t>
      </w:r>
      <w:r>
        <w:rPr>
          <w:rFonts w:hint="eastAsia"/>
        </w:rPr>
        <w:t>年度）</w:t>
      </w:r>
    </w:p>
    <w:p w:rsidR="00B1305B" w:rsidRDefault="00B1305B" w:rsidP="00521A83">
      <w:pPr>
        <w:jc w:val="left"/>
      </w:pPr>
      <w:r>
        <w:rPr>
          <w:rFonts w:hint="eastAsia"/>
        </w:rPr>
        <w:t xml:space="preserve">　（英語、タイ語の2か国語</w:t>
      </w:r>
      <w:r w:rsidR="00FD061B">
        <w:rPr>
          <w:rFonts w:hint="eastAsia"/>
        </w:rPr>
        <w:t>翻訳</w:t>
      </w:r>
      <w:r>
        <w:rPr>
          <w:rFonts w:hint="eastAsia"/>
        </w:rPr>
        <w:t>、英語</w:t>
      </w:r>
      <w:r w:rsidR="00CE1DEA">
        <w:rPr>
          <w:rFonts w:hint="eastAsia"/>
        </w:rPr>
        <w:t>500</w:t>
      </w:r>
      <w:r>
        <w:rPr>
          <w:rFonts w:hint="eastAsia"/>
        </w:rPr>
        <w:t>部）</w:t>
      </w:r>
    </w:p>
    <w:p w:rsidR="00B4437F" w:rsidRDefault="00B4437F" w:rsidP="00521A83">
      <w:pPr>
        <w:jc w:val="left"/>
      </w:pPr>
    </w:p>
    <w:p w:rsidR="00DA3CB7" w:rsidRPr="005B53E5" w:rsidRDefault="005B53E5" w:rsidP="005B53E5">
      <w:pPr>
        <w:ind w:firstLineChars="100" w:firstLine="241"/>
        <w:jc w:val="left"/>
        <w:rPr>
          <w:b/>
          <w:sz w:val="24"/>
        </w:rPr>
      </w:pPr>
      <w:r w:rsidRPr="005B53E5">
        <w:rPr>
          <w:rFonts w:hint="eastAsia"/>
          <w:b/>
          <w:sz w:val="24"/>
        </w:rPr>
        <w:t>＜</w:t>
      </w:r>
      <w:r w:rsidR="006712BC" w:rsidRPr="005B53E5">
        <w:rPr>
          <w:rFonts w:hint="eastAsia"/>
          <w:b/>
          <w:sz w:val="24"/>
        </w:rPr>
        <w:t>今後の取組</w:t>
      </w:r>
      <w:r w:rsidRPr="005B53E5">
        <w:rPr>
          <w:rFonts w:hint="eastAsia"/>
          <w:b/>
          <w:sz w:val="24"/>
        </w:rPr>
        <w:t>＞</w:t>
      </w:r>
    </w:p>
    <w:p w:rsidR="00C3451C" w:rsidRDefault="00C3451C" w:rsidP="006712BC">
      <w:pPr>
        <w:pStyle w:val="a9"/>
        <w:numPr>
          <w:ilvl w:val="0"/>
          <w:numId w:val="5"/>
        </w:numPr>
        <w:ind w:leftChars="0"/>
        <w:jc w:val="left"/>
      </w:pPr>
      <w:r>
        <w:rPr>
          <w:rFonts w:hint="eastAsia"/>
        </w:rPr>
        <w:t>保健師初回面接時の翻訳機器</w:t>
      </w:r>
      <w:r w:rsidR="00F5380D">
        <w:rPr>
          <w:rFonts w:hint="eastAsia"/>
        </w:rPr>
        <w:t>を</w:t>
      </w:r>
      <w:r>
        <w:rPr>
          <w:rFonts w:hint="eastAsia"/>
        </w:rPr>
        <w:t>導入（通訳アプリの活用と初回面接シートの電子化）</w:t>
      </w:r>
      <w:r w:rsidR="006712BC">
        <w:rPr>
          <w:rFonts w:hint="eastAsia"/>
        </w:rPr>
        <w:t>します。</w:t>
      </w:r>
    </w:p>
    <w:p w:rsidR="00CE1DEA" w:rsidRDefault="00CE1DEA" w:rsidP="00CE1DEA">
      <w:pPr>
        <w:pStyle w:val="a9"/>
        <w:numPr>
          <w:ilvl w:val="0"/>
          <w:numId w:val="5"/>
        </w:numPr>
        <w:tabs>
          <w:tab w:val="left" w:pos="426"/>
        </w:tabs>
        <w:ind w:leftChars="100" w:left="420" w:hangingChars="100" w:hanging="210"/>
        <w:jc w:val="left"/>
      </w:pPr>
      <w:r>
        <w:rPr>
          <w:rFonts w:hint="eastAsia"/>
        </w:rPr>
        <w:t xml:space="preserve">　</w:t>
      </w:r>
      <w:r w:rsidR="00C3451C">
        <w:rPr>
          <w:rFonts w:hint="eastAsia"/>
        </w:rPr>
        <w:t>早期発見のための啓発資料の翻訳（</w:t>
      </w:r>
      <w:r w:rsidR="00C3451C" w:rsidRPr="00EE3B04">
        <w:rPr>
          <w:rFonts w:hint="eastAsia"/>
        </w:rPr>
        <w:t>中国語(簡体字・繁体字)、タガログ語、ベトナム語、ネ</w:t>
      </w:r>
    </w:p>
    <w:p w:rsidR="006712BC" w:rsidRDefault="00CE1DEA" w:rsidP="00CE1DEA">
      <w:pPr>
        <w:pStyle w:val="a9"/>
        <w:tabs>
          <w:tab w:val="left" w:pos="426"/>
        </w:tabs>
        <w:ind w:leftChars="0" w:left="420"/>
        <w:jc w:val="left"/>
      </w:pPr>
      <w:r>
        <w:rPr>
          <w:rFonts w:hint="eastAsia"/>
        </w:rPr>
        <w:t xml:space="preserve">　</w:t>
      </w:r>
      <w:r w:rsidR="00C3451C" w:rsidRPr="00EE3B04">
        <w:rPr>
          <w:rFonts w:hint="eastAsia"/>
        </w:rPr>
        <w:t>パール語</w:t>
      </w:r>
      <w:r w:rsidR="00C3451C">
        <w:rPr>
          <w:rFonts w:hint="eastAsia"/>
        </w:rPr>
        <w:t>）</w:t>
      </w:r>
      <w:r w:rsidR="006712BC">
        <w:rPr>
          <w:rFonts w:hint="eastAsia"/>
        </w:rPr>
        <w:t>を進めます。</w:t>
      </w:r>
    </w:p>
    <w:p w:rsidR="006712BC" w:rsidRDefault="00C3451C" w:rsidP="006E4F21">
      <w:pPr>
        <w:pStyle w:val="a9"/>
        <w:numPr>
          <w:ilvl w:val="0"/>
          <w:numId w:val="5"/>
        </w:numPr>
        <w:ind w:leftChars="0"/>
        <w:jc w:val="left"/>
        <w:rPr>
          <w:rFonts w:hint="eastAsia"/>
        </w:rPr>
      </w:pPr>
      <w:r>
        <w:rPr>
          <w:rFonts w:hint="eastAsia"/>
        </w:rPr>
        <w:t>入院</w:t>
      </w:r>
      <w:r w:rsidR="006712BC">
        <w:rPr>
          <w:rFonts w:hint="eastAsia"/>
        </w:rPr>
        <w:t>同意のための</w:t>
      </w:r>
      <w:r>
        <w:rPr>
          <w:rFonts w:hint="eastAsia"/>
        </w:rPr>
        <w:t>説明</w:t>
      </w:r>
      <w:r w:rsidR="006712BC">
        <w:rPr>
          <w:rFonts w:hint="eastAsia"/>
        </w:rPr>
        <w:t>文</w:t>
      </w:r>
      <w:r w:rsidR="00F5380D">
        <w:rPr>
          <w:rFonts w:hint="eastAsia"/>
        </w:rPr>
        <w:t>や</w:t>
      </w:r>
      <w:r w:rsidR="006712BC">
        <w:rPr>
          <w:rFonts w:hint="eastAsia"/>
        </w:rPr>
        <w:t>入院勧告書等</w:t>
      </w:r>
      <w:r>
        <w:rPr>
          <w:rFonts w:hint="eastAsia"/>
        </w:rPr>
        <w:t>の多言語化</w:t>
      </w:r>
      <w:r w:rsidR="006712BC">
        <w:rPr>
          <w:rFonts w:hint="eastAsia"/>
        </w:rPr>
        <w:t>を進めます。</w:t>
      </w:r>
      <w:bookmarkStart w:id="0" w:name="_GoBack"/>
      <w:bookmarkEnd w:id="0"/>
    </w:p>
    <w:sectPr w:rsidR="006712BC" w:rsidSect="00000391">
      <w:footerReference w:type="default" r:id="rId11"/>
      <w:pgSz w:w="11906" w:h="16838"/>
      <w:pgMar w:top="851" w:right="1274" w:bottom="851" w:left="1276" w:header="851" w:footer="2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1B" w:rsidRDefault="00FD061B" w:rsidP="00FD061B">
      <w:r>
        <w:separator/>
      </w:r>
    </w:p>
  </w:endnote>
  <w:endnote w:type="continuationSeparator" w:id="0">
    <w:p w:rsidR="00FD061B" w:rsidRDefault="00FD061B" w:rsidP="00F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9842"/>
      <w:docPartObj>
        <w:docPartGallery w:val="Page Numbers (Bottom of Page)"/>
        <w:docPartUnique/>
      </w:docPartObj>
    </w:sdtPr>
    <w:sdtEndPr/>
    <w:sdtContent>
      <w:p w:rsidR="00000391" w:rsidRDefault="00000391">
        <w:pPr>
          <w:pStyle w:val="a7"/>
          <w:jc w:val="center"/>
        </w:pPr>
        <w:r>
          <w:fldChar w:fldCharType="begin"/>
        </w:r>
        <w:r>
          <w:instrText>PAGE   \* MERGEFORMAT</w:instrText>
        </w:r>
        <w:r>
          <w:fldChar w:fldCharType="separate"/>
        </w:r>
        <w:r w:rsidR="006E4F21" w:rsidRPr="006E4F21">
          <w:rPr>
            <w:noProof/>
            <w:lang w:val="ja-JP"/>
          </w:rPr>
          <w:t>2</w:t>
        </w:r>
        <w:r>
          <w:fldChar w:fldCharType="end"/>
        </w:r>
      </w:p>
    </w:sdtContent>
  </w:sdt>
  <w:p w:rsidR="00000391" w:rsidRDefault="000003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1B" w:rsidRDefault="00FD061B" w:rsidP="00FD061B">
      <w:r>
        <w:separator/>
      </w:r>
    </w:p>
  </w:footnote>
  <w:footnote w:type="continuationSeparator" w:id="0">
    <w:p w:rsidR="00FD061B" w:rsidRDefault="00FD061B" w:rsidP="00F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5FC"/>
    <w:multiLevelType w:val="hybridMultilevel"/>
    <w:tmpl w:val="F4005DA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D84BB3"/>
    <w:multiLevelType w:val="hybridMultilevel"/>
    <w:tmpl w:val="3282098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860986"/>
    <w:multiLevelType w:val="hybridMultilevel"/>
    <w:tmpl w:val="306E3A7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E670074"/>
    <w:multiLevelType w:val="hybridMultilevel"/>
    <w:tmpl w:val="42262CC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EC32DB2"/>
    <w:multiLevelType w:val="hybridMultilevel"/>
    <w:tmpl w:val="4AE8313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E944C5"/>
    <w:multiLevelType w:val="hybridMultilevel"/>
    <w:tmpl w:val="E3D034C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EF2CB7"/>
    <w:multiLevelType w:val="hybridMultilevel"/>
    <w:tmpl w:val="9924995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69"/>
    <w:rsid w:val="00000391"/>
    <w:rsid w:val="00010E49"/>
    <w:rsid w:val="00010FD9"/>
    <w:rsid w:val="00047940"/>
    <w:rsid w:val="00075693"/>
    <w:rsid w:val="001219B0"/>
    <w:rsid w:val="001516A2"/>
    <w:rsid w:val="001B1026"/>
    <w:rsid w:val="001E461E"/>
    <w:rsid w:val="002A4C5E"/>
    <w:rsid w:val="002C4143"/>
    <w:rsid w:val="00321F90"/>
    <w:rsid w:val="003404EC"/>
    <w:rsid w:val="003C6969"/>
    <w:rsid w:val="0048150F"/>
    <w:rsid w:val="00521A83"/>
    <w:rsid w:val="00535418"/>
    <w:rsid w:val="005B53E5"/>
    <w:rsid w:val="00650CC0"/>
    <w:rsid w:val="006621F0"/>
    <w:rsid w:val="006712BC"/>
    <w:rsid w:val="006D0503"/>
    <w:rsid w:val="006E4F21"/>
    <w:rsid w:val="006E6108"/>
    <w:rsid w:val="00743919"/>
    <w:rsid w:val="007A7967"/>
    <w:rsid w:val="007B3BA1"/>
    <w:rsid w:val="007F19F2"/>
    <w:rsid w:val="0081071C"/>
    <w:rsid w:val="00817C29"/>
    <w:rsid w:val="00840E39"/>
    <w:rsid w:val="0084776E"/>
    <w:rsid w:val="008E0EE0"/>
    <w:rsid w:val="0090775E"/>
    <w:rsid w:val="00951E9E"/>
    <w:rsid w:val="00963977"/>
    <w:rsid w:val="009B5510"/>
    <w:rsid w:val="009B654A"/>
    <w:rsid w:val="009E72EC"/>
    <w:rsid w:val="00A068C3"/>
    <w:rsid w:val="00A41667"/>
    <w:rsid w:val="00A718A9"/>
    <w:rsid w:val="00A94E95"/>
    <w:rsid w:val="00A97CEE"/>
    <w:rsid w:val="00AB15F1"/>
    <w:rsid w:val="00AC6421"/>
    <w:rsid w:val="00AF05CE"/>
    <w:rsid w:val="00AF195D"/>
    <w:rsid w:val="00B1305B"/>
    <w:rsid w:val="00B24945"/>
    <w:rsid w:val="00B24E98"/>
    <w:rsid w:val="00B25C50"/>
    <w:rsid w:val="00B4437F"/>
    <w:rsid w:val="00B532E3"/>
    <w:rsid w:val="00B67B7A"/>
    <w:rsid w:val="00C274DA"/>
    <w:rsid w:val="00C3451C"/>
    <w:rsid w:val="00C92874"/>
    <w:rsid w:val="00C9327D"/>
    <w:rsid w:val="00C97D51"/>
    <w:rsid w:val="00CE1DEA"/>
    <w:rsid w:val="00D122F7"/>
    <w:rsid w:val="00D236C7"/>
    <w:rsid w:val="00D37540"/>
    <w:rsid w:val="00D52640"/>
    <w:rsid w:val="00D62709"/>
    <w:rsid w:val="00D94336"/>
    <w:rsid w:val="00DA3CB7"/>
    <w:rsid w:val="00DF45EE"/>
    <w:rsid w:val="00E04EA0"/>
    <w:rsid w:val="00E63C34"/>
    <w:rsid w:val="00E84B74"/>
    <w:rsid w:val="00E9007A"/>
    <w:rsid w:val="00EA4468"/>
    <w:rsid w:val="00ED2ADC"/>
    <w:rsid w:val="00EE361B"/>
    <w:rsid w:val="00EE3B04"/>
    <w:rsid w:val="00F23016"/>
    <w:rsid w:val="00F5380D"/>
    <w:rsid w:val="00F5489A"/>
    <w:rsid w:val="00F5708E"/>
    <w:rsid w:val="00FD061B"/>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1EE14D"/>
  <w15:chartTrackingRefBased/>
  <w15:docId w15:val="{A9BDAE62-B60B-4D3E-8CE1-F457912F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4B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51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16A2"/>
    <w:rPr>
      <w:rFonts w:asciiTheme="majorHAnsi" w:eastAsiaTheme="majorEastAsia" w:hAnsiTheme="majorHAnsi" w:cstheme="majorBidi"/>
      <w:sz w:val="18"/>
      <w:szCs w:val="18"/>
    </w:rPr>
  </w:style>
  <w:style w:type="paragraph" w:styleId="a5">
    <w:name w:val="header"/>
    <w:basedOn w:val="a"/>
    <w:link w:val="a6"/>
    <w:uiPriority w:val="99"/>
    <w:unhideWhenUsed/>
    <w:rsid w:val="00FD061B"/>
    <w:pPr>
      <w:tabs>
        <w:tab w:val="center" w:pos="4252"/>
        <w:tab w:val="right" w:pos="8504"/>
      </w:tabs>
      <w:snapToGrid w:val="0"/>
    </w:pPr>
  </w:style>
  <w:style w:type="character" w:customStyle="1" w:styleId="a6">
    <w:name w:val="ヘッダー (文字)"/>
    <w:basedOn w:val="a0"/>
    <w:link w:val="a5"/>
    <w:uiPriority w:val="99"/>
    <w:rsid w:val="00FD061B"/>
  </w:style>
  <w:style w:type="paragraph" w:styleId="a7">
    <w:name w:val="footer"/>
    <w:basedOn w:val="a"/>
    <w:link w:val="a8"/>
    <w:uiPriority w:val="99"/>
    <w:unhideWhenUsed/>
    <w:rsid w:val="00FD061B"/>
    <w:pPr>
      <w:tabs>
        <w:tab w:val="center" w:pos="4252"/>
        <w:tab w:val="right" w:pos="8504"/>
      </w:tabs>
      <w:snapToGrid w:val="0"/>
    </w:pPr>
  </w:style>
  <w:style w:type="character" w:customStyle="1" w:styleId="a8">
    <w:name w:val="フッター (文字)"/>
    <w:basedOn w:val="a0"/>
    <w:link w:val="a7"/>
    <w:uiPriority w:val="99"/>
    <w:rsid w:val="00FD061B"/>
  </w:style>
  <w:style w:type="paragraph" w:styleId="a9">
    <w:name w:val="List Paragraph"/>
    <w:basedOn w:val="a"/>
    <w:uiPriority w:val="34"/>
    <w:qFormat/>
    <w:rsid w:val="00E63C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9451078140161932E-2"/>
          <c:y val="0.11246884837069784"/>
          <c:w val="0.88890174887593421"/>
          <c:h val="0.71258478152785965"/>
        </c:manualLayout>
      </c:layout>
      <c:lineChart>
        <c:grouping val="standard"/>
        <c:varyColors val="0"/>
        <c:ser>
          <c:idx val="2"/>
          <c:order val="0"/>
          <c:tx>
            <c:strRef>
              <c:f>図１り患率推移!$C$26</c:f>
              <c:strCache>
                <c:ptCount val="1"/>
                <c:pt idx="0">
                  <c:v>全国</c:v>
                </c:pt>
              </c:strCache>
            </c:strRef>
          </c:tx>
          <c:marker>
            <c:symbol val="triangle"/>
            <c:size val="8"/>
          </c:marker>
          <c:dLbls>
            <c:dLbl>
              <c:idx val="7"/>
              <c:layout>
                <c:manualLayout>
                  <c:x val="-4.584910482144585E-2"/>
                  <c:y val="5.47406660672605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D6C-45F4-A49F-B32FF27C6F70}"/>
                </c:ext>
              </c:extLst>
            </c:dLbl>
            <c:dLbl>
              <c:idx val="8"/>
              <c:layout>
                <c:manualLayout>
                  <c:x val="-4.584910482144585E-2"/>
                  <c:y val="5.93542762172029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D6C-45F4-A49F-B32FF27C6F70}"/>
                </c:ext>
              </c:extLst>
            </c:dLbl>
            <c:dLbl>
              <c:idx val="9"/>
              <c:layout>
                <c:manualLayout>
                  <c:x val="-4.5849104821445941E-2"/>
                  <c:y val="6.858149651708761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D6C-45F4-A49F-B32FF27C6F70}"/>
                </c:ext>
              </c:extLst>
            </c:dLbl>
            <c:dLbl>
              <c:idx val="10"/>
              <c:layout>
                <c:manualLayout>
                  <c:x val="-4.584910482144585E-2"/>
                  <c:y val="5.47406660672606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D6C-45F4-A49F-B32FF27C6F70}"/>
                </c:ext>
              </c:extLst>
            </c:dLbl>
            <c:dLbl>
              <c:idx val="11"/>
              <c:layout>
                <c:manualLayout>
                  <c:x val="-4.5849104821445767E-2"/>
                  <c:y val="6.39678863671451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D6C-45F4-A49F-B32FF27C6F70}"/>
                </c:ext>
              </c:extLst>
            </c:dLbl>
            <c:dLbl>
              <c:idx val="12"/>
              <c:layout>
                <c:manualLayout>
                  <c:x val="-4.3505048110754736E-2"/>
                  <c:y val="5.0127055917318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D6C-45F4-A49F-B32FF27C6F70}"/>
                </c:ext>
              </c:extLst>
            </c:dLbl>
            <c:spPr>
              <a:noFill/>
              <a:ln>
                <a:noFill/>
              </a:ln>
              <a:effectLst/>
            </c:spPr>
            <c:txPr>
              <a:bodyPr/>
              <a:lstStyle/>
              <a:p>
                <a:pPr>
                  <a:defRPr sz="9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図１り患率推移!$B$27:$B$39</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cat>
          <c:val>
            <c:numRef>
              <c:f>図１り患率推移!$C$27:$C$39</c:f>
              <c:numCache>
                <c:formatCode>0.0</c:formatCode>
                <c:ptCount val="13"/>
                <c:pt idx="0">
                  <c:v>22.2</c:v>
                </c:pt>
                <c:pt idx="1">
                  <c:v>20.6</c:v>
                </c:pt>
                <c:pt idx="2">
                  <c:v>19.8</c:v>
                </c:pt>
                <c:pt idx="3">
                  <c:v>19.399999999999999</c:v>
                </c:pt>
                <c:pt idx="4">
                  <c:v>19</c:v>
                </c:pt>
                <c:pt idx="5">
                  <c:v>18.2</c:v>
                </c:pt>
                <c:pt idx="6">
                  <c:v>17.7</c:v>
                </c:pt>
                <c:pt idx="7">
                  <c:v>16.7</c:v>
                </c:pt>
                <c:pt idx="8">
                  <c:v>16.100000000000001</c:v>
                </c:pt>
                <c:pt idx="9">
                  <c:v>15.4</c:v>
                </c:pt>
                <c:pt idx="10">
                  <c:v>14.38</c:v>
                </c:pt>
                <c:pt idx="11">
                  <c:v>13.9</c:v>
                </c:pt>
                <c:pt idx="12">
                  <c:v>13.2</c:v>
                </c:pt>
              </c:numCache>
            </c:numRef>
          </c:val>
          <c:smooth val="0"/>
          <c:extLst>
            <c:ext xmlns:c16="http://schemas.microsoft.com/office/drawing/2014/chart" uri="{C3380CC4-5D6E-409C-BE32-E72D297353CC}">
              <c16:uniqueId val="{0000000D-6D6C-45F4-A49F-B32FF27C6F70}"/>
            </c:ext>
          </c:extLst>
        </c:ser>
        <c:ser>
          <c:idx val="1"/>
          <c:order val="1"/>
          <c:tx>
            <c:strRef>
              <c:f>図１り患率推移!$D$26</c:f>
              <c:strCache>
                <c:ptCount val="1"/>
                <c:pt idx="0">
                  <c:v>大阪府</c:v>
                </c:pt>
              </c:strCache>
            </c:strRef>
          </c:tx>
          <c:marker>
            <c:symbol val="square"/>
            <c:size val="8"/>
          </c:marker>
          <c:dLbls>
            <c:dLbl>
              <c:idx val="10"/>
              <c:layout>
                <c:manualLayout>
                  <c:x val="-4.6960392885978711E-2"/>
                  <c:y val="-5.71291169249005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6D6C-45F4-A49F-B32FF27C6F70}"/>
                </c:ext>
              </c:extLst>
            </c:dLbl>
            <c:dLbl>
              <c:idx val="11"/>
              <c:layout>
                <c:manualLayout>
                  <c:x val="-4.696039288597862E-2"/>
                  <c:y val="-5.71291169249005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6D6C-45F4-A49F-B32FF27C6F70}"/>
                </c:ext>
              </c:extLst>
            </c:dLbl>
            <c:dLbl>
              <c:idx val="12"/>
              <c:layout>
                <c:manualLayout>
                  <c:x val="-4.696039288597862E-2"/>
                  <c:y val="-5.28280416560833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6D6C-45F4-A49F-B32FF27C6F70}"/>
                </c:ext>
              </c:extLst>
            </c:dLbl>
            <c:spPr>
              <a:noFill/>
              <a:ln>
                <a:noFill/>
              </a:ln>
              <a:effectLst/>
            </c:spPr>
            <c:txPr>
              <a:bodyPr/>
              <a:lstStyle/>
              <a:p>
                <a:pPr>
                  <a:defRPr sz="9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図１り患率推移!$B$27:$B$39</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cat>
          <c:val>
            <c:numRef>
              <c:f>図１り患率推移!$D$27:$D$39</c:f>
              <c:numCache>
                <c:formatCode>0.0</c:formatCode>
                <c:ptCount val="13"/>
                <c:pt idx="0">
                  <c:v>38.4</c:v>
                </c:pt>
                <c:pt idx="1">
                  <c:v>36.1</c:v>
                </c:pt>
                <c:pt idx="2">
                  <c:v>33.700000000000003</c:v>
                </c:pt>
                <c:pt idx="3">
                  <c:v>32.799999999999997</c:v>
                </c:pt>
                <c:pt idx="4">
                  <c:v>31.5</c:v>
                </c:pt>
                <c:pt idx="5">
                  <c:v>29.9</c:v>
                </c:pt>
                <c:pt idx="6">
                  <c:v>28</c:v>
                </c:pt>
                <c:pt idx="7">
                  <c:v>27.1</c:v>
                </c:pt>
                <c:pt idx="8">
                  <c:v>26.4</c:v>
                </c:pt>
                <c:pt idx="9">
                  <c:v>24.5</c:v>
                </c:pt>
                <c:pt idx="10">
                  <c:v>23.46</c:v>
                </c:pt>
                <c:pt idx="11">
                  <c:v>22</c:v>
                </c:pt>
                <c:pt idx="12">
                  <c:v>21.3</c:v>
                </c:pt>
              </c:numCache>
            </c:numRef>
          </c:val>
          <c:smooth val="0"/>
          <c:extLst>
            <c:ext xmlns:c16="http://schemas.microsoft.com/office/drawing/2014/chart" uri="{C3380CC4-5D6E-409C-BE32-E72D297353CC}">
              <c16:uniqueId val="{0000001A-6D6C-45F4-A49F-B32FF27C6F70}"/>
            </c:ext>
          </c:extLst>
        </c:ser>
        <c:ser>
          <c:idx val="3"/>
          <c:order val="2"/>
          <c:tx>
            <c:strRef>
              <c:f>図１り患率推移!$E$26</c:f>
              <c:strCache>
                <c:ptCount val="1"/>
                <c:pt idx="0">
                  <c:v>大阪市</c:v>
                </c:pt>
              </c:strCache>
            </c:strRef>
          </c:tx>
          <c:dLbls>
            <c:dLbl>
              <c:idx val="0"/>
              <c:layout>
                <c:manualLayout>
                  <c:x val="-4.2321353175161676E-2"/>
                  <c:y val="-4.7819887565957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C-6D6C-45F4-A49F-B32FF27C6F70}"/>
                </c:ext>
              </c:extLst>
            </c:dLbl>
            <c:dLbl>
              <c:idx val="1"/>
              <c:layout>
                <c:manualLayout>
                  <c:x val="-3.7617684313449529E-2"/>
                  <c:y val="-5.24334977158996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D-6D6C-45F4-A49F-B32FF27C6F70}"/>
                </c:ext>
              </c:extLst>
            </c:dLbl>
            <c:spPr>
              <a:noFill/>
              <a:ln>
                <a:noFill/>
              </a:ln>
              <a:effectLst/>
            </c:spPr>
            <c:txPr>
              <a:bodyPr/>
              <a:lstStyle/>
              <a:p>
                <a:pPr>
                  <a:defRPr sz="9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図１り患率推移!$B$27:$B$39</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cat>
          <c:val>
            <c:numRef>
              <c:f>図１り患率推移!$E$27:$E$39</c:f>
              <c:numCache>
                <c:formatCode>#,##0.0</c:formatCode>
                <c:ptCount val="13"/>
                <c:pt idx="0">
                  <c:v>58.8</c:v>
                </c:pt>
                <c:pt idx="1">
                  <c:v>57</c:v>
                </c:pt>
                <c:pt idx="2">
                  <c:v>52.9</c:v>
                </c:pt>
                <c:pt idx="3">
                  <c:v>50.6</c:v>
                </c:pt>
                <c:pt idx="4">
                  <c:v>49.6</c:v>
                </c:pt>
                <c:pt idx="5">
                  <c:v>47.4</c:v>
                </c:pt>
                <c:pt idx="6">
                  <c:v>41.5</c:v>
                </c:pt>
                <c:pt idx="7">
                  <c:v>42.7</c:v>
                </c:pt>
                <c:pt idx="8">
                  <c:v>39.4</c:v>
                </c:pt>
                <c:pt idx="9">
                  <c:v>36.799999999999997</c:v>
                </c:pt>
                <c:pt idx="10">
                  <c:v>34.36</c:v>
                </c:pt>
                <c:pt idx="11">
                  <c:v>32.799999999999997</c:v>
                </c:pt>
                <c:pt idx="12">
                  <c:v>32.4</c:v>
                </c:pt>
              </c:numCache>
            </c:numRef>
          </c:val>
          <c:smooth val="0"/>
          <c:extLst>
            <c:ext xmlns:c16="http://schemas.microsoft.com/office/drawing/2014/chart" uri="{C3380CC4-5D6E-409C-BE32-E72D297353CC}">
              <c16:uniqueId val="{0000001B-6D6C-45F4-A49F-B32FF27C6F70}"/>
            </c:ext>
          </c:extLst>
        </c:ser>
        <c:ser>
          <c:idx val="0"/>
          <c:order val="3"/>
          <c:tx>
            <c:strRef>
              <c:f>図１り患率推移!$F$26</c:f>
              <c:strCache>
                <c:ptCount val="1"/>
                <c:pt idx="0">
                  <c:v>堺市</c:v>
                </c:pt>
              </c:strCache>
            </c:strRef>
          </c:tx>
          <c:dLbls>
            <c:dLbl>
              <c:idx val="2"/>
              <c:layout>
                <c:manualLayout>
                  <c:x val="-4.2321353175161711E-2"/>
                  <c:y val="4.888188976377944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6D6C-45F4-A49F-B32FF27C6F70}"/>
                </c:ext>
              </c:extLst>
            </c:dLbl>
            <c:dLbl>
              <c:idx val="4"/>
              <c:layout>
                <c:manualLayout>
                  <c:x val="-4.232135317516162E-2"/>
                  <c:y val="-3.71396156125646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6D6C-45F4-A49F-B32FF27C6F70}"/>
                </c:ext>
              </c:extLst>
            </c:dLbl>
            <c:dLbl>
              <c:idx val="5"/>
              <c:layout>
                <c:manualLayout>
                  <c:x val="-4.2321353175161662E-2"/>
                  <c:y val="5.31829650325966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6D6C-45F4-A49F-B32FF27C6F70}"/>
                </c:ext>
              </c:extLst>
            </c:dLbl>
            <c:dLbl>
              <c:idx val="6"/>
              <c:layout>
                <c:manualLayout>
                  <c:x val="-4.2321353175161662E-2"/>
                  <c:y val="3.16775886885107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6D6C-45F4-A49F-B32FF27C6F70}"/>
                </c:ext>
              </c:extLst>
            </c:dLbl>
            <c:dLbl>
              <c:idx val="9"/>
              <c:layout>
                <c:manualLayout>
                  <c:x val="-4.2321353175161752E-2"/>
                  <c:y val="4.02797392261450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6D6C-45F4-A49F-B32FF27C6F70}"/>
                </c:ext>
              </c:extLst>
            </c:dLbl>
            <c:dLbl>
              <c:idx val="10"/>
              <c:layout>
                <c:manualLayout>
                  <c:x val="-4.2321353175161752E-2"/>
                  <c:y val="4.45808144949622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6D6C-45F4-A49F-B32FF27C6F70}"/>
                </c:ext>
              </c:extLst>
            </c:dLbl>
            <c:dLbl>
              <c:idx val="11"/>
              <c:layout>
                <c:manualLayout>
                  <c:x val="-4.2321353175161752E-2"/>
                  <c:y val="4.02797392261450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6D6C-45F4-A49F-B32FF27C6F70}"/>
                </c:ext>
              </c:extLst>
            </c:dLbl>
            <c:dLbl>
              <c:idx val="12"/>
              <c:layout>
                <c:manualLayout>
                  <c:x val="-7.0438367123206499E-3"/>
                  <c:y val="5.87113707560740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6D6C-45F4-A49F-B32FF27C6F70}"/>
                </c:ext>
              </c:extLst>
            </c:dLbl>
            <c:spPr>
              <a:noFill/>
              <a:ln>
                <a:noFill/>
              </a:ln>
              <a:effectLst/>
            </c:spPr>
            <c:txPr>
              <a:bodyPr/>
              <a:lstStyle/>
              <a:p>
                <a:pPr>
                  <a:defRPr sz="9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図１り患率推移!$B$27:$B$39</c:f>
              <c:strCache>
                <c:ptCount val="13"/>
                <c:pt idx="0">
                  <c:v>2005年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strCache>
            </c:strRef>
          </c:cat>
          <c:val>
            <c:numRef>
              <c:f>図１り患率推移!$F$27:$F$39</c:f>
              <c:numCache>
                <c:formatCode>General</c:formatCode>
                <c:ptCount val="13"/>
                <c:pt idx="2" formatCode="#,##0.0">
                  <c:v>27.8</c:v>
                </c:pt>
                <c:pt idx="3" formatCode="#,##0.0">
                  <c:v>28.9</c:v>
                </c:pt>
                <c:pt idx="4" formatCode="#,##0.0">
                  <c:v>23.8</c:v>
                </c:pt>
                <c:pt idx="5" formatCode="#,##0.0">
                  <c:v>28.5</c:v>
                </c:pt>
                <c:pt idx="6" formatCode="#,##0.0">
                  <c:v>24.3</c:v>
                </c:pt>
                <c:pt idx="7" formatCode="#,##0.0">
                  <c:v>27.9</c:v>
                </c:pt>
                <c:pt idx="8" formatCode="#,##0.0">
                  <c:v>26.4</c:v>
                </c:pt>
                <c:pt idx="9" formatCode="#,##0.0">
                  <c:v>21.5</c:v>
                </c:pt>
                <c:pt idx="10" formatCode="#,##0.0">
                  <c:v>22</c:v>
                </c:pt>
                <c:pt idx="11" formatCode="#,##0.0">
                  <c:v>19.5</c:v>
                </c:pt>
                <c:pt idx="12" formatCode="#,##0.0">
                  <c:v>16.5</c:v>
                </c:pt>
              </c:numCache>
            </c:numRef>
          </c:val>
          <c:smooth val="0"/>
          <c:extLst>
            <c:ext xmlns:c16="http://schemas.microsoft.com/office/drawing/2014/chart" uri="{C3380CC4-5D6E-409C-BE32-E72D297353CC}">
              <c16:uniqueId val="{00000020-6D6C-45F4-A49F-B32FF27C6F70}"/>
            </c:ext>
          </c:extLst>
        </c:ser>
        <c:dLbls>
          <c:showLegendKey val="0"/>
          <c:showVal val="0"/>
          <c:showCatName val="0"/>
          <c:showSerName val="0"/>
          <c:showPercent val="0"/>
          <c:showBubbleSize val="0"/>
        </c:dLbls>
        <c:marker val="1"/>
        <c:smooth val="0"/>
        <c:axId val="138154752"/>
        <c:axId val="138156288"/>
      </c:lineChart>
      <c:catAx>
        <c:axId val="138154752"/>
        <c:scaling>
          <c:orientation val="minMax"/>
        </c:scaling>
        <c:delete val="0"/>
        <c:axPos val="b"/>
        <c:numFmt formatCode="General" sourceLinked="0"/>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138156288"/>
        <c:crosses val="autoZero"/>
        <c:auto val="1"/>
        <c:lblAlgn val="ctr"/>
        <c:lblOffset val="100"/>
        <c:noMultiLvlLbl val="0"/>
      </c:catAx>
      <c:valAx>
        <c:axId val="138156288"/>
        <c:scaling>
          <c:orientation val="minMax"/>
          <c:max val="60"/>
          <c:min val="10"/>
        </c:scaling>
        <c:delete val="0"/>
        <c:axPos val="l"/>
        <c:majorGridlines/>
        <c:numFmt formatCode="0.0" sourceLinked="1"/>
        <c:majorTickMark val="out"/>
        <c:minorTickMark val="none"/>
        <c:tickLblPos val="nextTo"/>
        <c:crossAx val="138154752"/>
        <c:crosses val="autoZero"/>
        <c:crossBetween val="between"/>
        <c:majorUnit val="10"/>
      </c:valAx>
    </c:plotArea>
    <c:legend>
      <c:legendPos val="r"/>
      <c:layout>
        <c:manualLayout>
          <c:xMode val="edge"/>
          <c:yMode val="edge"/>
          <c:x val="0.7629567558758823"/>
          <c:y val="5.7597832528998388E-2"/>
          <c:w val="0.21410415478403869"/>
          <c:h val="0.27572387361614398"/>
        </c:manualLayout>
      </c:layout>
      <c:overlay val="0"/>
      <c:spPr>
        <a:ln>
          <a:solidFill>
            <a:schemeClr val="tx1"/>
          </a:solidFill>
        </a:ln>
      </c:spPr>
      <c:txPr>
        <a:bodyPr/>
        <a:lstStyle/>
        <a:p>
          <a:pPr>
            <a:defRPr>
              <a:latin typeface="ＭＳ 明朝" panose="02020609040205080304" pitchFamily="17" charset="-128"/>
              <a:ea typeface="ＭＳ 明朝" panose="02020609040205080304" pitchFamily="17" charset="-128"/>
            </a:defRPr>
          </a:pPr>
          <a:endParaRPr lang="ja-JP"/>
        </a:p>
      </c:txPr>
    </c:legend>
    <c:plotVisOnly val="1"/>
    <c:dispBlanksAs val="gap"/>
    <c:showDLblsOverMax val="0"/>
  </c:chart>
  <c:spPr>
    <a:ln>
      <a:solidFill>
        <a:sysClr val="windowText" lastClr="000000"/>
      </a:solidFill>
    </a:ln>
  </c:spPr>
  <c:txPr>
    <a:bodyPr/>
    <a:lstStyle/>
    <a:p>
      <a:pPr>
        <a:defRPr sz="1000"/>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5201223690709553E-2"/>
          <c:y val="8.5757664130367534E-2"/>
          <c:w val="0.91324590220924373"/>
          <c:h val="0.73615923009623796"/>
        </c:manualLayout>
      </c:layout>
      <c:lineChart>
        <c:grouping val="standard"/>
        <c:varyColors val="0"/>
        <c:ser>
          <c:idx val="0"/>
          <c:order val="0"/>
          <c:tx>
            <c:strRef>
              <c:f>図5外国人結核患者数!$A$10</c:f>
              <c:strCache>
                <c:ptCount val="1"/>
                <c:pt idx="0">
                  <c:v>大阪府全域</c:v>
                </c:pt>
              </c:strCache>
            </c:strRef>
          </c:tx>
          <c:spPr>
            <a:ln w="34925"/>
          </c:spPr>
          <c:marker>
            <c:symbol val="diamond"/>
            <c:size val="7"/>
            <c:spPr>
              <a:ln>
                <a:solidFill>
                  <a:schemeClr val="tx1">
                    <a:alpha val="98000"/>
                  </a:schemeClr>
                </a:solidFill>
              </a:ln>
            </c:spPr>
          </c:marker>
          <c:dLbls>
            <c:delete val="1"/>
          </c:dLbls>
          <c:cat>
            <c:strRef>
              <c:f>図5外国人結核患者数!$B$9:$J$9</c:f>
              <c:strCache>
                <c:ptCount val="9"/>
                <c:pt idx="0">
                  <c:v>2009年</c:v>
                </c:pt>
                <c:pt idx="1">
                  <c:v>2010年</c:v>
                </c:pt>
                <c:pt idx="2">
                  <c:v>2011年</c:v>
                </c:pt>
                <c:pt idx="3">
                  <c:v>2012年</c:v>
                </c:pt>
                <c:pt idx="4">
                  <c:v>2013年</c:v>
                </c:pt>
                <c:pt idx="5">
                  <c:v>2014年</c:v>
                </c:pt>
                <c:pt idx="6">
                  <c:v>2015年</c:v>
                </c:pt>
                <c:pt idx="7">
                  <c:v>2016年</c:v>
                </c:pt>
                <c:pt idx="8">
                  <c:v>2017年</c:v>
                </c:pt>
              </c:strCache>
            </c:strRef>
          </c:cat>
          <c:val>
            <c:numRef>
              <c:f>図5外国人結核患者数!$B$10:$J$10</c:f>
              <c:numCache>
                <c:formatCode>0.0</c:formatCode>
                <c:ptCount val="9"/>
                <c:pt idx="0">
                  <c:v>1.46</c:v>
                </c:pt>
                <c:pt idx="1">
                  <c:v>2</c:v>
                </c:pt>
                <c:pt idx="2">
                  <c:v>2.17</c:v>
                </c:pt>
                <c:pt idx="3">
                  <c:v>2.38</c:v>
                </c:pt>
                <c:pt idx="4">
                  <c:v>3.17</c:v>
                </c:pt>
                <c:pt idx="5">
                  <c:v>2.63</c:v>
                </c:pt>
                <c:pt idx="6">
                  <c:v>2.8</c:v>
                </c:pt>
                <c:pt idx="7">
                  <c:v>3.8</c:v>
                </c:pt>
                <c:pt idx="8">
                  <c:v>4.5199999999999996</c:v>
                </c:pt>
              </c:numCache>
            </c:numRef>
          </c:val>
          <c:smooth val="0"/>
          <c:extLst>
            <c:ext xmlns:c16="http://schemas.microsoft.com/office/drawing/2014/chart" uri="{C3380CC4-5D6E-409C-BE32-E72D297353CC}">
              <c16:uniqueId val="{00000000-988F-4C2A-A635-3E7D7883CA74}"/>
            </c:ext>
          </c:extLst>
        </c:ser>
        <c:ser>
          <c:idx val="1"/>
          <c:order val="1"/>
          <c:tx>
            <c:strRef>
              <c:f>図5外国人結核患者数!$A$11</c:f>
              <c:strCache>
                <c:ptCount val="1"/>
                <c:pt idx="0">
                  <c:v>大阪府
(政令市除く)</c:v>
                </c:pt>
              </c:strCache>
            </c:strRef>
          </c:tx>
          <c:spPr>
            <a:ln w="15875">
              <a:solidFill>
                <a:schemeClr val="tx1"/>
              </a:solidFill>
            </a:ln>
          </c:spPr>
          <c:marker>
            <c:spPr>
              <a:solidFill>
                <a:schemeClr val="tx1">
                  <a:lumMod val="75000"/>
                  <a:lumOff val="25000"/>
                </a:schemeClr>
              </a:solidFill>
            </c:spPr>
          </c:marker>
          <c:dLbls>
            <c:delete val="1"/>
          </c:dLbls>
          <c:cat>
            <c:strRef>
              <c:f>図5外国人結核患者数!$B$9:$J$9</c:f>
              <c:strCache>
                <c:ptCount val="9"/>
                <c:pt idx="0">
                  <c:v>2009年</c:v>
                </c:pt>
                <c:pt idx="1">
                  <c:v>2010年</c:v>
                </c:pt>
                <c:pt idx="2">
                  <c:v>2011年</c:v>
                </c:pt>
                <c:pt idx="3">
                  <c:v>2012年</c:v>
                </c:pt>
                <c:pt idx="4">
                  <c:v>2013年</c:v>
                </c:pt>
                <c:pt idx="5">
                  <c:v>2014年</c:v>
                </c:pt>
                <c:pt idx="6">
                  <c:v>2015年</c:v>
                </c:pt>
                <c:pt idx="7">
                  <c:v>2016年</c:v>
                </c:pt>
                <c:pt idx="8">
                  <c:v>2017年</c:v>
                </c:pt>
              </c:strCache>
            </c:strRef>
          </c:cat>
          <c:val>
            <c:numRef>
              <c:f>図5外国人結核患者数!$B$11:$J$11</c:f>
              <c:numCache>
                <c:formatCode>#,##0.0;[Red]\-#,##0.0</c:formatCode>
                <c:ptCount val="9"/>
                <c:pt idx="0">
                  <c:v>1.5</c:v>
                </c:pt>
                <c:pt idx="1">
                  <c:v>1.5</c:v>
                </c:pt>
                <c:pt idx="2">
                  <c:v>1.9</c:v>
                </c:pt>
                <c:pt idx="3">
                  <c:v>2.8</c:v>
                </c:pt>
                <c:pt idx="4">
                  <c:v>1.9</c:v>
                </c:pt>
                <c:pt idx="5">
                  <c:v>2.6</c:v>
                </c:pt>
                <c:pt idx="6" formatCode="0.0">
                  <c:v>1.76</c:v>
                </c:pt>
                <c:pt idx="7" formatCode="0.0">
                  <c:v>3.69</c:v>
                </c:pt>
                <c:pt idx="8" formatCode="0.0">
                  <c:v>3.48</c:v>
                </c:pt>
              </c:numCache>
            </c:numRef>
          </c:val>
          <c:smooth val="0"/>
          <c:extLst>
            <c:ext xmlns:c16="http://schemas.microsoft.com/office/drawing/2014/chart" uri="{C3380CC4-5D6E-409C-BE32-E72D297353CC}">
              <c16:uniqueId val="{00000001-988F-4C2A-A635-3E7D7883CA74}"/>
            </c:ext>
          </c:extLst>
        </c:ser>
        <c:ser>
          <c:idx val="2"/>
          <c:order val="2"/>
          <c:tx>
            <c:strRef>
              <c:f>図5外国人結核患者数!$A$12</c:f>
              <c:strCache>
                <c:ptCount val="1"/>
                <c:pt idx="0">
                  <c:v>大阪市</c:v>
                </c:pt>
              </c:strCache>
            </c:strRef>
          </c:tx>
          <c:spPr>
            <a:ln w="34925">
              <a:solidFill>
                <a:schemeClr val="tx1"/>
              </a:solidFill>
              <a:prstDash val="sysDot"/>
            </a:ln>
          </c:spPr>
          <c:marker>
            <c:symbol val="triangle"/>
            <c:size val="8"/>
            <c:spPr>
              <a:solidFill>
                <a:schemeClr val="tx1"/>
              </a:solidFill>
            </c:spPr>
          </c:marker>
          <c:dLbls>
            <c:delete val="1"/>
          </c:dLbls>
          <c:cat>
            <c:strRef>
              <c:f>図5外国人結核患者数!$B$9:$J$9</c:f>
              <c:strCache>
                <c:ptCount val="9"/>
                <c:pt idx="0">
                  <c:v>2009年</c:v>
                </c:pt>
                <c:pt idx="1">
                  <c:v>2010年</c:v>
                </c:pt>
                <c:pt idx="2">
                  <c:v>2011年</c:v>
                </c:pt>
                <c:pt idx="3">
                  <c:v>2012年</c:v>
                </c:pt>
                <c:pt idx="4">
                  <c:v>2013年</c:v>
                </c:pt>
                <c:pt idx="5">
                  <c:v>2014年</c:v>
                </c:pt>
                <c:pt idx="6">
                  <c:v>2015年</c:v>
                </c:pt>
                <c:pt idx="7">
                  <c:v>2016年</c:v>
                </c:pt>
                <c:pt idx="8">
                  <c:v>2017年</c:v>
                </c:pt>
              </c:strCache>
            </c:strRef>
          </c:cat>
          <c:val>
            <c:numRef>
              <c:f>図5外国人結核患者数!$B$12:$J$12</c:f>
              <c:numCache>
                <c:formatCode>#,##0.0;[Red]\-#,##0.0</c:formatCode>
                <c:ptCount val="9"/>
                <c:pt idx="0">
                  <c:v>2.8</c:v>
                </c:pt>
                <c:pt idx="1">
                  <c:v>2.6</c:v>
                </c:pt>
                <c:pt idx="2">
                  <c:v>2.8</c:v>
                </c:pt>
                <c:pt idx="3">
                  <c:v>3</c:v>
                </c:pt>
                <c:pt idx="4">
                  <c:v>4.0999999999999996</c:v>
                </c:pt>
                <c:pt idx="5">
                  <c:v>3</c:v>
                </c:pt>
                <c:pt idx="6" formatCode="0.0">
                  <c:v>4</c:v>
                </c:pt>
                <c:pt idx="7" formatCode="0.0">
                  <c:v>3.95</c:v>
                </c:pt>
                <c:pt idx="8" formatCode="0.0">
                  <c:v>6.02</c:v>
                </c:pt>
              </c:numCache>
            </c:numRef>
          </c:val>
          <c:smooth val="0"/>
          <c:extLst>
            <c:ext xmlns:c16="http://schemas.microsoft.com/office/drawing/2014/chart" uri="{C3380CC4-5D6E-409C-BE32-E72D297353CC}">
              <c16:uniqueId val="{00000002-988F-4C2A-A635-3E7D7883CA74}"/>
            </c:ext>
          </c:extLst>
        </c:ser>
        <c:ser>
          <c:idx val="3"/>
          <c:order val="3"/>
          <c:tx>
            <c:strRef>
              <c:f>図5外国人結核患者数!$A$13</c:f>
              <c:strCache>
                <c:ptCount val="1"/>
                <c:pt idx="0">
                  <c:v>堺市</c:v>
                </c:pt>
              </c:strCache>
            </c:strRef>
          </c:tx>
          <c:spPr>
            <a:ln>
              <a:solidFill>
                <a:schemeClr val="accent1"/>
              </a:solidFill>
              <a:prstDash val="sysDash"/>
            </a:ln>
          </c:spPr>
          <c:marker>
            <c:symbol val="x"/>
            <c:size val="8"/>
            <c:spPr>
              <a:ln w="22225"/>
            </c:spPr>
          </c:marker>
          <c:dLbls>
            <c:delete val="1"/>
          </c:dLbls>
          <c:cat>
            <c:strRef>
              <c:f>図5外国人結核患者数!$B$9:$J$9</c:f>
              <c:strCache>
                <c:ptCount val="9"/>
                <c:pt idx="0">
                  <c:v>2009年</c:v>
                </c:pt>
                <c:pt idx="1">
                  <c:v>2010年</c:v>
                </c:pt>
                <c:pt idx="2">
                  <c:v>2011年</c:v>
                </c:pt>
                <c:pt idx="3">
                  <c:v>2012年</c:v>
                </c:pt>
                <c:pt idx="4">
                  <c:v>2013年</c:v>
                </c:pt>
                <c:pt idx="5">
                  <c:v>2014年</c:v>
                </c:pt>
                <c:pt idx="6">
                  <c:v>2015年</c:v>
                </c:pt>
                <c:pt idx="7">
                  <c:v>2016年</c:v>
                </c:pt>
                <c:pt idx="8">
                  <c:v>2017年</c:v>
                </c:pt>
              </c:strCache>
            </c:strRef>
          </c:cat>
          <c:val>
            <c:numRef>
              <c:f>図5外国人結核患者数!$B$13:$J$13</c:f>
              <c:numCache>
                <c:formatCode>#,##0.0;[Red]\-#,##0.0</c:formatCode>
                <c:ptCount val="9"/>
                <c:pt idx="0">
                  <c:v>1</c:v>
                </c:pt>
                <c:pt idx="1">
                  <c:v>1.3</c:v>
                </c:pt>
                <c:pt idx="2">
                  <c:v>2.9</c:v>
                </c:pt>
                <c:pt idx="3">
                  <c:v>1.7</c:v>
                </c:pt>
                <c:pt idx="4">
                  <c:v>0.9</c:v>
                </c:pt>
                <c:pt idx="5">
                  <c:v>4.4000000000000004</c:v>
                </c:pt>
                <c:pt idx="6" formatCode="0.0">
                  <c:v>2.16</c:v>
                </c:pt>
                <c:pt idx="7" formatCode="0.0">
                  <c:v>3.68</c:v>
                </c:pt>
                <c:pt idx="8" formatCode="0.0">
                  <c:v>1.45</c:v>
                </c:pt>
              </c:numCache>
            </c:numRef>
          </c:val>
          <c:smooth val="0"/>
          <c:extLst>
            <c:ext xmlns:c16="http://schemas.microsoft.com/office/drawing/2014/chart" uri="{C3380CC4-5D6E-409C-BE32-E72D297353CC}">
              <c16:uniqueId val="{00000003-988F-4C2A-A635-3E7D7883CA74}"/>
            </c:ext>
          </c:extLst>
        </c:ser>
        <c:ser>
          <c:idx val="4"/>
          <c:order val="4"/>
          <c:tx>
            <c:strRef>
              <c:f>図5外国人結核患者数!$A$14</c:f>
              <c:strCache>
                <c:ptCount val="1"/>
                <c:pt idx="0">
                  <c:v>全国</c:v>
                </c:pt>
              </c:strCache>
            </c:strRef>
          </c:tx>
          <c:marker>
            <c:symbol val="star"/>
            <c:size val="7"/>
            <c:spPr>
              <a:noFill/>
              <a:ln>
                <a:solidFill>
                  <a:schemeClr val="tx1">
                    <a:alpha val="98000"/>
                  </a:schemeClr>
                </a:solidFill>
              </a:ln>
            </c:spPr>
          </c:marker>
          <c:dLbls>
            <c:delete val="1"/>
          </c:dLbls>
          <c:cat>
            <c:strRef>
              <c:f>図5外国人結核患者数!$B$9:$J$9</c:f>
              <c:strCache>
                <c:ptCount val="9"/>
                <c:pt idx="0">
                  <c:v>2009年</c:v>
                </c:pt>
                <c:pt idx="1">
                  <c:v>2010年</c:v>
                </c:pt>
                <c:pt idx="2">
                  <c:v>2011年</c:v>
                </c:pt>
                <c:pt idx="3">
                  <c:v>2012年</c:v>
                </c:pt>
                <c:pt idx="4">
                  <c:v>2013年</c:v>
                </c:pt>
                <c:pt idx="5">
                  <c:v>2014年</c:v>
                </c:pt>
                <c:pt idx="6">
                  <c:v>2015年</c:v>
                </c:pt>
                <c:pt idx="7">
                  <c:v>2016年</c:v>
                </c:pt>
                <c:pt idx="8">
                  <c:v>2017年</c:v>
                </c:pt>
              </c:strCache>
            </c:strRef>
          </c:cat>
          <c:val>
            <c:numRef>
              <c:f>図5外国人結核患者数!$B$14:$J$14</c:f>
              <c:numCache>
                <c:formatCode>#,##0.0;[Red]\-#,##0.0</c:formatCode>
                <c:ptCount val="9"/>
                <c:pt idx="0">
                  <c:v>3.9</c:v>
                </c:pt>
                <c:pt idx="1">
                  <c:v>4.0999999999999996</c:v>
                </c:pt>
                <c:pt idx="2">
                  <c:v>4.0999999999999996</c:v>
                </c:pt>
                <c:pt idx="3">
                  <c:v>5</c:v>
                </c:pt>
                <c:pt idx="4">
                  <c:v>5.2</c:v>
                </c:pt>
                <c:pt idx="5">
                  <c:v>5.6</c:v>
                </c:pt>
                <c:pt idx="6" formatCode="0.0">
                  <c:v>6.37</c:v>
                </c:pt>
                <c:pt idx="7" formatCode="0.0">
                  <c:v>7.59</c:v>
                </c:pt>
                <c:pt idx="8" formatCode="0.0">
                  <c:v>9.11</c:v>
                </c:pt>
              </c:numCache>
            </c:numRef>
          </c:val>
          <c:smooth val="0"/>
          <c:extLst>
            <c:ext xmlns:c16="http://schemas.microsoft.com/office/drawing/2014/chart" uri="{C3380CC4-5D6E-409C-BE32-E72D297353CC}">
              <c16:uniqueId val="{00000004-988F-4C2A-A635-3E7D7883CA74}"/>
            </c:ext>
          </c:extLst>
        </c:ser>
        <c:dLbls>
          <c:dLblPos val="t"/>
          <c:showLegendKey val="0"/>
          <c:showVal val="1"/>
          <c:showCatName val="0"/>
          <c:showSerName val="0"/>
          <c:showPercent val="0"/>
          <c:showBubbleSize val="0"/>
        </c:dLbls>
        <c:marker val="1"/>
        <c:smooth val="0"/>
        <c:axId val="134689920"/>
        <c:axId val="134691456"/>
      </c:lineChart>
      <c:catAx>
        <c:axId val="134689920"/>
        <c:scaling>
          <c:orientation val="minMax"/>
        </c:scaling>
        <c:delete val="0"/>
        <c:axPos val="b"/>
        <c:numFmt formatCode="General" sourceLinked="0"/>
        <c:majorTickMark val="out"/>
        <c:minorTickMark val="none"/>
        <c:tickLblPos val="nextTo"/>
        <c:txPr>
          <a:bodyPr/>
          <a:lstStyle/>
          <a:p>
            <a:pPr>
              <a:defRPr>
                <a:latin typeface="ＭＳ 明朝" panose="02020609040205080304" pitchFamily="17" charset="-128"/>
                <a:ea typeface="ＭＳ 明朝" panose="02020609040205080304" pitchFamily="17" charset="-128"/>
              </a:defRPr>
            </a:pPr>
            <a:endParaRPr lang="ja-JP"/>
          </a:p>
        </c:txPr>
        <c:crossAx val="134691456"/>
        <c:crosses val="autoZero"/>
        <c:auto val="1"/>
        <c:lblAlgn val="ctr"/>
        <c:lblOffset val="100"/>
        <c:noMultiLvlLbl val="0"/>
      </c:catAx>
      <c:valAx>
        <c:axId val="134691456"/>
        <c:scaling>
          <c:orientation val="minMax"/>
        </c:scaling>
        <c:delete val="0"/>
        <c:axPos val="l"/>
        <c:majorGridlines>
          <c:spPr>
            <a:ln w="3175">
              <a:solidFill>
                <a:schemeClr val="bg1">
                  <a:lumMod val="75000"/>
                </a:schemeClr>
              </a:solidFill>
            </a:ln>
          </c:spPr>
        </c:majorGridlines>
        <c:title>
          <c:tx>
            <c:rich>
              <a:bodyPr rot="0" vert="horz"/>
              <a:lstStyle/>
              <a:p>
                <a:pPr>
                  <a:defRPr/>
                </a:pPr>
                <a:r>
                  <a:rPr lang="ja-JP" altLang="en-US" b="0"/>
                  <a:t>（％）</a:t>
                </a:r>
              </a:p>
            </c:rich>
          </c:tx>
          <c:layout>
            <c:manualLayout>
              <c:xMode val="edge"/>
              <c:yMode val="edge"/>
              <c:x val="3.688635432119626E-2"/>
              <c:y val="1.307917318415976E-5"/>
            </c:manualLayout>
          </c:layout>
          <c:overlay val="0"/>
        </c:title>
        <c:numFmt formatCode="0.0" sourceLinked="1"/>
        <c:majorTickMark val="out"/>
        <c:minorTickMark val="none"/>
        <c:tickLblPos val="nextTo"/>
        <c:crossAx val="134689920"/>
        <c:crosses val="autoZero"/>
        <c:crossBetween val="between"/>
        <c:majorUnit val="1"/>
      </c:valAx>
    </c:plotArea>
    <c:legend>
      <c:legendPos val="r"/>
      <c:layout>
        <c:manualLayout>
          <c:xMode val="edge"/>
          <c:yMode val="edge"/>
          <c:x val="0.15213438320209974"/>
          <c:y val="1.9968581994165232E-2"/>
          <c:w val="0.4427685039370079"/>
          <c:h val="0.45483320161188029"/>
        </c:manualLayout>
      </c:layout>
      <c:overlay val="0"/>
      <c:spPr>
        <a:ln>
          <a:noFill/>
        </a:ln>
      </c:spPr>
      <c:txPr>
        <a:bodyPr/>
        <a:lstStyle/>
        <a:p>
          <a:pPr>
            <a:defRPr sz="800">
              <a:latin typeface="ＭＳ 明朝" panose="02020609040205080304" pitchFamily="17" charset="-128"/>
              <a:ea typeface="ＭＳ 明朝" panose="02020609040205080304" pitchFamily="17" charset="-128"/>
            </a:defRPr>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068188086658661"/>
          <c:y val="0.15493597391235187"/>
          <c:w val="0.67813906312558392"/>
          <c:h val="0.61797033080116082"/>
        </c:manualLayout>
      </c:layout>
      <c:barChart>
        <c:barDir val="col"/>
        <c:grouping val="clustered"/>
        <c:varyColors val="0"/>
        <c:ser>
          <c:idx val="0"/>
          <c:order val="0"/>
          <c:tx>
            <c:strRef>
              <c:f>Sheet1!$D$28</c:f>
              <c:strCache>
                <c:ptCount val="1"/>
                <c:pt idx="0">
                  <c:v>登録者数（累計）</c:v>
                </c:pt>
              </c:strCache>
            </c:strRef>
          </c:tx>
          <c:invertIfNegative val="0"/>
          <c:dLbls>
            <c:dLbl>
              <c:idx val="3"/>
              <c:layout>
                <c:manualLayout>
                  <c:x val="0"/>
                  <c:y val="0.1249999999999999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D0B-4F01-8297-E22780C1894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Sheet1!$E$4:$M$4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Sheet1!$E$28:$M$28</c:f>
              <c:numCache>
                <c:formatCode>#,##0_);[Red]\(#,##0\)</c:formatCode>
                <c:ptCount val="9"/>
                <c:pt idx="0">
                  <c:v>24</c:v>
                </c:pt>
                <c:pt idx="1">
                  <c:v>101</c:v>
                </c:pt>
                <c:pt idx="2">
                  <c:v>504</c:v>
                </c:pt>
                <c:pt idx="3">
                  <c:v>657</c:v>
                </c:pt>
                <c:pt idx="4">
                  <c:v>786</c:v>
                </c:pt>
                <c:pt idx="5">
                  <c:v>841</c:v>
                </c:pt>
                <c:pt idx="6">
                  <c:v>1434</c:v>
                </c:pt>
                <c:pt idx="7">
                  <c:v>2093</c:v>
                </c:pt>
                <c:pt idx="8">
                  <c:v>2729</c:v>
                </c:pt>
              </c:numCache>
            </c:numRef>
          </c:val>
          <c:extLst>
            <c:ext xmlns:c16="http://schemas.microsoft.com/office/drawing/2014/chart" uri="{C3380CC4-5D6E-409C-BE32-E72D297353CC}">
              <c16:uniqueId val="{00000001-6D0B-4F01-8297-E22780C18943}"/>
            </c:ext>
          </c:extLst>
        </c:ser>
        <c:dLbls>
          <c:showLegendKey val="0"/>
          <c:showVal val="0"/>
          <c:showCatName val="0"/>
          <c:showSerName val="0"/>
          <c:showPercent val="0"/>
          <c:showBubbleSize val="0"/>
        </c:dLbls>
        <c:gapWidth val="150"/>
        <c:axId val="89289088"/>
        <c:axId val="89290624"/>
      </c:barChart>
      <c:lineChart>
        <c:grouping val="standard"/>
        <c:varyColors val="0"/>
        <c:ser>
          <c:idx val="1"/>
          <c:order val="1"/>
          <c:tx>
            <c:strRef>
              <c:f>Sheet1!$D$30</c:f>
              <c:strCache>
                <c:ptCount val="1"/>
                <c:pt idx="0">
                  <c:v>外国生まれ割合</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Sheet1!$E$4:$M$4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Sheet1!$E$30:$M$30</c:f>
              <c:numCache>
                <c:formatCode>0.0%</c:formatCode>
                <c:ptCount val="9"/>
                <c:pt idx="0">
                  <c:v>4.1666666666666664E-2</c:v>
                </c:pt>
                <c:pt idx="1">
                  <c:v>6.9306930693069313E-2</c:v>
                </c:pt>
                <c:pt idx="2">
                  <c:v>0.22420634920634921</c:v>
                </c:pt>
                <c:pt idx="3">
                  <c:v>7.3059360730593603E-2</c:v>
                </c:pt>
                <c:pt idx="4">
                  <c:v>2.4173027989821884E-2</c:v>
                </c:pt>
                <c:pt idx="5">
                  <c:v>2.2592152199762187E-2</c:v>
                </c:pt>
                <c:pt idx="6">
                  <c:v>6.2761506276150627E-3</c:v>
                </c:pt>
                <c:pt idx="7">
                  <c:v>2.3889154323936935E-3</c:v>
                </c:pt>
                <c:pt idx="8">
                  <c:v>2.565042139978014E-3</c:v>
                </c:pt>
              </c:numCache>
            </c:numRef>
          </c:val>
          <c:smooth val="0"/>
          <c:extLst>
            <c:ext xmlns:c16="http://schemas.microsoft.com/office/drawing/2014/chart" uri="{C3380CC4-5D6E-409C-BE32-E72D297353CC}">
              <c16:uniqueId val="{00000002-6D0B-4F01-8297-E22780C18943}"/>
            </c:ext>
          </c:extLst>
        </c:ser>
        <c:dLbls>
          <c:showLegendKey val="0"/>
          <c:showVal val="0"/>
          <c:showCatName val="0"/>
          <c:showSerName val="0"/>
          <c:showPercent val="0"/>
          <c:showBubbleSize val="0"/>
        </c:dLbls>
        <c:marker val="1"/>
        <c:smooth val="0"/>
        <c:axId val="89294336"/>
        <c:axId val="89292800"/>
      </c:lineChart>
      <c:catAx>
        <c:axId val="89289088"/>
        <c:scaling>
          <c:orientation val="minMax"/>
        </c:scaling>
        <c:delete val="0"/>
        <c:axPos val="b"/>
        <c:numFmt formatCode="General" sourceLinked="0"/>
        <c:majorTickMark val="out"/>
        <c:minorTickMark val="none"/>
        <c:tickLblPos val="nextTo"/>
        <c:txPr>
          <a:bodyPr/>
          <a:lstStyle/>
          <a:p>
            <a:pPr>
              <a:defRPr sz="800"/>
            </a:pPr>
            <a:endParaRPr lang="ja-JP"/>
          </a:p>
        </c:txPr>
        <c:crossAx val="89290624"/>
        <c:crosses val="autoZero"/>
        <c:auto val="1"/>
        <c:lblAlgn val="ctr"/>
        <c:lblOffset val="100"/>
        <c:noMultiLvlLbl val="0"/>
      </c:catAx>
      <c:valAx>
        <c:axId val="89290624"/>
        <c:scaling>
          <c:orientation val="minMax"/>
        </c:scaling>
        <c:delete val="0"/>
        <c:axPos val="l"/>
        <c:majorGridlines/>
        <c:title>
          <c:tx>
            <c:rich>
              <a:bodyPr rot="0" vert="horz"/>
              <a:lstStyle/>
              <a:p>
                <a:pPr>
                  <a:defRPr/>
                </a:pPr>
                <a:r>
                  <a:rPr lang="ja-JP" altLang="en-US"/>
                  <a:t>（人）</a:t>
                </a:r>
              </a:p>
            </c:rich>
          </c:tx>
          <c:layout>
            <c:manualLayout>
              <c:xMode val="edge"/>
              <c:yMode val="edge"/>
              <c:x val="1.8035424901626799E-2"/>
              <c:y val="2.0093321668124817E-2"/>
            </c:manualLayout>
          </c:layout>
          <c:overlay val="0"/>
        </c:title>
        <c:numFmt formatCode="#,##0_);[Red]\(#,##0\)" sourceLinked="1"/>
        <c:majorTickMark val="out"/>
        <c:minorTickMark val="none"/>
        <c:tickLblPos val="nextTo"/>
        <c:txPr>
          <a:bodyPr/>
          <a:lstStyle/>
          <a:p>
            <a:pPr>
              <a:defRPr sz="900"/>
            </a:pPr>
            <a:endParaRPr lang="ja-JP"/>
          </a:p>
        </c:txPr>
        <c:crossAx val="89289088"/>
        <c:crosses val="autoZero"/>
        <c:crossBetween val="between"/>
      </c:valAx>
      <c:valAx>
        <c:axId val="89292800"/>
        <c:scaling>
          <c:orientation val="minMax"/>
        </c:scaling>
        <c:delete val="0"/>
        <c:axPos val="r"/>
        <c:numFmt formatCode="0.0%" sourceLinked="1"/>
        <c:majorTickMark val="out"/>
        <c:minorTickMark val="none"/>
        <c:tickLblPos val="nextTo"/>
        <c:txPr>
          <a:bodyPr/>
          <a:lstStyle/>
          <a:p>
            <a:pPr>
              <a:defRPr sz="900"/>
            </a:pPr>
            <a:endParaRPr lang="ja-JP"/>
          </a:p>
        </c:txPr>
        <c:crossAx val="89294336"/>
        <c:crosses val="max"/>
        <c:crossBetween val="between"/>
      </c:valAx>
      <c:catAx>
        <c:axId val="89294336"/>
        <c:scaling>
          <c:orientation val="minMax"/>
        </c:scaling>
        <c:delete val="1"/>
        <c:axPos val="b"/>
        <c:numFmt formatCode="General" sourceLinked="1"/>
        <c:majorTickMark val="out"/>
        <c:minorTickMark val="none"/>
        <c:tickLblPos val="nextTo"/>
        <c:crossAx val="89292800"/>
        <c:crosses val="autoZero"/>
        <c:auto val="1"/>
        <c:lblAlgn val="ctr"/>
        <c:lblOffset val="100"/>
        <c:noMultiLvlLbl val="0"/>
      </c:catAx>
    </c:plotArea>
    <c:legend>
      <c:legendPos val="r"/>
      <c:layout>
        <c:manualLayout>
          <c:xMode val="edge"/>
          <c:yMode val="edge"/>
          <c:x val="0.16435215089639219"/>
          <c:y val="1.9605106179909321E-2"/>
          <c:w val="0.74925610569865209"/>
          <c:h val="8.4453591028394198E-2"/>
        </c:manualLayout>
      </c:layout>
      <c:overlay val="0"/>
      <c:txPr>
        <a:bodyPr/>
        <a:lstStyle/>
        <a:p>
          <a:pPr>
            <a:defRPr sz="800"/>
          </a:pPr>
          <a:endParaRPr lang="ja-JP"/>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0.00706</cdr:x>
      <cdr:y>0</cdr:y>
    </cdr:from>
    <cdr:to>
      <cdr:x>0.13405</cdr:x>
      <cdr:y>0.08651</cdr:y>
    </cdr:to>
    <cdr:sp macro="" textlink="">
      <cdr:nvSpPr>
        <cdr:cNvPr id="2" name="テキスト ボックス 1"/>
        <cdr:cNvSpPr txBox="1"/>
      </cdr:nvSpPr>
      <cdr:spPr>
        <a:xfrm xmlns:a="http://schemas.openxmlformats.org/drawingml/2006/main">
          <a:off x="38100" y="0"/>
          <a:ext cx="6858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ja-JP" altLang="ja-JP" sz="900" b="1" i="0" baseline="0">
              <a:effectLst/>
              <a:latin typeface="ＭＳ 明朝" panose="02020609040205080304" pitchFamily="17" charset="-128"/>
              <a:ea typeface="ＭＳ 明朝" panose="02020609040205080304" pitchFamily="17" charset="-128"/>
              <a:cs typeface="+mn-cs"/>
            </a:rPr>
            <a:t>り患率</a:t>
          </a:r>
          <a:endParaRPr lang="ja-JP" altLang="ja-JP" sz="1050">
            <a:effectLst/>
            <a:latin typeface="ＭＳ 明朝" panose="02020609040205080304" pitchFamily="17" charset="-128"/>
            <a:ea typeface="ＭＳ 明朝" panose="02020609040205080304" pitchFamily="17" charset="-128"/>
          </a:endParaRPr>
        </a:p>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7C73-75CD-4D92-B5FE-239494BD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一寛</dc:creator>
  <cp:keywords/>
  <dc:description/>
  <cp:lastModifiedBy>井上　惠里加</cp:lastModifiedBy>
  <cp:revision>7</cp:revision>
  <cp:lastPrinted>2019-03-13T01:29:00Z</cp:lastPrinted>
  <dcterms:created xsi:type="dcterms:W3CDTF">2019-03-13T01:23:00Z</dcterms:created>
  <dcterms:modified xsi:type="dcterms:W3CDTF">2019-08-06T09:50:00Z</dcterms:modified>
</cp:coreProperties>
</file>