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5DB6C" w14:textId="77777777" w:rsidR="00D92A01" w:rsidRPr="00B43F4A" w:rsidRDefault="00D92A01" w:rsidP="00460CA4">
      <w:pPr>
        <w:spacing w:line="400" w:lineRule="exact"/>
        <w:ind w:leftChars="200" w:left="630" w:hangingChars="100" w:hanging="210"/>
        <w:rPr>
          <w:rFonts w:hAnsi="ＭＳ 明朝"/>
          <w:szCs w:val="21"/>
        </w:rPr>
      </w:pPr>
      <w:bookmarkStart w:id="0" w:name="_GoBack"/>
      <w:bookmarkEnd w:id="0"/>
    </w:p>
    <w:p w14:paraId="4F0F9A05" w14:textId="77777777" w:rsidR="00D92A01" w:rsidRPr="00B43F4A" w:rsidRDefault="00D92A01" w:rsidP="00D92A01">
      <w:pPr>
        <w:pStyle w:val="1"/>
      </w:pPr>
      <w:bookmarkStart w:id="1" w:name="_Toc305164314"/>
      <w:bookmarkStart w:id="2" w:name="_Toc272265194"/>
      <w:r w:rsidRPr="00B43F4A">
        <w:rPr>
          <w:rFonts w:hint="eastAsia"/>
        </w:rPr>
        <w:t>決算の状況</w:t>
      </w:r>
      <w:bookmarkEnd w:id="1"/>
    </w:p>
    <w:p w14:paraId="24949F37" w14:textId="77777777" w:rsidR="00D92A01" w:rsidRPr="00B43F4A" w:rsidRDefault="00D92A01" w:rsidP="00D92A01">
      <w:pPr>
        <w:spacing w:line="420" w:lineRule="exact"/>
      </w:pPr>
    </w:p>
    <w:p w14:paraId="74ACBBF2" w14:textId="77777777" w:rsidR="00D92A01" w:rsidRPr="00B43F4A" w:rsidRDefault="00D92A01" w:rsidP="00D92A01">
      <w:pPr>
        <w:pStyle w:val="2"/>
      </w:pPr>
      <w:bookmarkStart w:id="3" w:name="_Toc305164315"/>
      <w:r>
        <w:rPr>
          <w:noProof/>
        </w:rPr>
        <w:drawing>
          <wp:anchor distT="0" distB="0" distL="114300" distR="114300" simplePos="0" relativeHeight="251660288" behindDoc="0" locked="0" layoutInCell="1" allowOverlap="1" wp14:anchorId="16369DBE" wp14:editId="484E43A9">
            <wp:simplePos x="0" y="0"/>
            <wp:positionH relativeFrom="column">
              <wp:posOffset>3295650</wp:posOffset>
            </wp:positionH>
            <wp:positionV relativeFrom="paragraph">
              <wp:posOffset>120015</wp:posOffset>
            </wp:positionV>
            <wp:extent cx="2809875" cy="7029450"/>
            <wp:effectExtent l="1905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3F4A">
        <w:rPr>
          <w:rFonts w:hint="eastAsia"/>
        </w:rPr>
        <w:t>Ⅰ　決算概況</w:t>
      </w:r>
      <w:bookmarkEnd w:id="3"/>
    </w:p>
    <w:p w14:paraId="21B3313F" w14:textId="3B0E8DD9" w:rsidR="00D92A01" w:rsidRPr="00CA5022" w:rsidRDefault="0061778E" w:rsidP="00460CA4">
      <w:pPr>
        <w:spacing w:line="340" w:lineRule="exact"/>
        <w:ind w:leftChars="100" w:left="420" w:hangingChars="100" w:hanging="210"/>
      </w:pPr>
      <w:r>
        <w:rPr>
          <w:noProof/>
        </w:rPr>
        <mc:AlternateContent>
          <mc:Choice Requires="wps">
            <w:drawing>
              <wp:inline distT="0" distB="0" distL="0" distR="0" wp14:anchorId="7D8688BA" wp14:editId="78C51048">
                <wp:extent cx="3205480" cy="7717155"/>
                <wp:effectExtent l="0" t="0" r="0" b="0"/>
                <wp:docPr id="25" name="オブジェク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5480" cy="771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1DA043" id="オブジェクト 1" o:spid="_x0000_s1026" style="width:252.4pt;height:60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" filled="f" stroked="f">
                <w10:anchorlock/>
              </v:rect>
            </w:pict>
          </mc:Fallback>
        </mc:AlternateContent>
      </w:r>
    </w:p>
    <w:p w14:paraId="7274FACD" w14:textId="77777777" w:rsidR="00630801" w:rsidRDefault="00630801" w:rsidP="00460CA4">
      <w:pPr>
        <w:spacing w:line="340" w:lineRule="exact"/>
        <w:ind w:rightChars="1906" w:right="4003" w:firstLineChars="50" w:firstLine="105"/>
        <w:rPr>
          <w:rFonts w:hAnsi="ＭＳ 明朝"/>
        </w:rPr>
      </w:pPr>
      <w:r>
        <w:rPr>
          <w:rFonts w:hAnsi="ＭＳ 明朝" w:hint="eastAsia"/>
        </w:rPr>
        <w:t xml:space="preserve">(1)　</w:t>
      </w:r>
      <w:r w:rsidR="0098731C" w:rsidRPr="007353DD">
        <w:rPr>
          <w:rFonts w:hAnsi="ＭＳ 明朝" w:hint="eastAsia"/>
        </w:rPr>
        <w:t>平成23年度一般会計の決算内容についてみる</w:t>
      </w:r>
    </w:p>
    <w:p w14:paraId="0CC67E2A" w14:textId="77777777" w:rsidR="00630801" w:rsidRDefault="0098731C" w:rsidP="00460CA4">
      <w:pPr>
        <w:spacing w:line="340" w:lineRule="exact"/>
        <w:ind w:leftChars="169" w:left="355" w:rightChars="1906" w:right="4003" w:firstLineChars="50" w:firstLine="105"/>
        <w:rPr>
          <w:rFonts w:hAnsi="ＭＳ 明朝"/>
        </w:rPr>
      </w:pPr>
      <w:r w:rsidRPr="007353DD">
        <w:rPr>
          <w:rFonts w:hAnsi="ＭＳ 明朝" w:hint="eastAsia"/>
        </w:rPr>
        <w:t>と、歳入決算額は</w:t>
      </w:r>
      <w:r w:rsidR="00727480">
        <w:rPr>
          <w:rFonts w:hAnsi="ＭＳ 明朝" w:hint="eastAsia"/>
        </w:rPr>
        <w:t>３</w:t>
      </w:r>
      <w:r w:rsidRPr="007353DD">
        <w:rPr>
          <w:rFonts w:hAnsi="ＭＳ 明朝" w:hint="eastAsia"/>
        </w:rPr>
        <w:t>兆560億円で、前年度におけ</w:t>
      </w:r>
    </w:p>
    <w:p w14:paraId="35E2D61E" w14:textId="77777777" w:rsidR="00C81289" w:rsidRDefault="0098731C" w:rsidP="00460CA4">
      <w:pPr>
        <w:spacing w:line="340" w:lineRule="exact"/>
        <w:ind w:leftChars="169" w:left="355" w:rightChars="1906" w:right="4003" w:firstLineChars="50" w:firstLine="105"/>
        <w:rPr>
          <w:rFonts w:hAnsi="ＭＳ 明朝"/>
        </w:rPr>
      </w:pPr>
      <w:r w:rsidRPr="007353DD">
        <w:rPr>
          <w:rFonts w:hAnsi="ＭＳ 明朝" w:hint="eastAsia"/>
        </w:rPr>
        <w:t>る減債基金等の取崩しに伴う繰入金の影響がな</w:t>
      </w:r>
    </w:p>
    <w:p w14:paraId="5A3D13F7" w14:textId="77777777" w:rsidR="00630801" w:rsidRDefault="0098731C" w:rsidP="00460CA4">
      <w:pPr>
        <w:spacing w:line="340" w:lineRule="exact"/>
        <w:ind w:leftChars="169" w:left="355" w:rightChars="1906" w:right="4003" w:firstLineChars="50" w:firstLine="105"/>
        <w:rPr>
          <w:rFonts w:hAnsi="ＭＳ 明朝"/>
        </w:rPr>
      </w:pPr>
      <w:r w:rsidRPr="007353DD">
        <w:rPr>
          <w:rFonts w:hAnsi="ＭＳ 明朝" w:hint="eastAsia"/>
        </w:rPr>
        <w:t>くなったこと等により、8,608億円、率にして</w:t>
      </w:r>
    </w:p>
    <w:p w14:paraId="7433C71D" w14:textId="77777777" w:rsidR="0098731C" w:rsidRPr="007353DD" w:rsidRDefault="0098731C" w:rsidP="00460CA4">
      <w:pPr>
        <w:spacing w:line="340" w:lineRule="exact"/>
        <w:ind w:leftChars="169" w:left="355" w:rightChars="1906" w:right="4003" w:firstLineChars="50" w:firstLine="105"/>
        <w:rPr>
          <w:rFonts w:hAnsi="ＭＳ 明朝"/>
        </w:rPr>
      </w:pPr>
      <w:r w:rsidRPr="007353DD">
        <w:rPr>
          <w:rFonts w:hAnsi="ＭＳ 明朝" w:hint="eastAsia"/>
        </w:rPr>
        <w:t>21.98％減少している。</w:t>
      </w:r>
    </w:p>
    <w:p w14:paraId="016AA251" w14:textId="77777777" w:rsidR="00D92A01" w:rsidRPr="0098731C" w:rsidRDefault="00D92A01" w:rsidP="00460CA4">
      <w:pPr>
        <w:spacing w:line="340" w:lineRule="exact"/>
        <w:ind w:leftChars="84" w:left="355" w:rightChars="1906" w:right="4003" w:hanging="179"/>
        <w:rPr>
          <w:rFonts w:hAnsi="ＭＳ 明朝"/>
        </w:rPr>
      </w:pPr>
    </w:p>
    <w:bookmarkEnd w:id="2"/>
    <w:p w14:paraId="6519E4BE" w14:textId="07A71269" w:rsidR="003F5B59" w:rsidRDefault="00630801" w:rsidP="00460CA4">
      <w:pPr>
        <w:spacing w:line="340" w:lineRule="exact"/>
        <w:ind w:leftChars="84" w:left="355" w:rightChars="1906" w:right="4003" w:hanging="179"/>
        <w:rPr>
          <w:rFonts w:hAnsi="ＭＳ 明朝"/>
        </w:rPr>
      </w:pPr>
      <w:r>
        <w:rPr>
          <w:rFonts w:hAnsi="ＭＳ 明朝" w:hint="eastAsia"/>
        </w:rPr>
        <w:t xml:space="preserve">(2)  </w:t>
      </w:r>
      <w:r w:rsidR="0098731C" w:rsidRPr="007353DD">
        <w:rPr>
          <w:rFonts w:hAnsi="ＭＳ 明朝" w:hint="eastAsia"/>
        </w:rPr>
        <w:t>一方、歳出決算額は</w:t>
      </w:r>
      <w:r w:rsidR="00727480">
        <w:rPr>
          <w:rFonts w:hAnsi="ＭＳ 明朝" w:hint="eastAsia"/>
        </w:rPr>
        <w:t>３</w:t>
      </w:r>
      <w:r w:rsidR="0098731C" w:rsidRPr="007353DD">
        <w:rPr>
          <w:rFonts w:hAnsi="ＭＳ 明朝" w:hint="eastAsia"/>
        </w:rPr>
        <w:t>兆377億円で、前</w:t>
      </w:r>
      <w:r w:rsidR="003F5B59">
        <w:rPr>
          <w:rFonts w:hAnsi="ＭＳ 明朝" w:hint="eastAsia"/>
        </w:rPr>
        <w:t>年度</w:t>
      </w:r>
    </w:p>
    <w:p w14:paraId="2F2563F8" w14:textId="77777777" w:rsidR="003F5B59" w:rsidRDefault="003F5B59" w:rsidP="00460CA4">
      <w:pPr>
        <w:spacing w:line="340" w:lineRule="exact"/>
        <w:ind w:leftChars="84" w:left="355" w:rightChars="1906" w:right="4003" w:hanging="179"/>
        <w:rPr>
          <w:rFonts w:hAnsi="ＭＳ 明朝"/>
        </w:rPr>
      </w:pPr>
      <w:r>
        <w:rPr>
          <w:rFonts w:hAnsi="ＭＳ 明朝" w:hint="eastAsia"/>
        </w:rPr>
        <w:t xml:space="preserve">　 </w:t>
      </w:r>
      <w:r w:rsidR="0098731C" w:rsidRPr="007353DD">
        <w:rPr>
          <w:rFonts w:hAnsi="ＭＳ 明朝" w:hint="eastAsia"/>
        </w:rPr>
        <w:t>に基金借入金を解消するために支出した補助費</w:t>
      </w:r>
    </w:p>
    <w:p w14:paraId="3F4B2DFA" w14:textId="60AA7DC0" w:rsidR="00630801" w:rsidRDefault="0098731C" w:rsidP="00460CA4">
      <w:pPr>
        <w:spacing w:line="340" w:lineRule="exact"/>
        <w:ind w:leftChars="169" w:left="355" w:rightChars="1906" w:right="4003" w:firstLineChars="50" w:firstLine="105"/>
        <w:rPr>
          <w:rFonts w:hAnsi="ＭＳ 明朝"/>
        </w:rPr>
      </w:pPr>
      <w:r w:rsidRPr="007353DD">
        <w:rPr>
          <w:rFonts w:hAnsi="ＭＳ 明朝" w:hint="eastAsia"/>
        </w:rPr>
        <w:t>等の影響が今年度はなくなったこと等により、</w:t>
      </w:r>
    </w:p>
    <w:p w14:paraId="422FB712" w14:textId="77777777" w:rsidR="0098731C" w:rsidRPr="00B43F4A" w:rsidRDefault="0098731C" w:rsidP="00460CA4">
      <w:pPr>
        <w:spacing w:line="340" w:lineRule="exact"/>
        <w:ind w:leftChars="169" w:left="355" w:rightChars="1906" w:right="4003" w:firstLineChars="50" w:firstLine="105"/>
        <w:rPr>
          <w:rFonts w:hAnsi="ＭＳ 明朝"/>
        </w:rPr>
      </w:pPr>
      <w:r w:rsidRPr="007353DD">
        <w:rPr>
          <w:rFonts w:hAnsi="ＭＳ 明朝" w:hint="eastAsia"/>
        </w:rPr>
        <w:t>8,470億円、率にして21.80％減少している。</w:t>
      </w:r>
    </w:p>
    <w:p w14:paraId="3B8F12EB" w14:textId="77777777" w:rsidR="00A50C61" w:rsidRPr="00630801" w:rsidRDefault="00A50C61" w:rsidP="00460CA4">
      <w:pPr>
        <w:spacing w:line="340" w:lineRule="exact"/>
        <w:ind w:leftChars="84" w:left="355" w:rightChars="1906" w:right="4003" w:hanging="179"/>
        <w:rPr>
          <w:rFonts w:hAnsi="ＭＳ 明朝"/>
        </w:rPr>
      </w:pPr>
    </w:p>
    <w:p w14:paraId="7AD591FE" w14:textId="77777777" w:rsidR="00630801" w:rsidRDefault="00630801" w:rsidP="00460CA4">
      <w:pPr>
        <w:spacing w:line="340" w:lineRule="exact"/>
        <w:ind w:leftChars="84" w:left="355" w:rightChars="1906" w:right="4003" w:hanging="179"/>
        <w:rPr>
          <w:rFonts w:hAnsi="ＭＳ 明朝"/>
        </w:rPr>
      </w:pPr>
      <w:r>
        <w:rPr>
          <w:rFonts w:hAnsi="ＭＳ 明朝" w:hint="eastAsia"/>
        </w:rPr>
        <w:t xml:space="preserve">(3)  </w:t>
      </w:r>
      <w:r w:rsidR="007410C7" w:rsidRPr="000D48EC">
        <w:rPr>
          <w:rFonts w:hAnsi="ＭＳ 明朝" w:hint="eastAsia"/>
        </w:rPr>
        <w:t>なお、前年度において実施された減債基金等</w:t>
      </w:r>
    </w:p>
    <w:p w14:paraId="6E4EA832" w14:textId="77777777" w:rsidR="00C81289" w:rsidRDefault="0078083F" w:rsidP="00460CA4">
      <w:pPr>
        <w:spacing w:line="340" w:lineRule="exact"/>
        <w:ind w:leftChars="169" w:left="355" w:rightChars="1906" w:right="4003" w:firstLineChars="50" w:firstLine="105"/>
        <w:rPr>
          <w:rFonts w:hAnsi="ＭＳ 明朝"/>
        </w:rPr>
      </w:pPr>
      <w:r>
        <w:rPr>
          <w:rFonts w:hAnsi="ＭＳ 明朝" w:hint="eastAsia"/>
        </w:rPr>
        <w:t>の取</w:t>
      </w:r>
      <w:r w:rsidR="007410C7" w:rsidRPr="000D48EC">
        <w:rPr>
          <w:rFonts w:hAnsi="ＭＳ 明朝" w:hint="eastAsia"/>
        </w:rPr>
        <w:t>崩し</w:t>
      </w:r>
      <w:r w:rsidR="00C81289">
        <w:rPr>
          <w:rFonts w:hAnsi="ＭＳ 明朝" w:hint="eastAsia"/>
        </w:rPr>
        <w:t>及び</w:t>
      </w:r>
      <w:r w:rsidR="007410C7" w:rsidRPr="000D48EC">
        <w:rPr>
          <w:rFonts w:hAnsi="ＭＳ 明朝" w:hint="eastAsia"/>
        </w:rPr>
        <w:t>基金借入金の解消に伴う処理を除</w:t>
      </w:r>
    </w:p>
    <w:p w14:paraId="5A9767CB" w14:textId="77777777" w:rsidR="0078083F" w:rsidRDefault="007410C7" w:rsidP="00460CA4">
      <w:pPr>
        <w:spacing w:line="340" w:lineRule="exact"/>
        <w:ind w:leftChars="169" w:left="355" w:rightChars="1906" w:right="4003" w:firstLineChars="50" w:firstLine="105"/>
        <w:rPr>
          <w:rFonts w:hAnsi="ＭＳ 明朝"/>
        </w:rPr>
      </w:pPr>
      <w:r w:rsidRPr="000D48EC">
        <w:rPr>
          <w:rFonts w:hAnsi="ＭＳ 明朝" w:hint="eastAsia"/>
        </w:rPr>
        <w:t>いたベースで比較すると、歳入決算額は</w:t>
      </w:r>
      <w:r w:rsidRPr="000D48EC">
        <w:rPr>
          <w:rFonts w:hAnsi="ＭＳ 明朝"/>
        </w:rPr>
        <w:t>2,020</w:t>
      </w:r>
    </w:p>
    <w:p w14:paraId="7D75CAA8" w14:textId="77777777" w:rsidR="0078083F" w:rsidRDefault="007410C7" w:rsidP="00460CA4">
      <w:pPr>
        <w:spacing w:line="340" w:lineRule="exact"/>
        <w:ind w:leftChars="169" w:left="355" w:rightChars="1906" w:right="4003" w:firstLineChars="50" w:firstLine="105"/>
        <w:rPr>
          <w:rFonts w:hAnsi="ＭＳ 明朝"/>
        </w:rPr>
      </w:pPr>
      <w:r w:rsidRPr="000D48EC">
        <w:rPr>
          <w:rFonts w:hAnsi="ＭＳ 明朝"/>
        </w:rPr>
        <w:t>億円、率にして6.20%減少しており、歳出決算額</w:t>
      </w:r>
    </w:p>
    <w:p w14:paraId="2AEC8F29" w14:textId="77777777" w:rsidR="00A50C61" w:rsidRPr="000D48EC" w:rsidRDefault="007410C7" w:rsidP="00460CA4">
      <w:pPr>
        <w:spacing w:line="340" w:lineRule="exact"/>
        <w:ind w:leftChars="169" w:left="355" w:rightChars="1906" w:right="4003" w:firstLineChars="50" w:firstLine="105"/>
        <w:rPr>
          <w:rFonts w:hAnsi="ＭＳ 明朝"/>
        </w:rPr>
      </w:pPr>
      <w:r w:rsidRPr="000D48EC">
        <w:rPr>
          <w:rFonts w:hAnsi="ＭＳ 明朝"/>
        </w:rPr>
        <w:t>は1,841億円、率にして5.71%減少している。</w:t>
      </w:r>
    </w:p>
    <w:p w14:paraId="503CE299" w14:textId="77777777" w:rsidR="00A50C61" w:rsidRPr="000D48EC" w:rsidRDefault="00A50C61" w:rsidP="00460CA4">
      <w:pPr>
        <w:spacing w:line="340" w:lineRule="exact"/>
        <w:ind w:leftChars="84" w:left="355" w:rightChars="1906" w:right="4003" w:hanging="179"/>
        <w:rPr>
          <w:rFonts w:hAnsi="ＭＳ 明朝"/>
        </w:rPr>
      </w:pPr>
    </w:p>
    <w:p w14:paraId="4ACDE518" w14:textId="77777777" w:rsidR="00630801" w:rsidRDefault="00630801" w:rsidP="00460CA4">
      <w:pPr>
        <w:spacing w:line="340" w:lineRule="exact"/>
        <w:ind w:leftChars="84" w:left="355" w:rightChars="1906" w:right="4003" w:hanging="17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(4)  </w:t>
      </w:r>
      <w:r w:rsidR="0098731C" w:rsidRPr="000D48EC">
        <w:rPr>
          <w:rFonts w:hAnsi="ＭＳ 明朝" w:hint="eastAsia"/>
          <w:szCs w:val="21"/>
        </w:rPr>
        <w:t>形式収支は、183億円の黒字を計上し、</w:t>
      </w:r>
      <w:r w:rsidR="00727480">
        <w:rPr>
          <w:rFonts w:hAnsi="ＭＳ 明朝" w:hint="eastAsia"/>
          <w:szCs w:val="21"/>
        </w:rPr>
        <w:t>６</w:t>
      </w:r>
      <w:r w:rsidR="0098731C" w:rsidRPr="000D48EC">
        <w:rPr>
          <w:rFonts w:hAnsi="ＭＳ 明朝" w:hint="eastAsia"/>
          <w:szCs w:val="21"/>
        </w:rPr>
        <w:t>年連</w:t>
      </w:r>
    </w:p>
    <w:p w14:paraId="57DA9791" w14:textId="77777777" w:rsidR="00630801" w:rsidRDefault="0098731C" w:rsidP="00460CA4">
      <w:pPr>
        <w:spacing w:line="340" w:lineRule="exact"/>
        <w:ind w:leftChars="169" w:left="355" w:rightChars="1906" w:right="4003" w:firstLineChars="50" w:firstLine="105"/>
        <w:rPr>
          <w:rFonts w:hAnsi="ＭＳ 明朝"/>
          <w:szCs w:val="21"/>
        </w:rPr>
      </w:pPr>
      <w:r w:rsidRPr="000D48EC">
        <w:rPr>
          <w:rFonts w:hAnsi="ＭＳ 明朝" w:hint="eastAsia"/>
          <w:szCs w:val="21"/>
        </w:rPr>
        <w:t>続の黒字となった。形式収支から翌年度へ繰り越</w:t>
      </w:r>
    </w:p>
    <w:p w14:paraId="77F58B4F" w14:textId="77777777" w:rsidR="00630801" w:rsidRDefault="0098731C" w:rsidP="00460CA4">
      <w:pPr>
        <w:spacing w:line="340" w:lineRule="exact"/>
        <w:ind w:leftChars="169" w:left="355" w:rightChars="1906" w:right="4003" w:firstLineChars="50" w:firstLine="105"/>
        <w:rPr>
          <w:rFonts w:hAnsi="ＭＳ 明朝"/>
          <w:szCs w:val="21"/>
        </w:rPr>
      </w:pPr>
      <w:r w:rsidRPr="000D48EC">
        <w:rPr>
          <w:rFonts w:hAnsi="ＭＳ 明朝" w:hint="eastAsia"/>
          <w:szCs w:val="21"/>
        </w:rPr>
        <w:t>すべき財源を差し引いた実質収支も、105億</w:t>
      </w:r>
      <w:r w:rsidR="00DC4A9D" w:rsidRPr="000D48EC">
        <w:rPr>
          <w:rFonts w:hAnsi="ＭＳ 明朝" w:hint="eastAsia"/>
          <w:szCs w:val="21"/>
        </w:rPr>
        <w:t>円</w:t>
      </w:r>
      <w:r w:rsidRPr="000D48EC">
        <w:rPr>
          <w:rFonts w:hAnsi="ＭＳ 明朝" w:hint="eastAsia"/>
          <w:szCs w:val="21"/>
        </w:rPr>
        <w:t>の</w:t>
      </w:r>
    </w:p>
    <w:p w14:paraId="21EE5CA6" w14:textId="77777777" w:rsidR="00630801" w:rsidRDefault="0098731C" w:rsidP="00460CA4">
      <w:pPr>
        <w:spacing w:line="340" w:lineRule="exact"/>
        <w:ind w:leftChars="169" w:left="355" w:rightChars="1906" w:right="4003" w:firstLineChars="50" w:firstLine="105"/>
        <w:rPr>
          <w:rFonts w:hAnsi="ＭＳ 明朝"/>
          <w:szCs w:val="21"/>
        </w:rPr>
      </w:pPr>
      <w:r w:rsidRPr="000D48EC">
        <w:rPr>
          <w:rFonts w:hAnsi="ＭＳ 明朝" w:hint="eastAsia"/>
          <w:szCs w:val="21"/>
        </w:rPr>
        <w:t>黒字となったものの、前年度に比べ、152億円減</w:t>
      </w:r>
    </w:p>
    <w:p w14:paraId="50650506" w14:textId="77777777" w:rsidR="0098731C" w:rsidRPr="000D48EC" w:rsidRDefault="0098731C" w:rsidP="00460CA4">
      <w:pPr>
        <w:spacing w:line="340" w:lineRule="exact"/>
        <w:ind w:leftChars="169" w:left="355" w:rightChars="1906" w:right="4003" w:firstLineChars="50" w:firstLine="105"/>
        <w:rPr>
          <w:rFonts w:hAnsi="ＭＳ 明朝"/>
          <w:szCs w:val="21"/>
        </w:rPr>
      </w:pPr>
      <w:r w:rsidRPr="000D48EC">
        <w:rPr>
          <w:rFonts w:hAnsi="ＭＳ 明朝" w:hint="eastAsia"/>
          <w:szCs w:val="21"/>
        </w:rPr>
        <w:t>少している。</w:t>
      </w:r>
    </w:p>
    <w:p w14:paraId="4E7EA446" w14:textId="77777777" w:rsidR="0098731C" w:rsidRPr="000D48EC" w:rsidRDefault="0098731C" w:rsidP="00460CA4">
      <w:pPr>
        <w:spacing w:line="360" w:lineRule="exact"/>
        <w:ind w:leftChars="86" w:left="359" w:rightChars="1906" w:right="4003" w:hangingChars="85" w:hanging="178"/>
        <w:rPr>
          <w:rFonts w:hAnsi="ＭＳ 明朝"/>
          <w:szCs w:val="21"/>
          <w:highlight w:val="yellow"/>
        </w:rPr>
      </w:pPr>
    </w:p>
    <w:p w14:paraId="6B70FD40" w14:textId="77777777" w:rsidR="00630801" w:rsidRDefault="00630801" w:rsidP="00460CA4">
      <w:pPr>
        <w:spacing w:line="360" w:lineRule="exact"/>
        <w:ind w:leftChars="86" w:left="359" w:rightChars="1906" w:right="4003" w:hangingChars="85" w:hanging="17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(5)  </w:t>
      </w:r>
      <w:r w:rsidR="0098731C" w:rsidRPr="000D48EC">
        <w:rPr>
          <w:rFonts w:hAnsi="ＭＳ 明朝" w:hint="eastAsia"/>
          <w:szCs w:val="21"/>
        </w:rPr>
        <w:t xml:space="preserve">一般会計と特別会計（Ⅱ　</w:t>
      </w:r>
      <w:r w:rsidR="00727480">
        <w:rPr>
          <w:rFonts w:hAnsi="ＭＳ 明朝" w:hint="eastAsia"/>
          <w:szCs w:val="21"/>
        </w:rPr>
        <w:t>３</w:t>
      </w:r>
      <w:r w:rsidR="0098731C" w:rsidRPr="000D48EC">
        <w:rPr>
          <w:rFonts w:hAnsi="ＭＳ 明朝" w:hint="eastAsia"/>
          <w:szCs w:val="21"/>
        </w:rPr>
        <w:t xml:space="preserve"> 特別会計　参照）</w:t>
      </w:r>
    </w:p>
    <w:p w14:paraId="68B068B3" w14:textId="77777777" w:rsidR="00630801" w:rsidRDefault="0098731C" w:rsidP="00460CA4">
      <w:pPr>
        <w:spacing w:line="360" w:lineRule="exact"/>
        <w:ind w:leftChars="170" w:left="357" w:rightChars="1906" w:right="4003" w:firstLineChars="50" w:firstLine="105"/>
        <w:rPr>
          <w:rFonts w:hAnsi="ＭＳ 明朝"/>
          <w:szCs w:val="21"/>
        </w:rPr>
      </w:pPr>
      <w:r w:rsidRPr="000D48EC">
        <w:rPr>
          <w:rFonts w:hAnsi="ＭＳ 明朝" w:hint="eastAsia"/>
          <w:szCs w:val="21"/>
        </w:rPr>
        <w:t>の額を合算したものから地方公営企業会計に係</w:t>
      </w:r>
    </w:p>
    <w:p w14:paraId="52AD7CCF" w14:textId="77777777" w:rsidR="00630801" w:rsidRDefault="0098731C" w:rsidP="00460CA4">
      <w:pPr>
        <w:spacing w:line="360" w:lineRule="exact"/>
        <w:ind w:leftChars="170" w:left="357" w:rightChars="1906" w:right="4003" w:firstLineChars="50" w:firstLine="105"/>
        <w:rPr>
          <w:rFonts w:hAnsi="ＭＳ 明朝"/>
          <w:szCs w:val="21"/>
        </w:rPr>
      </w:pPr>
      <w:r w:rsidRPr="000D48EC">
        <w:rPr>
          <w:rFonts w:hAnsi="ＭＳ 明朝" w:hint="eastAsia"/>
          <w:szCs w:val="21"/>
        </w:rPr>
        <w:t>る収支を除いた普通会計ベースでの実質収支は、</w:t>
      </w:r>
    </w:p>
    <w:p w14:paraId="6499EC9C" w14:textId="77777777" w:rsidR="00630801" w:rsidRDefault="0098731C" w:rsidP="00460CA4">
      <w:pPr>
        <w:spacing w:line="360" w:lineRule="exact"/>
        <w:ind w:leftChars="170" w:left="357" w:rightChars="1906" w:right="4003" w:firstLineChars="50" w:firstLine="105"/>
        <w:rPr>
          <w:rFonts w:hAnsi="ＭＳ 明朝"/>
          <w:szCs w:val="21"/>
        </w:rPr>
      </w:pPr>
      <w:r w:rsidRPr="000D48EC">
        <w:rPr>
          <w:rFonts w:hAnsi="ＭＳ 明朝" w:hint="eastAsia"/>
          <w:szCs w:val="21"/>
        </w:rPr>
        <w:t>124億円となっており、前年度に引</w:t>
      </w:r>
      <w:r w:rsidRPr="00DD2266">
        <w:rPr>
          <w:rFonts w:hAnsi="ＭＳ 明朝" w:hint="eastAsia"/>
          <w:szCs w:val="21"/>
        </w:rPr>
        <w:t>き続き赤字を</w:t>
      </w:r>
    </w:p>
    <w:p w14:paraId="00170D98" w14:textId="77777777" w:rsidR="00630801" w:rsidRDefault="0098731C" w:rsidP="00460CA4">
      <w:pPr>
        <w:spacing w:line="360" w:lineRule="exact"/>
        <w:ind w:leftChars="170" w:left="357" w:rightChars="1906" w:right="4003" w:firstLineChars="50" w:firstLine="105"/>
        <w:rPr>
          <w:rFonts w:hAnsi="ＭＳ 明朝"/>
          <w:szCs w:val="21"/>
        </w:rPr>
      </w:pPr>
      <w:r w:rsidRPr="00DD2266">
        <w:rPr>
          <w:rFonts w:hAnsi="ＭＳ 明朝" w:hint="eastAsia"/>
          <w:szCs w:val="21"/>
        </w:rPr>
        <w:t>回避している。財政構造の弾力性を示す指標であ</w:t>
      </w:r>
    </w:p>
    <w:p w14:paraId="0F71296F" w14:textId="77777777" w:rsidR="00630801" w:rsidRDefault="0098731C" w:rsidP="00460CA4">
      <w:pPr>
        <w:spacing w:line="360" w:lineRule="exact"/>
        <w:ind w:leftChars="170" w:left="357" w:rightChars="1906" w:right="4003" w:firstLineChars="50" w:firstLine="105"/>
        <w:rPr>
          <w:rFonts w:hAnsi="ＭＳ 明朝"/>
          <w:szCs w:val="21"/>
        </w:rPr>
      </w:pPr>
      <w:r w:rsidRPr="00DD2266">
        <w:rPr>
          <w:rFonts w:hAnsi="ＭＳ 明朝" w:hint="eastAsia"/>
          <w:szCs w:val="21"/>
        </w:rPr>
        <w:t>る経常収支比率は、</w:t>
      </w:r>
      <w:r>
        <w:rPr>
          <w:rFonts w:hAnsi="ＭＳ 明朝" w:hint="eastAsia"/>
          <w:szCs w:val="21"/>
        </w:rPr>
        <w:t>繰入金の減少、補助費等の減</w:t>
      </w:r>
    </w:p>
    <w:p w14:paraId="034F370F" w14:textId="77777777" w:rsidR="00630801" w:rsidRDefault="0098731C" w:rsidP="00460CA4">
      <w:pPr>
        <w:spacing w:line="360" w:lineRule="exact"/>
        <w:ind w:leftChars="170" w:left="357" w:rightChars="1906" w:right="4003" w:firstLineChars="50" w:firstLine="10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少等により</w:t>
      </w:r>
      <w:r w:rsidRPr="009414C0">
        <w:rPr>
          <w:rFonts w:hAnsi="ＭＳ 明朝" w:hint="eastAsia"/>
          <w:szCs w:val="21"/>
        </w:rPr>
        <w:t>、</w:t>
      </w:r>
      <w:r w:rsidRPr="00DD2266">
        <w:rPr>
          <w:rFonts w:hAnsi="ＭＳ 明朝" w:hint="eastAsia"/>
          <w:szCs w:val="21"/>
        </w:rPr>
        <w:t>前年度より5.7</w:t>
      </w:r>
      <w:r>
        <w:rPr>
          <w:rFonts w:hAnsi="ＭＳ 明朝" w:hint="eastAsia"/>
          <w:szCs w:val="21"/>
        </w:rPr>
        <w:t>ポイント上昇</w:t>
      </w:r>
      <w:r w:rsidRPr="00DD2266">
        <w:rPr>
          <w:rFonts w:hAnsi="ＭＳ 明朝" w:hint="eastAsia"/>
          <w:szCs w:val="21"/>
        </w:rPr>
        <w:t>し、</w:t>
      </w:r>
    </w:p>
    <w:p w14:paraId="10FFF045" w14:textId="77777777" w:rsidR="0098731C" w:rsidRPr="00B43F4A" w:rsidRDefault="0098731C" w:rsidP="00460CA4">
      <w:pPr>
        <w:spacing w:line="360" w:lineRule="exact"/>
        <w:ind w:leftChars="170" w:left="357" w:rightChars="1906" w:right="4003" w:firstLineChars="50" w:firstLine="105"/>
        <w:rPr>
          <w:rFonts w:hAnsi="ＭＳ 明朝"/>
          <w:szCs w:val="21"/>
        </w:rPr>
      </w:pPr>
      <w:r w:rsidRPr="00DD2266">
        <w:rPr>
          <w:rFonts w:hAnsi="ＭＳ 明朝" w:hint="eastAsia"/>
          <w:szCs w:val="21"/>
        </w:rPr>
        <w:t>97.0％となった。</w:t>
      </w:r>
    </w:p>
    <w:p w14:paraId="3C59D90B" w14:textId="2504665E" w:rsidR="007E542B" w:rsidRDefault="0098731C" w:rsidP="00460CA4">
      <w:pPr>
        <w:spacing w:line="360" w:lineRule="exact"/>
        <w:ind w:leftChars="86" w:left="359" w:rightChars="1906" w:right="4003" w:hangingChars="85" w:hanging="178"/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ab/>
      </w:r>
    </w:p>
    <w:sectPr w:rsidR="007E542B" w:rsidSect="00460C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361" w:right="1361" w:bottom="1361" w:left="1559" w:header="851" w:footer="284" w:gutter="0"/>
      <w:pgNumType w:fmt="numberInDash" w:start="36"/>
      <w:cols w:space="425"/>
      <w:docGrid w:type="lines" w:linePitch="300" w:charSpace="8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D2914" w14:textId="77777777" w:rsidR="003F5B59" w:rsidRDefault="003F5B59" w:rsidP="0041301D">
      <w:r>
        <w:separator/>
      </w:r>
    </w:p>
  </w:endnote>
  <w:endnote w:type="continuationSeparator" w:id="0">
    <w:p w14:paraId="20689EF9" w14:textId="77777777" w:rsidR="003F5B59" w:rsidRDefault="003F5B59" w:rsidP="0041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121B3" w14:textId="77777777" w:rsidR="003F5B59" w:rsidRDefault="003F5B59" w:rsidP="00721F4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- 44 -</w:t>
    </w:r>
    <w:r>
      <w:rPr>
        <w:rStyle w:val="ac"/>
      </w:rPr>
      <w:fldChar w:fldCharType="end"/>
    </w:r>
  </w:p>
  <w:p w14:paraId="1226CBE3" w14:textId="77777777" w:rsidR="003F5B59" w:rsidRDefault="003F5B5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3912" w14:textId="77777777" w:rsidR="003F5B59" w:rsidRDefault="003F5B5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7261" w14:textId="77777777" w:rsidR="00C4110D" w:rsidRDefault="00C411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23574" w14:textId="77777777" w:rsidR="003F5B59" w:rsidRDefault="003F5B59" w:rsidP="0041301D">
      <w:r>
        <w:separator/>
      </w:r>
    </w:p>
  </w:footnote>
  <w:footnote w:type="continuationSeparator" w:id="0">
    <w:p w14:paraId="5F5E3AB5" w14:textId="77777777" w:rsidR="003F5B59" w:rsidRDefault="003F5B59" w:rsidP="00413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6EABB" w14:textId="77777777" w:rsidR="00C4110D" w:rsidRDefault="00C4110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5F52C" w14:textId="77777777" w:rsidR="00C4110D" w:rsidRDefault="00C4110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E7CFB" w14:textId="77777777" w:rsidR="00C4110D" w:rsidRDefault="00C4110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0605"/>
    <w:multiLevelType w:val="hybridMultilevel"/>
    <w:tmpl w:val="2D520974"/>
    <w:lvl w:ilvl="0" w:tplc="150A700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F116E9E"/>
    <w:multiLevelType w:val="hybridMultilevel"/>
    <w:tmpl w:val="4ECAF5EE"/>
    <w:lvl w:ilvl="0" w:tplc="EEFA98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7D75315"/>
    <w:multiLevelType w:val="hybridMultilevel"/>
    <w:tmpl w:val="27F2EA5A"/>
    <w:lvl w:ilvl="0" w:tplc="2F5A0E5C">
      <w:start w:val="1"/>
      <w:numFmt w:val="decimal"/>
      <w:lvlText w:val="(%1)"/>
      <w:lvlJc w:val="left"/>
      <w:pPr>
        <w:ind w:left="8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61001A4D"/>
    <w:multiLevelType w:val="hybridMultilevel"/>
    <w:tmpl w:val="E6AA8DA0"/>
    <w:lvl w:ilvl="0" w:tplc="567C646C">
      <w:start w:val="1"/>
      <w:numFmt w:val="decimal"/>
      <w:lvlText w:val="(%1)"/>
      <w:lvlJc w:val="left"/>
      <w:pPr>
        <w:ind w:left="8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70F23D13"/>
    <w:multiLevelType w:val="hybridMultilevel"/>
    <w:tmpl w:val="4E882E66"/>
    <w:lvl w:ilvl="0" w:tplc="37BEDF5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6"/>
  <w:drawingGridVerticalSpacing w:val="15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01"/>
    <w:rsid w:val="000255BD"/>
    <w:rsid w:val="000305D3"/>
    <w:rsid w:val="00055358"/>
    <w:rsid w:val="0005673F"/>
    <w:rsid w:val="0006489D"/>
    <w:rsid w:val="00065AC1"/>
    <w:rsid w:val="00075019"/>
    <w:rsid w:val="000D178D"/>
    <w:rsid w:val="000D2DEF"/>
    <w:rsid w:val="000D48EC"/>
    <w:rsid w:val="001015C6"/>
    <w:rsid w:val="0010214B"/>
    <w:rsid w:val="00103286"/>
    <w:rsid w:val="0013592E"/>
    <w:rsid w:val="00176A3C"/>
    <w:rsid w:val="00182BC3"/>
    <w:rsid w:val="001B70BB"/>
    <w:rsid w:val="001D35B8"/>
    <w:rsid w:val="001E091E"/>
    <w:rsid w:val="001E2BFA"/>
    <w:rsid w:val="001E44DB"/>
    <w:rsid w:val="001F3A8E"/>
    <w:rsid w:val="00203663"/>
    <w:rsid w:val="00230847"/>
    <w:rsid w:val="00242A18"/>
    <w:rsid w:val="00250622"/>
    <w:rsid w:val="0025073E"/>
    <w:rsid w:val="00271FE2"/>
    <w:rsid w:val="00274529"/>
    <w:rsid w:val="00281D7C"/>
    <w:rsid w:val="002A3038"/>
    <w:rsid w:val="002A7611"/>
    <w:rsid w:val="002B0382"/>
    <w:rsid w:val="002C578A"/>
    <w:rsid w:val="00333F19"/>
    <w:rsid w:val="003400F7"/>
    <w:rsid w:val="003403EC"/>
    <w:rsid w:val="00366C00"/>
    <w:rsid w:val="00373685"/>
    <w:rsid w:val="00375F79"/>
    <w:rsid w:val="003804AC"/>
    <w:rsid w:val="00382F94"/>
    <w:rsid w:val="00383CD2"/>
    <w:rsid w:val="003845C3"/>
    <w:rsid w:val="003930AC"/>
    <w:rsid w:val="003C119E"/>
    <w:rsid w:val="003D7E4F"/>
    <w:rsid w:val="003F5B59"/>
    <w:rsid w:val="0041301D"/>
    <w:rsid w:val="00415E86"/>
    <w:rsid w:val="00460CA4"/>
    <w:rsid w:val="00460E1F"/>
    <w:rsid w:val="00486F24"/>
    <w:rsid w:val="00490976"/>
    <w:rsid w:val="00490E2A"/>
    <w:rsid w:val="004A02CA"/>
    <w:rsid w:val="004A57E3"/>
    <w:rsid w:val="004B019C"/>
    <w:rsid w:val="0052544A"/>
    <w:rsid w:val="00574032"/>
    <w:rsid w:val="005B371A"/>
    <w:rsid w:val="005C73E0"/>
    <w:rsid w:val="006007A0"/>
    <w:rsid w:val="00604B54"/>
    <w:rsid w:val="0061778E"/>
    <w:rsid w:val="006259BD"/>
    <w:rsid w:val="00630801"/>
    <w:rsid w:val="00662C7C"/>
    <w:rsid w:val="006B0428"/>
    <w:rsid w:val="006B0D08"/>
    <w:rsid w:val="006B7596"/>
    <w:rsid w:val="006C02D6"/>
    <w:rsid w:val="006C1365"/>
    <w:rsid w:val="006D19E3"/>
    <w:rsid w:val="006E174D"/>
    <w:rsid w:val="006E2D88"/>
    <w:rsid w:val="006E7D2C"/>
    <w:rsid w:val="00704901"/>
    <w:rsid w:val="00721F42"/>
    <w:rsid w:val="00727480"/>
    <w:rsid w:val="00731EDB"/>
    <w:rsid w:val="007410C7"/>
    <w:rsid w:val="00745FA6"/>
    <w:rsid w:val="0077130C"/>
    <w:rsid w:val="0078083F"/>
    <w:rsid w:val="00780F5E"/>
    <w:rsid w:val="0078466F"/>
    <w:rsid w:val="007A5106"/>
    <w:rsid w:val="007B4BC6"/>
    <w:rsid w:val="007D1BE0"/>
    <w:rsid w:val="007E542B"/>
    <w:rsid w:val="007E6FF5"/>
    <w:rsid w:val="007E736E"/>
    <w:rsid w:val="00803263"/>
    <w:rsid w:val="0082198D"/>
    <w:rsid w:val="00835276"/>
    <w:rsid w:val="00842600"/>
    <w:rsid w:val="008463C7"/>
    <w:rsid w:val="0086513A"/>
    <w:rsid w:val="00874929"/>
    <w:rsid w:val="00874958"/>
    <w:rsid w:val="0089058E"/>
    <w:rsid w:val="00890AF6"/>
    <w:rsid w:val="008959B9"/>
    <w:rsid w:val="00897419"/>
    <w:rsid w:val="008A30F4"/>
    <w:rsid w:val="008A474F"/>
    <w:rsid w:val="008A73F7"/>
    <w:rsid w:val="008E0546"/>
    <w:rsid w:val="008E5440"/>
    <w:rsid w:val="00903764"/>
    <w:rsid w:val="00911A6C"/>
    <w:rsid w:val="009637F3"/>
    <w:rsid w:val="00965485"/>
    <w:rsid w:val="0098731C"/>
    <w:rsid w:val="009D22E9"/>
    <w:rsid w:val="009D36D2"/>
    <w:rsid w:val="009D48AB"/>
    <w:rsid w:val="009F3D7A"/>
    <w:rsid w:val="009F7196"/>
    <w:rsid w:val="00A02EBB"/>
    <w:rsid w:val="00A175AC"/>
    <w:rsid w:val="00A3321E"/>
    <w:rsid w:val="00A4359A"/>
    <w:rsid w:val="00A47D64"/>
    <w:rsid w:val="00A50C61"/>
    <w:rsid w:val="00A52AE0"/>
    <w:rsid w:val="00A627E0"/>
    <w:rsid w:val="00A77ED4"/>
    <w:rsid w:val="00A94342"/>
    <w:rsid w:val="00AA46EB"/>
    <w:rsid w:val="00AB2C4B"/>
    <w:rsid w:val="00AE4ED3"/>
    <w:rsid w:val="00AE688C"/>
    <w:rsid w:val="00AF234E"/>
    <w:rsid w:val="00B103E5"/>
    <w:rsid w:val="00B12CEA"/>
    <w:rsid w:val="00B4377C"/>
    <w:rsid w:val="00B455C0"/>
    <w:rsid w:val="00B51C9C"/>
    <w:rsid w:val="00B53080"/>
    <w:rsid w:val="00B648BA"/>
    <w:rsid w:val="00B652E5"/>
    <w:rsid w:val="00B74E04"/>
    <w:rsid w:val="00B765F9"/>
    <w:rsid w:val="00B81182"/>
    <w:rsid w:val="00BD1D0D"/>
    <w:rsid w:val="00BD1FE2"/>
    <w:rsid w:val="00BE0B03"/>
    <w:rsid w:val="00C05877"/>
    <w:rsid w:val="00C06435"/>
    <w:rsid w:val="00C20D7D"/>
    <w:rsid w:val="00C32FDD"/>
    <w:rsid w:val="00C4110D"/>
    <w:rsid w:val="00C4178A"/>
    <w:rsid w:val="00C50649"/>
    <w:rsid w:val="00C57A04"/>
    <w:rsid w:val="00C77CA9"/>
    <w:rsid w:val="00C81289"/>
    <w:rsid w:val="00C94F99"/>
    <w:rsid w:val="00CA512A"/>
    <w:rsid w:val="00CB0ACA"/>
    <w:rsid w:val="00CC40B9"/>
    <w:rsid w:val="00CC5342"/>
    <w:rsid w:val="00CD6912"/>
    <w:rsid w:val="00CE3D91"/>
    <w:rsid w:val="00CE5DCF"/>
    <w:rsid w:val="00CF08F5"/>
    <w:rsid w:val="00CF7F4B"/>
    <w:rsid w:val="00D03348"/>
    <w:rsid w:val="00D2133E"/>
    <w:rsid w:val="00D248A2"/>
    <w:rsid w:val="00D32038"/>
    <w:rsid w:val="00D443F2"/>
    <w:rsid w:val="00D5033B"/>
    <w:rsid w:val="00D86D40"/>
    <w:rsid w:val="00D92A01"/>
    <w:rsid w:val="00D9528F"/>
    <w:rsid w:val="00DC196C"/>
    <w:rsid w:val="00DC4A9D"/>
    <w:rsid w:val="00DE382F"/>
    <w:rsid w:val="00E015DB"/>
    <w:rsid w:val="00E120E1"/>
    <w:rsid w:val="00E15FB9"/>
    <w:rsid w:val="00E16327"/>
    <w:rsid w:val="00E21EED"/>
    <w:rsid w:val="00E3326E"/>
    <w:rsid w:val="00E42BB5"/>
    <w:rsid w:val="00E55167"/>
    <w:rsid w:val="00E55FA0"/>
    <w:rsid w:val="00E60E67"/>
    <w:rsid w:val="00E62E7D"/>
    <w:rsid w:val="00E64560"/>
    <w:rsid w:val="00E732DE"/>
    <w:rsid w:val="00E95A34"/>
    <w:rsid w:val="00E96B89"/>
    <w:rsid w:val="00EA15D3"/>
    <w:rsid w:val="00EA45C3"/>
    <w:rsid w:val="00EB45CF"/>
    <w:rsid w:val="00EC074A"/>
    <w:rsid w:val="00EC31FA"/>
    <w:rsid w:val="00ED359B"/>
    <w:rsid w:val="00F14E29"/>
    <w:rsid w:val="00F357EA"/>
    <w:rsid w:val="00F722E3"/>
    <w:rsid w:val="00FA0C9F"/>
    <w:rsid w:val="00FA714A"/>
    <w:rsid w:val="00FB33FB"/>
    <w:rsid w:val="00FD3A32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963A6F"/>
  <w15:docId w15:val="{485BB6D3-F3AD-42D4-B194-544A21EC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7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D92A01"/>
    <w:pPr>
      <w:jc w:val="center"/>
      <w:outlineLvl w:val="0"/>
    </w:pPr>
    <w:rPr>
      <w:rFonts w:hAnsi="ＭＳ 明朝"/>
      <w:b/>
      <w:kern w:val="0"/>
      <w:sz w:val="32"/>
      <w:szCs w:val="32"/>
    </w:rPr>
  </w:style>
  <w:style w:type="paragraph" w:styleId="2">
    <w:name w:val="heading 2"/>
    <w:basedOn w:val="a"/>
    <w:next w:val="a"/>
    <w:link w:val="20"/>
    <w:qFormat/>
    <w:rsid w:val="00D92A01"/>
    <w:pPr>
      <w:spacing w:line="340" w:lineRule="exact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92A01"/>
    <w:rPr>
      <w:rFonts w:ascii="ＭＳ 明朝" w:eastAsia="ＭＳ 明朝" w:hAnsi="ＭＳ 明朝" w:cs="Times New Roman"/>
      <w:b/>
      <w:kern w:val="0"/>
      <w:sz w:val="32"/>
      <w:szCs w:val="32"/>
    </w:rPr>
  </w:style>
  <w:style w:type="character" w:customStyle="1" w:styleId="20">
    <w:name w:val="見出し 2 (文字)"/>
    <w:basedOn w:val="a0"/>
    <w:link w:val="2"/>
    <w:rsid w:val="00D92A01"/>
    <w:rPr>
      <w:rFonts w:ascii="Century" w:eastAsia="ＭＳ 明朝" w:hAnsi="Century" w:cs="Times New Roman"/>
      <w:b/>
      <w:sz w:val="28"/>
      <w:szCs w:val="28"/>
    </w:rPr>
  </w:style>
  <w:style w:type="character" w:styleId="a3">
    <w:name w:val="annotation reference"/>
    <w:basedOn w:val="a0"/>
    <w:rsid w:val="00D92A01"/>
    <w:rPr>
      <w:sz w:val="18"/>
      <w:szCs w:val="18"/>
    </w:rPr>
  </w:style>
  <w:style w:type="paragraph" w:styleId="a4">
    <w:name w:val="annotation text"/>
    <w:basedOn w:val="a"/>
    <w:link w:val="a5"/>
    <w:rsid w:val="00D92A01"/>
    <w:pPr>
      <w:jc w:val="left"/>
    </w:pPr>
  </w:style>
  <w:style w:type="character" w:customStyle="1" w:styleId="a5">
    <w:name w:val="コメント文字列 (文字)"/>
    <w:basedOn w:val="a0"/>
    <w:link w:val="a4"/>
    <w:rsid w:val="00D92A01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2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2A0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ody Text Indent"/>
    <w:basedOn w:val="a"/>
    <w:link w:val="a9"/>
    <w:rsid w:val="00375F79"/>
    <w:pPr>
      <w:ind w:firstLineChars="100" w:firstLine="195"/>
    </w:pPr>
  </w:style>
  <w:style w:type="character" w:customStyle="1" w:styleId="a9">
    <w:name w:val="本文インデント (文字)"/>
    <w:basedOn w:val="a0"/>
    <w:link w:val="a8"/>
    <w:rsid w:val="00375F7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rsid w:val="000D17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178D"/>
    <w:rPr>
      <w:rFonts w:ascii="Century" w:eastAsia="ＭＳ 明朝" w:hAnsi="Century" w:cs="Times New Roman"/>
      <w:szCs w:val="24"/>
    </w:rPr>
  </w:style>
  <w:style w:type="character" w:styleId="ac">
    <w:name w:val="page number"/>
    <w:basedOn w:val="a0"/>
    <w:rsid w:val="000D178D"/>
  </w:style>
  <w:style w:type="paragraph" w:styleId="ad">
    <w:name w:val="header"/>
    <w:basedOn w:val="a"/>
    <w:link w:val="ae"/>
    <w:uiPriority w:val="99"/>
    <w:unhideWhenUsed/>
    <w:rsid w:val="004130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1301D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3C119E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rsid w:val="003C119E"/>
    <w:rPr>
      <w:rFonts w:ascii="Century" w:eastAsia="ＭＳ 明朝" w:hAnsi="Century" w:cs="Times New Roman"/>
      <w:b/>
      <w:bCs/>
      <w:szCs w:val="24"/>
    </w:rPr>
  </w:style>
  <w:style w:type="paragraph" w:styleId="af1">
    <w:name w:val="List Paragraph"/>
    <w:basedOn w:val="a"/>
    <w:uiPriority w:val="34"/>
    <w:qFormat/>
    <w:rsid w:val="00C058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903B4-9B2C-40D1-A2B4-97DF3085E9F7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D74C9D-CA5B-40FF-B9CE-014C42F96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A9DB87-81D5-4974-9AD3-B47C9C68E4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6098F2-D3A5-448D-A5CC-1963F7B3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Suzuki, Takashi T. (AZSA/Osaka)</dc:creator>
  <cp:lastModifiedBy>大阪府</cp:lastModifiedBy>
  <cp:revision>2</cp:revision>
  <cp:lastPrinted>2012-10-02T06:50:00Z</cp:lastPrinted>
  <dcterms:created xsi:type="dcterms:W3CDTF">2020-11-13T05:40:00Z</dcterms:created>
  <dcterms:modified xsi:type="dcterms:W3CDTF">2020-11-13T05:40:00Z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