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D0" w:rsidRDefault="002634D0">
      <w:pPr>
        <w:rPr>
          <w:rFonts w:hint="eastAsia"/>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rsidP="002634D0">
      <w:pPr>
        <w:jc w:val="center"/>
        <w:rPr>
          <w:rFonts w:asciiTheme="majorEastAsia" w:eastAsiaTheme="majorEastAsia" w:hAnsiTheme="majorEastAsia"/>
          <w:color w:val="000000" w:themeColor="text1"/>
          <w:sz w:val="84"/>
          <w:szCs w:val="84"/>
        </w:rPr>
      </w:pPr>
      <w:r w:rsidRPr="00C157DD">
        <w:rPr>
          <w:rFonts w:asciiTheme="majorEastAsia" w:eastAsiaTheme="majorEastAsia" w:hAnsiTheme="majorEastAsia" w:hint="eastAsia"/>
          <w:color w:val="000000" w:themeColor="text1"/>
          <w:sz w:val="84"/>
          <w:szCs w:val="84"/>
        </w:rPr>
        <w:t>公債費負担適正化計画</w:t>
      </w:r>
    </w:p>
    <w:p w:rsidR="002634D0" w:rsidRPr="00C157DD" w:rsidRDefault="002634D0">
      <w:pPr>
        <w:rPr>
          <w:color w:val="000000" w:themeColor="text1"/>
        </w:rPr>
      </w:pPr>
    </w:p>
    <w:p w:rsidR="002634D0" w:rsidRPr="00C157DD" w:rsidRDefault="00567719" w:rsidP="002634D0">
      <w:pPr>
        <w:jc w:val="center"/>
        <w:rPr>
          <w:rFonts w:asciiTheme="majorEastAsia" w:eastAsiaTheme="majorEastAsia" w:hAnsiTheme="majorEastAsia"/>
          <w:color w:val="000000" w:themeColor="text1"/>
          <w:sz w:val="44"/>
          <w:szCs w:val="44"/>
        </w:rPr>
      </w:pPr>
      <w:r w:rsidRPr="00C157DD">
        <w:rPr>
          <w:rFonts w:asciiTheme="majorEastAsia" w:eastAsiaTheme="majorEastAsia" w:hAnsiTheme="majorEastAsia" w:hint="eastAsia"/>
          <w:color w:val="000000" w:themeColor="text1"/>
          <w:sz w:val="44"/>
          <w:szCs w:val="44"/>
        </w:rPr>
        <w:t>平成２４</w:t>
      </w:r>
      <w:r w:rsidR="002634D0" w:rsidRPr="00C157DD">
        <w:rPr>
          <w:rFonts w:asciiTheme="majorEastAsia" w:eastAsiaTheme="majorEastAsia" w:hAnsiTheme="majorEastAsia" w:hint="eastAsia"/>
          <w:color w:val="000000" w:themeColor="text1"/>
          <w:sz w:val="44"/>
          <w:szCs w:val="44"/>
        </w:rPr>
        <w:t>年９月</w:t>
      </w:r>
    </w:p>
    <w:p w:rsidR="002634D0" w:rsidRPr="00C157DD" w:rsidRDefault="008C3006" w:rsidP="00567719">
      <w:pPr>
        <w:jc w:val="center"/>
        <w:rPr>
          <w:color w:val="000000" w:themeColor="text1"/>
          <w:sz w:val="20"/>
        </w:rPr>
      </w:pPr>
      <w:r>
        <w:rPr>
          <w:rFonts w:asciiTheme="majorEastAsia" w:eastAsiaTheme="majorEastAsia" w:hAnsiTheme="majorEastAsia" w:hint="eastAsia"/>
          <w:color w:val="000000" w:themeColor="text1"/>
          <w:sz w:val="40"/>
          <w:szCs w:val="44"/>
        </w:rPr>
        <w:t>（平成２９</w:t>
      </w:r>
      <w:r w:rsidR="00567719" w:rsidRPr="00C157DD">
        <w:rPr>
          <w:rFonts w:asciiTheme="majorEastAsia" w:eastAsiaTheme="majorEastAsia" w:hAnsiTheme="majorEastAsia" w:hint="eastAsia"/>
          <w:color w:val="000000" w:themeColor="text1"/>
          <w:sz w:val="40"/>
          <w:szCs w:val="44"/>
        </w:rPr>
        <w:t>年９月</w:t>
      </w:r>
      <w:r w:rsidR="00D428E7" w:rsidRPr="00C157DD">
        <w:rPr>
          <w:rFonts w:asciiTheme="majorEastAsia" w:eastAsiaTheme="majorEastAsia" w:hAnsiTheme="majorEastAsia" w:hint="eastAsia"/>
          <w:color w:val="000000" w:themeColor="text1"/>
          <w:sz w:val="40"/>
          <w:szCs w:val="44"/>
        </w:rPr>
        <w:t>改訂</w:t>
      </w:r>
      <w:r w:rsidR="00567719" w:rsidRPr="00C157DD">
        <w:rPr>
          <w:rFonts w:asciiTheme="majorEastAsia" w:eastAsiaTheme="majorEastAsia" w:hAnsiTheme="majorEastAsia" w:hint="eastAsia"/>
          <w:color w:val="000000" w:themeColor="text1"/>
          <w:sz w:val="40"/>
          <w:szCs w:val="44"/>
        </w:rPr>
        <w:t>）</w:t>
      </w: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pPr>
        <w:rPr>
          <w:color w:val="000000" w:themeColor="text1"/>
        </w:rPr>
      </w:pPr>
    </w:p>
    <w:p w:rsidR="002634D0" w:rsidRPr="00C157DD" w:rsidRDefault="002634D0" w:rsidP="002634D0">
      <w:pPr>
        <w:jc w:val="center"/>
        <w:rPr>
          <w:rFonts w:asciiTheme="majorEastAsia" w:eastAsiaTheme="majorEastAsia" w:hAnsiTheme="majorEastAsia"/>
          <w:color w:val="000000" w:themeColor="text1"/>
          <w:sz w:val="56"/>
          <w:szCs w:val="56"/>
        </w:rPr>
      </w:pPr>
      <w:r w:rsidRPr="00C157DD">
        <w:rPr>
          <w:rFonts w:asciiTheme="majorEastAsia" w:eastAsiaTheme="majorEastAsia" w:hAnsiTheme="majorEastAsia" w:hint="eastAsia"/>
          <w:color w:val="000000" w:themeColor="text1"/>
          <w:sz w:val="56"/>
          <w:szCs w:val="56"/>
        </w:rPr>
        <w:t>大　　阪　　府</w:t>
      </w:r>
    </w:p>
    <w:p w:rsidR="002634D0" w:rsidRPr="00C157DD" w:rsidRDefault="002634D0">
      <w:pPr>
        <w:widowControl/>
        <w:jc w:val="left"/>
        <w:rPr>
          <w:color w:val="000000" w:themeColor="text1"/>
        </w:rPr>
      </w:pPr>
      <w:r w:rsidRPr="00C157DD">
        <w:rPr>
          <w:color w:val="000000" w:themeColor="text1"/>
        </w:rPr>
        <w:br w:type="page"/>
      </w:r>
    </w:p>
    <w:p w:rsidR="00B87D45" w:rsidRPr="00CD5480" w:rsidRDefault="00B87D45">
      <w:pPr>
        <w:rPr>
          <w:rFonts w:asciiTheme="majorEastAsia" w:eastAsiaTheme="majorEastAsia" w:hAnsiTheme="majorEastAsia"/>
          <w:color w:val="000000" w:themeColor="text1"/>
        </w:rPr>
      </w:pPr>
    </w:p>
    <w:p w:rsidR="002634D0" w:rsidRPr="00C157DD" w:rsidRDefault="002634D0">
      <w:pPr>
        <w:rPr>
          <w:rFonts w:asciiTheme="majorEastAsia" w:eastAsiaTheme="majorEastAsia" w:hAnsiTheme="majorEastAsia"/>
          <w:color w:val="000000" w:themeColor="text1"/>
        </w:rPr>
      </w:pPr>
      <w:r w:rsidRPr="00C157DD">
        <w:rPr>
          <w:rFonts w:asciiTheme="majorEastAsia" w:eastAsiaTheme="majorEastAsia" w:hAnsiTheme="majorEastAsia" w:hint="eastAsia"/>
          <w:color w:val="000000" w:themeColor="text1"/>
        </w:rPr>
        <w:t>第１　計画の趣旨</w:t>
      </w:r>
    </w:p>
    <w:p w:rsidR="002634D0" w:rsidRPr="00C157DD" w:rsidRDefault="002634D0">
      <w:pPr>
        <w:rPr>
          <w:color w:val="000000" w:themeColor="text1"/>
        </w:rPr>
      </w:pPr>
    </w:p>
    <w:p w:rsidR="007C3FB5" w:rsidRPr="00C157DD" w:rsidRDefault="007C3FB5" w:rsidP="00C323C2">
      <w:pPr>
        <w:ind w:leftChars="135" w:left="283" w:firstLineChars="135" w:firstLine="283"/>
        <w:rPr>
          <w:color w:val="000000" w:themeColor="text1"/>
        </w:rPr>
      </w:pPr>
      <w:r w:rsidRPr="00C157DD">
        <w:rPr>
          <w:rFonts w:hint="eastAsia"/>
          <w:color w:val="000000" w:themeColor="text1"/>
        </w:rPr>
        <w:t>実質公債費比率が１８％以上となった地方公共</w:t>
      </w:r>
      <w:r w:rsidR="002D7B09" w:rsidRPr="00C157DD">
        <w:rPr>
          <w:rFonts w:hint="eastAsia"/>
          <w:color w:val="000000" w:themeColor="text1"/>
        </w:rPr>
        <w:t>団体については、地方債の発行にあたり、公債費負担適正化計画を策定</w:t>
      </w:r>
      <w:r w:rsidRPr="00C157DD">
        <w:rPr>
          <w:rFonts w:hint="eastAsia"/>
          <w:color w:val="000000" w:themeColor="text1"/>
        </w:rPr>
        <w:t>することになっている。</w:t>
      </w:r>
    </w:p>
    <w:p w:rsidR="002634D0" w:rsidRPr="00C157DD" w:rsidRDefault="002634D0" w:rsidP="00C323C2">
      <w:pPr>
        <w:ind w:leftChars="135" w:left="283" w:firstLineChars="135" w:firstLine="283"/>
        <w:rPr>
          <w:color w:val="000000" w:themeColor="text1"/>
        </w:rPr>
      </w:pPr>
      <w:r w:rsidRPr="00C157DD">
        <w:rPr>
          <w:rFonts w:hint="eastAsia"/>
          <w:color w:val="000000" w:themeColor="text1"/>
        </w:rPr>
        <w:t>本府において</w:t>
      </w:r>
      <w:r w:rsidR="00C323C2" w:rsidRPr="00C157DD">
        <w:rPr>
          <w:rFonts w:hint="eastAsia"/>
          <w:color w:val="000000" w:themeColor="text1"/>
        </w:rPr>
        <w:t>は</w:t>
      </w:r>
      <w:r w:rsidRPr="00C157DD">
        <w:rPr>
          <w:rFonts w:hint="eastAsia"/>
          <w:color w:val="000000" w:themeColor="text1"/>
        </w:rPr>
        <w:t>、</w:t>
      </w:r>
      <w:r w:rsidR="00104867" w:rsidRPr="00C157DD">
        <w:rPr>
          <w:rFonts w:hint="eastAsia"/>
          <w:color w:val="000000" w:themeColor="text1"/>
        </w:rPr>
        <w:t>平成</w:t>
      </w:r>
      <w:r w:rsidR="007C3FB5" w:rsidRPr="00C157DD">
        <w:rPr>
          <w:rFonts w:hint="eastAsia"/>
          <w:color w:val="000000" w:themeColor="text1"/>
        </w:rPr>
        <w:t>２４</w:t>
      </w:r>
      <w:r w:rsidR="00C323C2" w:rsidRPr="00C157DD">
        <w:rPr>
          <w:rFonts w:hint="eastAsia"/>
          <w:color w:val="000000" w:themeColor="text1"/>
        </w:rPr>
        <w:t>年度</w:t>
      </w:r>
      <w:r w:rsidR="004529F8">
        <w:rPr>
          <w:rFonts w:hint="eastAsia"/>
          <w:color w:val="000000" w:themeColor="text1"/>
        </w:rPr>
        <w:t>（平成２１～２３年度平均）</w:t>
      </w:r>
      <w:r w:rsidR="00C323C2" w:rsidRPr="00C157DD">
        <w:rPr>
          <w:rFonts w:hint="eastAsia"/>
          <w:color w:val="000000" w:themeColor="text1"/>
        </w:rPr>
        <w:t>の</w:t>
      </w:r>
      <w:r w:rsidRPr="00C157DD">
        <w:rPr>
          <w:rFonts w:hint="eastAsia"/>
          <w:color w:val="000000" w:themeColor="text1"/>
        </w:rPr>
        <w:t>実質公債費比率</w:t>
      </w:r>
      <w:r w:rsidR="00C323C2" w:rsidRPr="00C157DD">
        <w:rPr>
          <w:rFonts w:hint="eastAsia"/>
          <w:color w:val="000000" w:themeColor="text1"/>
        </w:rPr>
        <w:t>が</w:t>
      </w:r>
      <w:r w:rsidR="007C3FB5" w:rsidRPr="00C157DD">
        <w:rPr>
          <w:rFonts w:hint="eastAsia"/>
          <w:color w:val="000000" w:themeColor="text1"/>
        </w:rPr>
        <w:t>１８．４</w:t>
      </w:r>
      <w:r w:rsidR="00812E4B" w:rsidRPr="00C157DD">
        <w:rPr>
          <w:rFonts w:hint="eastAsia"/>
          <w:color w:val="000000" w:themeColor="text1"/>
        </w:rPr>
        <w:t>％</w:t>
      </w:r>
      <w:r w:rsidR="00C323C2" w:rsidRPr="00C157DD">
        <w:rPr>
          <w:rFonts w:hint="eastAsia"/>
          <w:color w:val="000000" w:themeColor="text1"/>
        </w:rPr>
        <w:t>となったことから、実質</w:t>
      </w:r>
      <w:r w:rsidR="00812E4B" w:rsidRPr="00C157DD">
        <w:rPr>
          <w:rFonts w:hint="eastAsia"/>
          <w:color w:val="000000" w:themeColor="text1"/>
        </w:rPr>
        <w:t>公債費比率の適正化を図る計画</w:t>
      </w:r>
      <w:r w:rsidR="00F95374" w:rsidRPr="00C157DD">
        <w:rPr>
          <w:rFonts w:hint="eastAsia"/>
          <w:color w:val="000000" w:themeColor="text1"/>
        </w:rPr>
        <w:t>「公債費</w:t>
      </w:r>
      <w:r w:rsidR="007C3FB5" w:rsidRPr="00C157DD">
        <w:rPr>
          <w:rFonts w:hint="eastAsia"/>
          <w:color w:val="000000" w:themeColor="text1"/>
        </w:rPr>
        <w:t>負担</w:t>
      </w:r>
      <w:r w:rsidR="00F95374" w:rsidRPr="00C157DD">
        <w:rPr>
          <w:rFonts w:hint="eastAsia"/>
          <w:color w:val="000000" w:themeColor="text1"/>
        </w:rPr>
        <w:t>適正化計画」を策定する</w:t>
      </w:r>
      <w:r w:rsidR="00C323C2" w:rsidRPr="00C157DD">
        <w:rPr>
          <w:rFonts w:hint="eastAsia"/>
          <w:color w:val="000000" w:themeColor="text1"/>
        </w:rPr>
        <w:t>。</w:t>
      </w:r>
    </w:p>
    <w:p w:rsidR="002634D0" w:rsidRPr="00C157DD" w:rsidRDefault="002634D0">
      <w:pPr>
        <w:rPr>
          <w:color w:val="000000" w:themeColor="text1"/>
        </w:rPr>
      </w:pPr>
    </w:p>
    <w:p w:rsidR="008722B6" w:rsidRPr="00C157DD" w:rsidRDefault="008722B6">
      <w:pPr>
        <w:rPr>
          <w:color w:val="000000" w:themeColor="text1"/>
        </w:rPr>
      </w:pPr>
    </w:p>
    <w:p w:rsidR="00913D64" w:rsidRPr="00C157DD" w:rsidRDefault="00913D64">
      <w:pPr>
        <w:rPr>
          <w:color w:val="000000" w:themeColor="text1"/>
        </w:rPr>
      </w:pPr>
    </w:p>
    <w:p w:rsidR="00513C19" w:rsidRPr="00C157DD" w:rsidRDefault="00C323C2">
      <w:pPr>
        <w:rPr>
          <w:rFonts w:asciiTheme="majorEastAsia" w:eastAsiaTheme="majorEastAsia" w:hAnsiTheme="majorEastAsia"/>
          <w:color w:val="000000" w:themeColor="text1"/>
        </w:rPr>
      </w:pPr>
      <w:r w:rsidRPr="00C157DD">
        <w:rPr>
          <w:rFonts w:asciiTheme="majorEastAsia" w:eastAsiaTheme="majorEastAsia" w:hAnsiTheme="majorEastAsia" w:hint="eastAsia"/>
          <w:color w:val="000000" w:themeColor="text1"/>
        </w:rPr>
        <w:t xml:space="preserve">第２　</w:t>
      </w:r>
      <w:r w:rsidR="00104867" w:rsidRPr="00C157DD">
        <w:rPr>
          <w:rFonts w:asciiTheme="majorEastAsia" w:eastAsiaTheme="majorEastAsia" w:hAnsiTheme="majorEastAsia" w:hint="eastAsia"/>
          <w:color w:val="000000" w:themeColor="text1"/>
        </w:rPr>
        <w:t>実質公債費比率が</w:t>
      </w:r>
      <w:r w:rsidR="00812E4B" w:rsidRPr="00C157DD">
        <w:rPr>
          <w:rFonts w:asciiTheme="majorEastAsia" w:eastAsiaTheme="majorEastAsia" w:hAnsiTheme="majorEastAsia" w:hint="eastAsia"/>
          <w:color w:val="000000" w:themeColor="text1"/>
        </w:rPr>
        <w:t>１８</w:t>
      </w:r>
      <w:r w:rsidRPr="00C157DD">
        <w:rPr>
          <w:rFonts w:asciiTheme="majorEastAsia" w:eastAsiaTheme="majorEastAsia" w:hAnsiTheme="majorEastAsia" w:hint="eastAsia"/>
          <w:color w:val="000000" w:themeColor="text1"/>
        </w:rPr>
        <w:t>％以上となった</w:t>
      </w:r>
      <w:r w:rsidR="001D52D8" w:rsidRPr="00C157DD">
        <w:rPr>
          <w:rFonts w:asciiTheme="majorEastAsia" w:eastAsiaTheme="majorEastAsia" w:hAnsiTheme="majorEastAsia" w:hint="eastAsia"/>
          <w:color w:val="000000" w:themeColor="text1"/>
        </w:rPr>
        <w:t>原因の分析</w:t>
      </w:r>
    </w:p>
    <w:p w:rsidR="002E7A01" w:rsidRPr="00C157DD" w:rsidRDefault="002E7A01">
      <w:pPr>
        <w:rPr>
          <w:color w:val="000000" w:themeColor="text1"/>
        </w:rPr>
      </w:pPr>
    </w:p>
    <w:p w:rsidR="00050432" w:rsidRPr="00C157DD" w:rsidRDefault="003B4738" w:rsidP="00752B95">
      <w:pPr>
        <w:ind w:leftChars="135" w:left="283" w:firstLineChars="135" w:firstLine="283"/>
        <w:rPr>
          <w:color w:val="000000" w:themeColor="text1"/>
        </w:rPr>
      </w:pPr>
      <w:r w:rsidRPr="00C157DD">
        <w:rPr>
          <w:rFonts w:hint="eastAsia"/>
          <w:color w:val="000000" w:themeColor="text1"/>
        </w:rPr>
        <w:t>本府では、平成４年度以降、国の経済対策に呼応して実施した建設事業費の追加や、景気低迷期における財源対策等による府債発行額の大幅な増加に伴い、</w:t>
      </w:r>
      <w:r w:rsidR="00E103AF" w:rsidRPr="00C157DD">
        <w:rPr>
          <w:rFonts w:hint="eastAsia"/>
          <w:color w:val="000000" w:themeColor="text1"/>
        </w:rPr>
        <w:t>府債残高や公債費が高い水準となっている</w:t>
      </w:r>
      <w:r w:rsidR="00050432" w:rsidRPr="00C157DD">
        <w:rPr>
          <w:rFonts w:hint="eastAsia"/>
          <w:color w:val="000000" w:themeColor="text1"/>
        </w:rPr>
        <w:t>。</w:t>
      </w:r>
    </w:p>
    <w:p w:rsidR="00752B95" w:rsidRPr="00C157DD" w:rsidRDefault="00104867" w:rsidP="00752B95">
      <w:pPr>
        <w:ind w:leftChars="135" w:left="283" w:firstLineChars="135" w:firstLine="283"/>
        <w:rPr>
          <w:color w:val="000000" w:themeColor="text1"/>
        </w:rPr>
      </w:pPr>
      <w:r w:rsidRPr="00C157DD">
        <w:rPr>
          <w:rFonts w:hint="eastAsia"/>
          <w:color w:val="000000" w:themeColor="text1"/>
        </w:rPr>
        <w:t>平成</w:t>
      </w:r>
      <w:r w:rsidR="00812E4B" w:rsidRPr="00C157DD">
        <w:rPr>
          <w:rFonts w:hint="eastAsia"/>
          <w:color w:val="000000" w:themeColor="text1"/>
        </w:rPr>
        <w:t>１８</w:t>
      </w:r>
      <w:r w:rsidR="00752B95" w:rsidRPr="00C157DD">
        <w:rPr>
          <w:rFonts w:hint="eastAsia"/>
          <w:color w:val="000000" w:themeColor="text1"/>
        </w:rPr>
        <w:t>年度に導入された実質公債費比率の算定においては、地方債に関する省令に定めるところにより算出される</w:t>
      </w:r>
      <w:r w:rsidR="00821E22" w:rsidRPr="00C157DD">
        <w:rPr>
          <w:rFonts w:hint="eastAsia"/>
          <w:color w:val="000000" w:themeColor="text1"/>
        </w:rPr>
        <w:t>（以下「実質公債費比率算定ルール」という。）</w:t>
      </w:r>
      <w:r w:rsidR="00752B95" w:rsidRPr="00C157DD">
        <w:rPr>
          <w:rFonts w:hint="eastAsia"/>
          <w:color w:val="000000" w:themeColor="text1"/>
        </w:rPr>
        <w:t>減債基金積立</w:t>
      </w:r>
      <w:r w:rsidR="00821E22" w:rsidRPr="00C157DD">
        <w:rPr>
          <w:rFonts w:hint="eastAsia"/>
          <w:color w:val="000000" w:themeColor="text1"/>
        </w:rPr>
        <w:t>必要額</w:t>
      </w:r>
      <w:r w:rsidR="00752B95" w:rsidRPr="00C157DD">
        <w:rPr>
          <w:rFonts w:hint="eastAsia"/>
          <w:color w:val="000000" w:themeColor="text1"/>
        </w:rPr>
        <w:t>に対し、実際の減債基金残高が不足する場合は、その不足額を考慮して算定した額</w:t>
      </w:r>
      <w:r w:rsidR="00B351D3" w:rsidRPr="00C157DD">
        <w:rPr>
          <w:rFonts w:hint="eastAsia"/>
          <w:color w:val="000000" w:themeColor="text1"/>
        </w:rPr>
        <w:t>を</w:t>
      </w:r>
      <w:r w:rsidRPr="00C157DD">
        <w:rPr>
          <w:rFonts w:hint="eastAsia"/>
          <w:color w:val="000000" w:themeColor="text1"/>
        </w:rPr>
        <w:t>毎年度の元利償還金に加え</w:t>
      </w:r>
      <w:r w:rsidR="00752B95" w:rsidRPr="00C157DD">
        <w:rPr>
          <w:rFonts w:hint="eastAsia"/>
          <w:color w:val="000000" w:themeColor="text1"/>
        </w:rPr>
        <w:t>計上</w:t>
      </w:r>
      <w:r w:rsidR="00821E22" w:rsidRPr="00C157DD">
        <w:rPr>
          <w:rFonts w:hint="eastAsia"/>
          <w:color w:val="000000" w:themeColor="text1"/>
        </w:rPr>
        <w:t>される</w:t>
      </w:r>
      <w:r w:rsidR="00752B95" w:rsidRPr="00C157DD">
        <w:rPr>
          <w:rFonts w:hint="eastAsia"/>
          <w:color w:val="000000" w:themeColor="text1"/>
        </w:rPr>
        <w:t>。</w:t>
      </w:r>
    </w:p>
    <w:p w:rsidR="008B70C1" w:rsidRPr="00C157DD" w:rsidRDefault="00104867" w:rsidP="00E6015C">
      <w:pPr>
        <w:ind w:leftChars="135" w:left="283" w:firstLineChars="135" w:firstLine="283"/>
        <w:rPr>
          <w:color w:val="000000" w:themeColor="text1"/>
        </w:rPr>
      </w:pPr>
      <w:r w:rsidRPr="00C157DD">
        <w:rPr>
          <w:rFonts w:hint="eastAsia"/>
          <w:color w:val="000000" w:themeColor="text1"/>
        </w:rPr>
        <w:t>本府においては、平成</w:t>
      </w:r>
      <w:r w:rsidR="00812E4B" w:rsidRPr="00C157DD">
        <w:rPr>
          <w:rFonts w:hint="eastAsia"/>
          <w:color w:val="000000" w:themeColor="text1"/>
        </w:rPr>
        <w:t>８</w:t>
      </w:r>
      <w:r w:rsidR="00DB4074" w:rsidRPr="00C157DD">
        <w:rPr>
          <w:rFonts w:hint="eastAsia"/>
          <w:color w:val="000000" w:themeColor="text1"/>
        </w:rPr>
        <w:t>年</w:t>
      </w:r>
      <w:r w:rsidR="005B3DB7" w:rsidRPr="00C157DD">
        <w:rPr>
          <w:rFonts w:hint="eastAsia"/>
          <w:color w:val="000000" w:themeColor="text1"/>
        </w:rPr>
        <w:t>度</w:t>
      </w:r>
      <w:r w:rsidR="00DB4074" w:rsidRPr="00C157DD">
        <w:rPr>
          <w:rFonts w:hint="eastAsia"/>
          <w:color w:val="000000" w:themeColor="text1"/>
        </w:rPr>
        <w:t>以降、財政再建団体転落回避を最大の課題として、人件費の抑制、施策の重点化などを進めてきた。しかし、歳出が歳入を上回る恒常的な赤字</w:t>
      </w:r>
      <w:r w:rsidRPr="00C157DD">
        <w:rPr>
          <w:rFonts w:hint="eastAsia"/>
          <w:color w:val="000000" w:themeColor="text1"/>
        </w:rPr>
        <w:t>構造を根本的に解決するには至らず、減債基金からの借入れ（平成</w:t>
      </w:r>
      <w:r w:rsidR="00812E4B" w:rsidRPr="00C157DD">
        <w:rPr>
          <w:rFonts w:hint="eastAsia"/>
          <w:color w:val="000000" w:themeColor="text1"/>
        </w:rPr>
        <w:t>１３</w:t>
      </w:r>
      <w:r w:rsidRPr="00C157DD">
        <w:rPr>
          <w:rFonts w:hint="eastAsia"/>
          <w:color w:val="000000" w:themeColor="text1"/>
        </w:rPr>
        <w:t>～</w:t>
      </w:r>
      <w:r w:rsidR="00812E4B" w:rsidRPr="00C157DD">
        <w:rPr>
          <w:rFonts w:hint="eastAsia"/>
          <w:color w:val="000000" w:themeColor="text1"/>
        </w:rPr>
        <w:t>１９</w:t>
      </w:r>
      <w:r w:rsidR="00DB4074" w:rsidRPr="00C157DD">
        <w:rPr>
          <w:rFonts w:hint="eastAsia"/>
          <w:color w:val="000000" w:themeColor="text1"/>
        </w:rPr>
        <w:t>年度　累計</w:t>
      </w:r>
      <w:r w:rsidR="00812E4B" w:rsidRPr="00C157DD">
        <w:rPr>
          <w:rFonts w:hint="eastAsia"/>
          <w:color w:val="000000" w:themeColor="text1"/>
        </w:rPr>
        <w:t>５，２０２</w:t>
      </w:r>
      <w:r w:rsidRPr="00C157DD">
        <w:rPr>
          <w:rFonts w:hint="eastAsia"/>
          <w:color w:val="000000" w:themeColor="text1"/>
        </w:rPr>
        <w:t>億円）や借換債の増発（平成</w:t>
      </w:r>
      <w:r w:rsidR="00812E4B" w:rsidRPr="00C157DD">
        <w:rPr>
          <w:rFonts w:hint="eastAsia"/>
          <w:color w:val="000000" w:themeColor="text1"/>
        </w:rPr>
        <w:t>１６</w:t>
      </w:r>
      <w:r w:rsidRPr="00C157DD">
        <w:rPr>
          <w:rFonts w:hint="eastAsia"/>
          <w:color w:val="000000" w:themeColor="text1"/>
        </w:rPr>
        <w:t>～</w:t>
      </w:r>
      <w:r w:rsidR="00812E4B" w:rsidRPr="00C157DD">
        <w:rPr>
          <w:rFonts w:hint="eastAsia"/>
          <w:color w:val="000000" w:themeColor="text1"/>
        </w:rPr>
        <w:t>１９</w:t>
      </w:r>
      <w:r w:rsidR="00DB4074" w:rsidRPr="00C157DD">
        <w:rPr>
          <w:rFonts w:hint="eastAsia"/>
          <w:color w:val="000000" w:themeColor="text1"/>
        </w:rPr>
        <w:t>年度　発行額</w:t>
      </w:r>
      <w:r w:rsidR="00812E4B" w:rsidRPr="00C157DD">
        <w:rPr>
          <w:rFonts w:hint="eastAsia"/>
          <w:color w:val="000000" w:themeColor="text1"/>
        </w:rPr>
        <w:t>３，５００</w:t>
      </w:r>
      <w:r w:rsidR="00DB4074" w:rsidRPr="00C157DD">
        <w:rPr>
          <w:rFonts w:hint="eastAsia"/>
          <w:color w:val="000000" w:themeColor="text1"/>
        </w:rPr>
        <w:t>億円）に頼る財政運営を続けてきた</w:t>
      </w:r>
      <w:r w:rsidR="00821E22" w:rsidRPr="00C157DD">
        <w:rPr>
          <w:rFonts w:hint="eastAsia"/>
          <w:color w:val="000000" w:themeColor="text1"/>
        </w:rPr>
        <w:t>ため、府の減債基金実残高は、</w:t>
      </w:r>
      <w:r w:rsidR="008B70C1" w:rsidRPr="00C157DD">
        <w:rPr>
          <w:rFonts w:hint="eastAsia"/>
          <w:color w:val="000000" w:themeColor="text1"/>
        </w:rPr>
        <w:t>実質公債費比率算定ルール</w:t>
      </w:r>
      <w:r w:rsidR="00821E22" w:rsidRPr="00C157DD">
        <w:rPr>
          <w:rFonts w:hint="eastAsia"/>
          <w:color w:val="000000" w:themeColor="text1"/>
        </w:rPr>
        <w:t>による積立必要額に対し大幅に不足している。</w:t>
      </w:r>
    </w:p>
    <w:p w:rsidR="00231CBA" w:rsidRPr="00C157DD" w:rsidRDefault="00231CBA" w:rsidP="00231CBA">
      <w:pPr>
        <w:ind w:leftChars="135" w:left="283" w:firstLineChars="135" w:firstLine="283"/>
        <w:rPr>
          <w:color w:val="000000" w:themeColor="text1"/>
        </w:rPr>
      </w:pPr>
      <w:r w:rsidRPr="00C157DD">
        <w:rPr>
          <w:rFonts w:hint="eastAsia"/>
          <w:color w:val="000000" w:themeColor="text1"/>
        </w:rPr>
        <w:t>そのため、本府の実質公債費比率が高くなっている。</w:t>
      </w:r>
    </w:p>
    <w:p w:rsidR="0085670F" w:rsidRPr="00C157DD" w:rsidRDefault="0085670F" w:rsidP="006011D5">
      <w:pPr>
        <w:rPr>
          <w:color w:val="000000" w:themeColor="text1"/>
        </w:rPr>
      </w:pPr>
    </w:p>
    <w:p w:rsidR="00913D64" w:rsidRPr="00C157DD" w:rsidRDefault="00913D64" w:rsidP="006011D5">
      <w:pPr>
        <w:rPr>
          <w:color w:val="000000" w:themeColor="text1"/>
        </w:rPr>
      </w:pPr>
    </w:p>
    <w:p w:rsidR="00A04A16" w:rsidRDefault="000555B8" w:rsidP="00376BEA">
      <w:pPr>
        <w:ind w:leftChars="202" w:left="424" w:firstLineChars="100" w:firstLine="210"/>
        <w:rPr>
          <w:color w:val="000000" w:themeColor="text1"/>
        </w:rPr>
      </w:pPr>
      <w:r w:rsidRPr="00C157DD">
        <w:rPr>
          <w:rFonts w:hint="eastAsia"/>
          <w:color w:val="000000" w:themeColor="text1"/>
        </w:rPr>
        <w:t>○府の</w:t>
      </w:r>
      <w:r w:rsidR="00376BEA">
        <w:rPr>
          <w:rFonts w:hint="eastAsia"/>
          <w:color w:val="000000" w:themeColor="text1"/>
        </w:rPr>
        <w:t>減債基金実残高及び実質公債費比率算定上の減債基金積立不足額の推移</w:t>
      </w:r>
    </w:p>
    <w:p w:rsidR="00376BEA" w:rsidRDefault="00376BEA" w:rsidP="00376BEA">
      <w:pPr>
        <w:ind w:leftChars="202" w:left="424"/>
        <w:rPr>
          <w:color w:val="000000" w:themeColor="text1"/>
        </w:rPr>
      </w:pPr>
    </w:p>
    <w:p w:rsidR="00A04A16" w:rsidRDefault="00376BEA" w:rsidP="00376BEA">
      <w:pPr>
        <w:ind w:leftChars="202" w:left="424"/>
        <w:rPr>
          <w:color w:val="000000" w:themeColor="text1"/>
        </w:rPr>
      </w:pPr>
      <w:r w:rsidRPr="00376BEA">
        <w:rPr>
          <w:noProof/>
          <w:color w:val="000000" w:themeColor="text1"/>
        </w:rPr>
        <mc:AlternateContent>
          <mc:Choice Requires="wps">
            <w:drawing>
              <wp:anchor distT="0" distB="0" distL="114300" distR="114300" simplePos="0" relativeHeight="251659264" behindDoc="0" locked="0" layoutInCell="1" allowOverlap="1" wp14:anchorId="71528B9E" wp14:editId="06C31A19">
                <wp:simplePos x="0" y="0"/>
                <wp:positionH relativeFrom="column">
                  <wp:posOffset>5027295</wp:posOffset>
                </wp:positionH>
                <wp:positionV relativeFrom="paragraph">
                  <wp:posOffset>2665934</wp:posOffset>
                </wp:positionV>
                <wp:extent cx="586465" cy="172133"/>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65" cy="172133"/>
                        </a:xfrm>
                        <a:prstGeom prst="rect">
                          <a:avLst/>
                        </a:prstGeom>
                        <a:noFill/>
                        <a:ln w="9525">
                          <a:noFill/>
                          <a:miter lim="800000"/>
                          <a:headEnd/>
                          <a:tailEnd/>
                        </a:ln>
                      </wps:spPr>
                      <wps:txbx>
                        <w:txbxContent>
                          <w:p w:rsidR="00376BEA" w:rsidRPr="00376BEA" w:rsidRDefault="00376BEA">
                            <w:pPr>
                              <w:rPr>
                                <w:sz w:val="18"/>
                              </w:rPr>
                            </w:pPr>
                            <w:r w:rsidRPr="00376BEA">
                              <w:rPr>
                                <w:rFonts w:hint="eastAsia"/>
                                <w:sz w:val="16"/>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85pt;margin-top:209.9pt;width:46.2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" filled="f" stroked="f">
                <v:textbox style="mso-fit-shape-to-text:t">
                  <w:txbxContent>
                    <w:p w:rsidR="00376BEA" w:rsidRPr="00376BEA" w:rsidRDefault="00376BEA">
                      <w:pPr>
                        <w:rPr>
                          <w:sz w:val="18"/>
                        </w:rPr>
                      </w:pPr>
                      <w:r w:rsidRPr="00376BEA">
                        <w:rPr>
                          <w:rFonts w:hint="eastAsia"/>
                          <w:sz w:val="16"/>
                        </w:rPr>
                        <w:t>（年度）</w:t>
                      </w:r>
                    </w:p>
                  </w:txbxContent>
                </v:textbox>
              </v:shape>
            </w:pict>
          </mc:Fallback>
        </mc:AlternateContent>
      </w:r>
      <w:r>
        <w:rPr>
          <w:noProof/>
        </w:rPr>
        <w:drawing>
          <wp:inline distT="0" distB="0" distL="0" distR="0" wp14:anchorId="05CCE191" wp14:editId="1FF618CC">
            <wp:extent cx="5218981" cy="3036498"/>
            <wp:effectExtent l="0" t="0" r="127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670F" w:rsidRPr="00C157DD" w:rsidRDefault="0085670F" w:rsidP="00ED7038">
      <w:pPr>
        <w:widowControl/>
        <w:ind w:firstLineChars="200" w:firstLine="420"/>
        <w:jc w:val="left"/>
        <w:rPr>
          <w:color w:val="000000" w:themeColor="text1"/>
        </w:rPr>
      </w:pPr>
      <w:r w:rsidRPr="00C157DD">
        <w:rPr>
          <w:rFonts w:hint="eastAsia"/>
          <w:color w:val="000000" w:themeColor="text1"/>
        </w:rPr>
        <w:lastRenderedPageBreak/>
        <w:t>○府債の発行状況（普通会計ベース）</w:t>
      </w:r>
    </w:p>
    <w:p w:rsidR="00913D64" w:rsidRPr="00C157DD" w:rsidRDefault="00F8066E" w:rsidP="005B3DB7">
      <w:pPr>
        <w:ind w:leftChars="202" w:left="424"/>
        <w:rPr>
          <w:color w:val="000000" w:themeColor="text1"/>
        </w:rPr>
      </w:pPr>
      <w:r>
        <w:rPr>
          <w:noProof/>
          <w:color w:val="000000" w:themeColor="text1"/>
        </w:rPr>
        <w:drawing>
          <wp:inline distT="0" distB="0" distL="0" distR="0" wp14:anchorId="51962627">
            <wp:extent cx="4908430" cy="2441275"/>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3591" cy="2443842"/>
                    </a:xfrm>
                    <a:prstGeom prst="rect">
                      <a:avLst/>
                    </a:prstGeom>
                    <a:noFill/>
                    <a:ln>
                      <a:noFill/>
                    </a:ln>
                  </pic:spPr>
                </pic:pic>
              </a:graphicData>
            </a:graphic>
          </wp:inline>
        </w:drawing>
      </w:r>
    </w:p>
    <w:p w:rsidR="0085670F" w:rsidRPr="00C157DD" w:rsidRDefault="0085670F" w:rsidP="000555B8">
      <w:pPr>
        <w:ind w:leftChars="202" w:left="424"/>
        <w:rPr>
          <w:color w:val="000000" w:themeColor="text1"/>
        </w:rPr>
      </w:pPr>
      <w:r w:rsidRPr="00C157DD">
        <w:rPr>
          <w:rFonts w:hint="eastAsia"/>
          <w:color w:val="000000" w:themeColor="text1"/>
        </w:rPr>
        <w:t>○府債の年度末現在高（普通会計ベース）</w:t>
      </w:r>
    </w:p>
    <w:p w:rsidR="0085670F" w:rsidRPr="00C157DD" w:rsidRDefault="00145F45" w:rsidP="000555B8">
      <w:pPr>
        <w:ind w:leftChars="202" w:left="424"/>
        <w:rPr>
          <w:color w:val="000000" w:themeColor="text1"/>
        </w:rPr>
      </w:pPr>
      <w:r>
        <w:rPr>
          <w:noProof/>
          <w:color w:val="000000" w:themeColor="text1"/>
        </w:rPr>
        <w:drawing>
          <wp:inline distT="0" distB="0" distL="0" distR="0" wp14:anchorId="260CA0A0">
            <wp:extent cx="4908430" cy="2587924"/>
            <wp:effectExtent l="0" t="0" r="6985" b="317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6996" cy="2587168"/>
                    </a:xfrm>
                    <a:prstGeom prst="rect">
                      <a:avLst/>
                    </a:prstGeom>
                    <a:noFill/>
                    <a:ln>
                      <a:noFill/>
                    </a:ln>
                  </pic:spPr>
                </pic:pic>
              </a:graphicData>
            </a:graphic>
          </wp:inline>
        </w:drawing>
      </w:r>
    </w:p>
    <w:p w:rsidR="0085670F" w:rsidRPr="00C157DD" w:rsidRDefault="0085670F" w:rsidP="0085670F">
      <w:pPr>
        <w:rPr>
          <w:color w:val="000000" w:themeColor="text1"/>
          <w:sz w:val="18"/>
        </w:rPr>
      </w:pPr>
    </w:p>
    <w:p w:rsidR="00693B90" w:rsidRPr="00F8066E" w:rsidRDefault="00693B90" w:rsidP="00FE19C6">
      <w:pPr>
        <w:ind w:leftChars="202" w:left="424"/>
        <w:jc w:val="left"/>
        <w:rPr>
          <w:color w:val="000000" w:themeColor="text1"/>
        </w:rPr>
      </w:pPr>
      <w:r w:rsidRPr="00C157DD">
        <w:rPr>
          <w:rFonts w:hint="eastAsia"/>
          <w:color w:val="000000" w:themeColor="text1"/>
        </w:rPr>
        <w:t>○公債費の推移（普通会計ベース）</w:t>
      </w:r>
    </w:p>
    <w:p w:rsidR="00066200" w:rsidRPr="00C157DD" w:rsidRDefault="00145F45" w:rsidP="00205600">
      <w:pPr>
        <w:ind w:leftChars="202" w:left="424" w:firstLine="2"/>
        <w:rPr>
          <w:color w:val="000000" w:themeColor="text1"/>
        </w:rPr>
      </w:pPr>
      <w:r>
        <w:rPr>
          <w:noProof/>
          <w:color w:val="000000" w:themeColor="text1"/>
        </w:rPr>
        <w:drawing>
          <wp:inline distT="0" distB="0" distL="0" distR="0" wp14:anchorId="2B428FCC">
            <wp:extent cx="4899804" cy="264831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9804" cy="2648310"/>
                    </a:xfrm>
                    <a:prstGeom prst="rect">
                      <a:avLst/>
                    </a:prstGeom>
                    <a:noFill/>
                    <a:ln>
                      <a:noFill/>
                    </a:ln>
                  </pic:spPr>
                </pic:pic>
              </a:graphicData>
            </a:graphic>
          </wp:inline>
        </w:drawing>
      </w:r>
    </w:p>
    <w:p w:rsidR="00513C19" w:rsidRPr="00C157DD" w:rsidRDefault="008722B6">
      <w:pPr>
        <w:rPr>
          <w:rFonts w:asciiTheme="majorEastAsia" w:eastAsiaTheme="majorEastAsia" w:hAnsiTheme="majorEastAsia"/>
          <w:color w:val="000000" w:themeColor="text1"/>
        </w:rPr>
      </w:pPr>
      <w:r w:rsidRPr="00C157DD">
        <w:rPr>
          <w:rFonts w:asciiTheme="majorEastAsia" w:eastAsiaTheme="majorEastAsia" w:hAnsiTheme="majorEastAsia" w:hint="eastAsia"/>
          <w:color w:val="000000" w:themeColor="text1"/>
        </w:rPr>
        <w:lastRenderedPageBreak/>
        <w:t>第３</w:t>
      </w:r>
      <w:r w:rsidR="00513C19" w:rsidRPr="00C157DD">
        <w:rPr>
          <w:rFonts w:asciiTheme="majorEastAsia" w:eastAsiaTheme="majorEastAsia" w:hAnsiTheme="majorEastAsia" w:hint="eastAsia"/>
          <w:color w:val="000000" w:themeColor="text1"/>
        </w:rPr>
        <w:t xml:space="preserve">　計画期間</w:t>
      </w:r>
    </w:p>
    <w:p w:rsidR="00756AAD" w:rsidRPr="00C157DD" w:rsidRDefault="00756AAD">
      <w:pPr>
        <w:rPr>
          <w:color w:val="000000" w:themeColor="text1"/>
        </w:rPr>
      </w:pPr>
    </w:p>
    <w:p w:rsidR="009A0330" w:rsidRPr="00C157DD" w:rsidRDefault="009A0330" w:rsidP="009A0330">
      <w:pPr>
        <w:ind w:leftChars="135" w:left="283" w:firstLineChars="135" w:firstLine="283"/>
        <w:rPr>
          <w:color w:val="000000" w:themeColor="text1"/>
        </w:rPr>
      </w:pPr>
      <w:r w:rsidRPr="00C157DD">
        <w:rPr>
          <w:rFonts w:hint="eastAsia"/>
          <w:color w:val="000000" w:themeColor="text1"/>
        </w:rPr>
        <w:t>平成３７年度</w:t>
      </w:r>
      <w:r w:rsidR="004529F8">
        <w:rPr>
          <w:rFonts w:hint="eastAsia"/>
          <w:color w:val="000000" w:themeColor="text1"/>
        </w:rPr>
        <w:t>（平成３４～３６年度平均）</w:t>
      </w:r>
      <w:r w:rsidRPr="00C157DD">
        <w:rPr>
          <w:rFonts w:hint="eastAsia"/>
          <w:color w:val="000000" w:themeColor="text1"/>
        </w:rPr>
        <w:t>までに実質公債費比率を１８％未満に抑制する。</w:t>
      </w:r>
    </w:p>
    <w:p w:rsidR="009A0330" w:rsidRPr="00C157DD" w:rsidRDefault="009A0330" w:rsidP="009A0330">
      <w:pPr>
        <w:ind w:leftChars="135" w:left="283" w:firstLineChars="135" w:firstLine="283"/>
        <w:rPr>
          <w:color w:val="000000" w:themeColor="text1"/>
        </w:rPr>
      </w:pPr>
    </w:p>
    <w:p w:rsidR="009A0330" w:rsidRPr="00C157DD" w:rsidRDefault="00392677" w:rsidP="009A0330">
      <w:pPr>
        <w:ind w:leftChars="135" w:left="283" w:firstLineChars="135" w:firstLine="283"/>
        <w:rPr>
          <w:color w:val="000000" w:themeColor="text1"/>
        </w:rPr>
      </w:pPr>
      <w:r>
        <w:rPr>
          <w:rFonts w:hint="eastAsia"/>
          <w:color w:val="000000" w:themeColor="text1"/>
        </w:rPr>
        <w:t>財政状況に関する中長期試算「粗い試算（２９年２月版）」（以下「粗い試算（２９</w:t>
      </w:r>
      <w:r w:rsidR="009A0330" w:rsidRPr="00C157DD">
        <w:rPr>
          <w:rFonts w:hint="eastAsia"/>
          <w:color w:val="000000" w:themeColor="text1"/>
        </w:rPr>
        <w:t>年２月版）」という。）では、行財政改革</w:t>
      </w:r>
      <w:r w:rsidR="0008519F" w:rsidRPr="00C157DD">
        <w:rPr>
          <w:rFonts w:hint="eastAsia"/>
          <w:color w:val="000000" w:themeColor="text1"/>
        </w:rPr>
        <w:t>推進プラン（案）に基づく減債基金の積立不足額への計画的な復元等</w:t>
      </w:r>
      <w:r w:rsidR="009A0330" w:rsidRPr="00C157DD">
        <w:rPr>
          <w:rFonts w:hint="eastAsia"/>
          <w:color w:val="000000" w:themeColor="text1"/>
        </w:rPr>
        <w:t>を行うことに</w:t>
      </w:r>
      <w:r w:rsidR="00E9225F" w:rsidRPr="00C157DD">
        <w:rPr>
          <w:rFonts w:hint="eastAsia"/>
          <w:color w:val="000000" w:themeColor="text1"/>
        </w:rPr>
        <w:t>より、平成３２年度</w:t>
      </w:r>
      <w:r w:rsidR="004529F8">
        <w:rPr>
          <w:rFonts w:hint="eastAsia"/>
          <w:color w:val="000000" w:themeColor="text1"/>
        </w:rPr>
        <w:t>（平成２９～３１年度平均）</w:t>
      </w:r>
      <w:r w:rsidR="00E9225F" w:rsidRPr="00C157DD">
        <w:rPr>
          <w:rFonts w:hint="eastAsia"/>
          <w:color w:val="000000" w:themeColor="text1"/>
        </w:rPr>
        <w:t>に実質公債費比率は</w:t>
      </w:r>
      <w:r w:rsidR="009A0330" w:rsidRPr="00C157DD">
        <w:rPr>
          <w:rFonts w:hint="eastAsia"/>
          <w:color w:val="000000" w:themeColor="text1"/>
        </w:rPr>
        <w:t>１８％未満に</w:t>
      </w:r>
      <w:r w:rsidR="00E9225F" w:rsidRPr="00C157DD">
        <w:rPr>
          <w:rFonts w:hint="eastAsia"/>
          <w:color w:val="000000" w:themeColor="text1"/>
        </w:rPr>
        <w:t>な</w:t>
      </w:r>
      <w:r w:rsidR="009A0330" w:rsidRPr="00C157DD">
        <w:rPr>
          <w:rFonts w:hint="eastAsia"/>
          <w:color w:val="000000" w:themeColor="text1"/>
        </w:rPr>
        <w:t>る見込み。</w:t>
      </w:r>
    </w:p>
    <w:p w:rsidR="00343B55" w:rsidRPr="00C157DD" w:rsidRDefault="00392677" w:rsidP="00343B55">
      <w:pPr>
        <w:ind w:leftChars="135" w:left="283" w:firstLineChars="135" w:firstLine="283"/>
        <w:rPr>
          <w:color w:val="000000" w:themeColor="text1"/>
        </w:rPr>
      </w:pPr>
      <w:r>
        <w:rPr>
          <w:rFonts w:hint="eastAsia"/>
          <w:color w:val="000000" w:themeColor="text1"/>
        </w:rPr>
        <w:t>但し、「粗い試算（２９</w:t>
      </w:r>
      <w:r w:rsidR="009A0330" w:rsidRPr="00C157DD">
        <w:rPr>
          <w:rFonts w:hint="eastAsia"/>
          <w:color w:val="000000" w:themeColor="text1"/>
        </w:rPr>
        <w:t>年２月版）」は、「中長期の経済財政に関する試算」（内閣府）で示された経済成長率・長期金利</w:t>
      </w:r>
      <w:r w:rsidR="004529F8">
        <w:rPr>
          <w:rFonts w:hint="eastAsia"/>
          <w:color w:val="000000" w:themeColor="text1"/>
        </w:rPr>
        <w:t>や歳入・歳出の傾向</w:t>
      </w:r>
      <w:r w:rsidR="009A0330" w:rsidRPr="00C157DD">
        <w:rPr>
          <w:rFonts w:hint="eastAsia"/>
          <w:color w:val="000000" w:themeColor="text1"/>
        </w:rPr>
        <w:t>など、作成時点で見込むことができる条件を前提に推計したもので、不確定要素を多く含んでおり、将来に向かって相当の幅をもってみる必要がある。</w:t>
      </w:r>
    </w:p>
    <w:p w:rsidR="006534FB" w:rsidRPr="00C157DD" w:rsidRDefault="00343B55" w:rsidP="00343B55">
      <w:pPr>
        <w:ind w:leftChars="135" w:left="283" w:firstLineChars="135" w:firstLine="283"/>
        <w:rPr>
          <w:color w:val="000000" w:themeColor="text1"/>
        </w:rPr>
      </w:pPr>
      <w:r w:rsidRPr="00C157DD">
        <w:rPr>
          <w:rFonts w:hint="eastAsia"/>
          <w:color w:val="000000" w:themeColor="text1"/>
        </w:rPr>
        <w:t>そのため、計画期間は前回と同様に平成３７年度</w:t>
      </w:r>
      <w:r w:rsidR="004529F8">
        <w:rPr>
          <w:rFonts w:hint="eastAsia"/>
          <w:color w:val="000000" w:themeColor="text1"/>
        </w:rPr>
        <w:t>（平成３４～３６年度平均）</w:t>
      </w:r>
      <w:r w:rsidRPr="00C157DD">
        <w:rPr>
          <w:rFonts w:hint="eastAsia"/>
          <w:color w:val="000000" w:themeColor="text1"/>
        </w:rPr>
        <w:t>までに実質公債費比率を１８％未満に抑制することとし、</w:t>
      </w:r>
      <w:r w:rsidR="00F93E9E" w:rsidRPr="00C157DD">
        <w:rPr>
          <w:rFonts w:hint="eastAsia"/>
          <w:color w:val="000000" w:themeColor="text1"/>
        </w:rPr>
        <w:t>計画達成時期の</w:t>
      </w:r>
      <w:r w:rsidRPr="00C157DD">
        <w:rPr>
          <w:rFonts w:hint="eastAsia"/>
          <w:color w:val="000000" w:themeColor="text1"/>
        </w:rPr>
        <w:t>前倒しの実現に向け取組みを着実に進めていく。</w:t>
      </w:r>
    </w:p>
    <w:p w:rsidR="009A0330" w:rsidRPr="00C157DD" w:rsidRDefault="009A0330" w:rsidP="00513C19">
      <w:pPr>
        <w:rPr>
          <w:color w:val="000000" w:themeColor="text1"/>
        </w:rPr>
      </w:pPr>
    </w:p>
    <w:p w:rsidR="009A0330" w:rsidRPr="00C157DD" w:rsidRDefault="009A0330" w:rsidP="00513C19">
      <w:pPr>
        <w:rPr>
          <w:color w:val="000000" w:themeColor="text1"/>
        </w:rPr>
      </w:pPr>
    </w:p>
    <w:p w:rsidR="009A0330" w:rsidRPr="00BD5324" w:rsidRDefault="009A0330" w:rsidP="00513C19"/>
    <w:p w:rsidR="00513C19" w:rsidRPr="002D708C" w:rsidRDefault="008722B6">
      <w:pPr>
        <w:rPr>
          <w:rFonts w:asciiTheme="majorEastAsia" w:eastAsiaTheme="majorEastAsia" w:hAnsiTheme="majorEastAsia"/>
        </w:rPr>
      </w:pPr>
      <w:r>
        <w:rPr>
          <w:rFonts w:asciiTheme="majorEastAsia" w:eastAsiaTheme="majorEastAsia" w:hAnsiTheme="majorEastAsia" w:hint="eastAsia"/>
        </w:rPr>
        <w:t>第４</w:t>
      </w:r>
      <w:r w:rsidR="00513C19" w:rsidRPr="002D708C">
        <w:rPr>
          <w:rFonts w:asciiTheme="majorEastAsia" w:eastAsiaTheme="majorEastAsia" w:hAnsiTheme="majorEastAsia" w:hint="eastAsia"/>
        </w:rPr>
        <w:t xml:space="preserve">　今後の地方債発行等に係る基本方針</w:t>
      </w:r>
    </w:p>
    <w:p w:rsidR="00756AAD" w:rsidRDefault="00756AAD"/>
    <w:p w:rsidR="002F6F09" w:rsidRDefault="00756AAD" w:rsidP="00F65273">
      <w:pPr>
        <w:ind w:leftChars="135" w:left="283" w:firstLineChars="135" w:firstLine="283"/>
      </w:pPr>
      <w:r>
        <w:rPr>
          <w:rFonts w:hint="eastAsia"/>
        </w:rPr>
        <w:t>大阪府財政運営基本条例に基づき</w:t>
      </w:r>
      <w:r w:rsidR="002F6F09">
        <w:rPr>
          <w:rFonts w:hint="eastAsia"/>
        </w:rPr>
        <w:t>、府債</w:t>
      </w:r>
      <w:r w:rsidR="00F65273">
        <w:rPr>
          <w:rFonts w:hint="eastAsia"/>
        </w:rPr>
        <w:t>を財源として実施する事業</w:t>
      </w:r>
      <w:r w:rsidR="002F6F09">
        <w:rPr>
          <w:rFonts w:hint="eastAsia"/>
        </w:rPr>
        <w:t>の必要性について精査する</w:t>
      </w:r>
      <w:r w:rsidR="00F65273">
        <w:rPr>
          <w:rFonts w:hint="eastAsia"/>
        </w:rPr>
        <w:t>とともに、府債の元利償還に係る負担の増加が将来における健全な財政運営を損なうおそれがないよう留意する。</w:t>
      </w:r>
    </w:p>
    <w:p w:rsidR="00F65273" w:rsidRDefault="00F65273" w:rsidP="00F65273">
      <w:pPr>
        <w:ind w:leftChars="135" w:left="283" w:firstLineChars="135" w:firstLine="283"/>
      </w:pPr>
    </w:p>
    <w:p w:rsidR="008843F3" w:rsidRDefault="008843F3" w:rsidP="00F65273">
      <w:pPr>
        <w:ind w:leftChars="135" w:left="283" w:firstLineChars="135" w:firstLine="283"/>
      </w:pPr>
    </w:p>
    <w:tbl>
      <w:tblPr>
        <w:tblStyle w:val="a4"/>
        <w:tblW w:w="8342" w:type="dxa"/>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342"/>
      </w:tblGrid>
      <w:tr w:rsidR="0002440F" w:rsidRPr="00716FDC" w:rsidTr="0050362C">
        <w:trPr>
          <w:trHeight w:val="2400"/>
        </w:trPr>
        <w:tc>
          <w:tcPr>
            <w:tcW w:w="8342" w:type="dxa"/>
          </w:tcPr>
          <w:p w:rsidR="0002440F" w:rsidRDefault="001B69F9" w:rsidP="0002440F">
            <w:pPr>
              <w:rPr>
                <w:szCs w:val="21"/>
              </w:rPr>
            </w:pPr>
            <w:r>
              <w:rPr>
                <w:rFonts w:hint="eastAsia"/>
                <w:szCs w:val="21"/>
              </w:rPr>
              <w:t>【</w:t>
            </w:r>
            <w:r w:rsidR="0002440F" w:rsidRPr="00716FDC">
              <w:rPr>
                <w:rFonts w:hint="eastAsia"/>
                <w:szCs w:val="21"/>
              </w:rPr>
              <w:t>財政運営基本条例</w:t>
            </w:r>
            <w:r w:rsidR="00F925CD">
              <w:rPr>
                <w:rFonts w:hint="eastAsia"/>
                <w:szCs w:val="21"/>
              </w:rPr>
              <w:t xml:space="preserve">　抜粋</w:t>
            </w:r>
            <w:r>
              <w:rPr>
                <w:rFonts w:hint="eastAsia"/>
                <w:szCs w:val="21"/>
              </w:rPr>
              <w:t>】</w:t>
            </w:r>
          </w:p>
          <w:p w:rsidR="001B69F9" w:rsidRPr="00716FDC" w:rsidRDefault="001B69F9" w:rsidP="0002440F">
            <w:pPr>
              <w:rPr>
                <w:szCs w:val="21"/>
              </w:rPr>
            </w:pPr>
          </w:p>
          <w:p w:rsidR="0002440F" w:rsidRPr="00716FDC" w:rsidRDefault="00376332" w:rsidP="001B69F9">
            <w:pPr>
              <w:ind w:leftChars="150" w:left="315"/>
              <w:rPr>
                <w:szCs w:val="21"/>
              </w:rPr>
            </w:pPr>
            <w:r w:rsidRPr="00716FDC">
              <w:rPr>
                <w:rFonts w:hint="eastAsia"/>
                <w:szCs w:val="21"/>
              </w:rPr>
              <w:t xml:space="preserve"> </w:t>
            </w:r>
            <w:r w:rsidR="0002440F" w:rsidRPr="00716FDC">
              <w:rPr>
                <w:rFonts w:hint="eastAsia"/>
                <w:szCs w:val="21"/>
              </w:rPr>
              <w:t>(</w:t>
            </w:r>
            <w:r w:rsidR="0002440F" w:rsidRPr="00716FDC">
              <w:rPr>
                <w:rFonts w:hint="eastAsia"/>
                <w:szCs w:val="21"/>
              </w:rPr>
              <w:t>府債の発行</w:t>
            </w:r>
            <w:r w:rsidR="0002440F" w:rsidRPr="00716FDC">
              <w:rPr>
                <w:rFonts w:hint="eastAsia"/>
                <w:szCs w:val="21"/>
              </w:rPr>
              <w:t>)</w:t>
            </w:r>
          </w:p>
          <w:p w:rsidR="0002440F" w:rsidRPr="00716FDC" w:rsidRDefault="0002440F" w:rsidP="001B69F9">
            <w:pPr>
              <w:ind w:leftChars="139" w:left="458" w:rightChars="73" w:right="153" w:hangingChars="79" w:hanging="166"/>
              <w:rPr>
                <w:szCs w:val="21"/>
              </w:rPr>
            </w:pPr>
            <w:r w:rsidRPr="00716FDC">
              <w:rPr>
                <w:rFonts w:hint="eastAsia"/>
                <w:szCs w:val="21"/>
              </w:rPr>
              <w:t>第五条　府は、府債を発行する場合には、府債を財源として実施する事業の必要性について精査するとともに、府債の元利償還に係る負担の増加が将来における健全な財政運営を損なうおそれがないよう留意しなければならない。</w:t>
            </w:r>
          </w:p>
          <w:p w:rsidR="00C61D23" w:rsidRDefault="00C61D23" w:rsidP="001B69F9">
            <w:pPr>
              <w:ind w:leftChars="140" w:left="458" w:rightChars="73" w:right="153" w:hangingChars="78" w:hanging="164"/>
              <w:rPr>
                <w:szCs w:val="21"/>
              </w:rPr>
            </w:pPr>
            <w:r w:rsidRPr="00716FDC">
              <w:rPr>
                <w:rFonts w:hint="eastAsia"/>
                <w:szCs w:val="21"/>
              </w:rPr>
              <w:t>2</w:t>
            </w:r>
            <w:r w:rsidRPr="00716FDC">
              <w:rPr>
                <w:rFonts w:hint="eastAsia"/>
                <w:szCs w:val="21"/>
              </w:rPr>
              <w:t xml:space="preserve">　地方財政法</w:t>
            </w:r>
            <w:r w:rsidRPr="00716FDC">
              <w:rPr>
                <w:rFonts w:hint="eastAsia"/>
                <w:szCs w:val="21"/>
              </w:rPr>
              <w:t>(</w:t>
            </w:r>
            <w:r w:rsidRPr="00716FDC">
              <w:rPr>
                <w:rFonts w:hint="eastAsia"/>
                <w:szCs w:val="21"/>
              </w:rPr>
              <w:t>昭和二十三年法律第百九号</w:t>
            </w:r>
            <w:r w:rsidRPr="00716FDC">
              <w:rPr>
                <w:rFonts w:hint="eastAsia"/>
                <w:szCs w:val="21"/>
              </w:rPr>
              <w:t>)</w:t>
            </w:r>
            <w:r w:rsidRPr="00716FDC">
              <w:rPr>
                <w:rFonts w:hint="eastAsia"/>
                <w:szCs w:val="21"/>
              </w:rPr>
              <w:t>第五条ただし書の規定により発行することができる地方債又は地方交付税法</w:t>
            </w:r>
            <w:r w:rsidRPr="00716FDC">
              <w:rPr>
                <w:rFonts w:hint="eastAsia"/>
                <w:szCs w:val="21"/>
              </w:rPr>
              <w:t>(</w:t>
            </w:r>
            <w:r w:rsidRPr="00716FDC">
              <w:rPr>
                <w:rFonts w:hint="eastAsia"/>
                <w:szCs w:val="21"/>
              </w:rPr>
              <w:t>昭和二十五年法律第二百十一号</w:t>
            </w:r>
            <w:r w:rsidRPr="00716FDC">
              <w:rPr>
                <w:rFonts w:hint="eastAsia"/>
                <w:szCs w:val="21"/>
              </w:rPr>
              <w:t>)</w:t>
            </w:r>
            <w:r w:rsidRPr="00716FDC">
              <w:rPr>
                <w:rFonts w:hint="eastAsia"/>
                <w:szCs w:val="21"/>
              </w:rPr>
              <w:t>の定めるところによりその元利償還に係る経費が普通交付税の額の算定に用いる基準財政需要額に算入される地方債以外の府債を発行することができるのは、収入の確保及び支出の抑制の取組を行った上でなお一般財源の額に不足が生じ、当該不足額に充てるためにやむを得ない場合に限るものとする。</w:t>
            </w:r>
          </w:p>
          <w:p w:rsidR="000555B8" w:rsidRPr="00716FDC" w:rsidRDefault="000555B8" w:rsidP="001B69F9">
            <w:pPr>
              <w:ind w:leftChars="140" w:left="458" w:rightChars="73" w:right="153" w:hangingChars="78" w:hanging="164"/>
              <w:rPr>
                <w:szCs w:val="21"/>
              </w:rPr>
            </w:pPr>
            <w:r w:rsidRPr="00716FDC">
              <w:rPr>
                <w:rFonts w:hint="eastAsia"/>
                <w:szCs w:val="21"/>
              </w:rPr>
              <w:t>3</w:t>
            </w:r>
            <w:r w:rsidRPr="00716FDC">
              <w:rPr>
                <w:rFonts w:hint="eastAsia"/>
                <w:szCs w:val="21"/>
              </w:rPr>
              <w:t xml:space="preserve">　前項の府債の発行に当たっては、次に掲げる事項を明らかにしなければならない。</w:t>
            </w:r>
          </w:p>
          <w:p w:rsidR="000555B8" w:rsidRPr="00716FDC" w:rsidRDefault="000555B8" w:rsidP="001B69F9">
            <w:pPr>
              <w:ind w:leftChars="209" w:left="601" w:rightChars="73" w:right="153" w:hangingChars="77" w:hanging="162"/>
              <w:rPr>
                <w:szCs w:val="21"/>
              </w:rPr>
            </w:pPr>
            <w:r w:rsidRPr="00716FDC">
              <w:rPr>
                <w:rFonts w:hint="eastAsia"/>
                <w:szCs w:val="21"/>
              </w:rPr>
              <w:t>一　当該年度以降の収入の確保又は支出の抑制に係る取組により、当該府債に係る元利償還に要する財源を確保することができること。</w:t>
            </w:r>
          </w:p>
          <w:p w:rsidR="001B69F9" w:rsidRPr="00716FDC" w:rsidRDefault="000555B8" w:rsidP="00CB75FF">
            <w:pPr>
              <w:ind w:leftChars="219" w:left="601" w:rightChars="73" w:right="153" w:hangingChars="67" w:hanging="141"/>
              <w:rPr>
                <w:szCs w:val="21"/>
              </w:rPr>
            </w:pPr>
            <w:r w:rsidRPr="00716FDC">
              <w:rPr>
                <w:rFonts w:hint="eastAsia"/>
                <w:szCs w:val="21"/>
              </w:rPr>
              <w:t>二　地方公共団体の財政の健全化に関する法律</w:t>
            </w:r>
            <w:r w:rsidRPr="00716FDC">
              <w:rPr>
                <w:rFonts w:hint="eastAsia"/>
                <w:szCs w:val="21"/>
              </w:rPr>
              <w:t>(</w:t>
            </w:r>
            <w:r w:rsidRPr="00716FDC">
              <w:rPr>
                <w:rFonts w:hint="eastAsia"/>
                <w:szCs w:val="21"/>
              </w:rPr>
              <w:t>平成十九年法律第九十四号</w:t>
            </w:r>
            <w:r w:rsidRPr="00716FDC">
              <w:rPr>
                <w:rFonts w:hint="eastAsia"/>
                <w:szCs w:val="21"/>
              </w:rPr>
              <w:t>)</w:t>
            </w:r>
            <w:r w:rsidRPr="00716FDC">
              <w:rPr>
                <w:rFonts w:hint="eastAsia"/>
                <w:szCs w:val="21"/>
              </w:rPr>
              <w:t>第三条第一項に規定する健全化判断比率</w:t>
            </w:r>
            <w:r w:rsidRPr="00716FDC">
              <w:rPr>
                <w:rFonts w:hint="eastAsia"/>
                <w:szCs w:val="21"/>
              </w:rPr>
              <w:t>(</w:t>
            </w:r>
            <w:r w:rsidRPr="00716FDC">
              <w:rPr>
                <w:rFonts w:hint="eastAsia"/>
                <w:szCs w:val="21"/>
              </w:rPr>
              <w:t>以下「健全化判断比率」という。</w:t>
            </w:r>
            <w:r w:rsidRPr="00716FDC">
              <w:rPr>
                <w:rFonts w:hint="eastAsia"/>
                <w:szCs w:val="21"/>
              </w:rPr>
              <w:t>)</w:t>
            </w:r>
            <w:r w:rsidRPr="00716FDC">
              <w:rPr>
                <w:rFonts w:hint="eastAsia"/>
                <w:szCs w:val="21"/>
              </w:rPr>
              <w:t>が同法第二条第五号に規定する早期健全化基準</w:t>
            </w:r>
            <w:r w:rsidRPr="00716FDC">
              <w:rPr>
                <w:rFonts w:hint="eastAsia"/>
                <w:szCs w:val="21"/>
              </w:rPr>
              <w:t>(</w:t>
            </w:r>
            <w:r w:rsidRPr="00716FDC">
              <w:rPr>
                <w:rFonts w:hint="eastAsia"/>
                <w:szCs w:val="21"/>
              </w:rPr>
              <w:t>以下「早期健全化基準」という。</w:t>
            </w:r>
            <w:r w:rsidRPr="00716FDC">
              <w:rPr>
                <w:rFonts w:hint="eastAsia"/>
                <w:szCs w:val="21"/>
              </w:rPr>
              <w:t>)</w:t>
            </w:r>
            <w:r w:rsidRPr="00716FDC">
              <w:rPr>
                <w:rFonts w:hint="eastAsia"/>
                <w:szCs w:val="21"/>
              </w:rPr>
              <w:t>で定める数値以上の数値とならない見通しがあること。</w:t>
            </w:r>
          </w:p>
        </w:tc>
      </w:tr>
    </w:tbl>
    <w:p w:rsidR="00CA021B" w:rsidRPr="00CA021B" w:rsidRDefault="00CA021B">
      <w:pPr>
        <w:rPr>
          <w:rFonts w:asciiTheme="majorEastAsia" w:eastAsiaTheme="majorEastAsia" w:hAnsiTheme="majorEastAsia"/>
        </w:rPr>
      </w:pPr>
    </w:p>
    <w:p w:rsidR="00145F45" w:rsidRDefault="00145F45">
      <w:pPr>
        <w:rPr>
          <w:rFonts w:asciiTheme="majorEastAsia" w:eastAsiaTheme="majorEastAsia" w:hAnsiTheme="majorEastAsia"/>
        </w:rPr>
      </w:pPr>
    </w:p>
    <w:p w:rsidR="00513C19" w:rsidRPr="0002440F" w:rsidRDefault="00513C19">
      <w:pPr>
        <w:rPr>
          <w:rFonts w:asciiTheme="majorEastAsia" w:eastAsiaTheme="majorEastAsia" w:hAnsiTheme="majorEastAsia"/>
        </w:rPr>
      </w:pPr>
      <w:r w:rsidRPr="0002440F">
        <w:rPr>
          <w:rFonts w:asciiTheme="majorEastAsia" w:eastAsiaTheme="majorEastAsia" w:hAnsiTheme="majorEastAsia" w:hint="eastAsia"/>
        </w:rPr>
        <w:lastRenderedPageBreak/>
        <w:t>第</w:t>
      </w:r>
      <w:r w:rsidR="008722B6">
        <w:rPr>
          <w:rFonts w:asciiTheme="majorEastAsia" w:eastAsiaTheme="majorEastAsia" w:hAnsiTheme="majorEastAsia" w:hint="eastAsia"/>
        </w:rPr>
        <w:t>５</w:t>
      </w:r>
      <w:r w:rsidRPr="0002440F">
        <w:rPr>
          <w:rFonts w:asciiTheme="majorEastAsia" w:eastAsiaTheme="majorEastAsia" w:hAnsiTheme="majorEastAsia" w:hint="eastAsia"/>
        </w:rPr>
        <w:t xml:space="preserve">　実質公債費比率の適正管理のための方策</w:t>
      </w:r>
    </w:p>
    <w:p w:rsidR="0002440F" w:rsidRDefault="0002440F"/>
    <w:p w:rsidR="007F52FC" w:rsidRDefault="006D09D6">
      <w:r>
        <w:rPr>
          <w:rFonts w:hint="eastAsia"/>
        </w:rPr>
        <w:t xml:space="preserve">　（１）減債基金積立</w:t>
      </w:r>
      <w:r w:rsidR="007F52FC">
        <w:rPr>
          <w:rFonts w:hint="eastAsia"/>
        </w:rPr>
        <w:t>不足額の復元</w:t>
      </w:r>
    </w:p>
    <w:p w:rsidR="00956908" w:rsidRDefault="00956908"/>
    <w:p w:rsidR="00513C19" w:rsidRDefault="007F52FC">
      <w:r>
        <w:rPr>
          <w:rFonts w:hint="eastAsia"/>
        </w:rPr>
        <w:t xml:space="preserve">　（２</w:t>
      </w:r>
      <w:r w:rsidR="00467411">
        <w:rPr>
          <w:rFonts w:hint="eastAsia"/>
        </w:rPr>
        <w:t>）建設事業の重点化・計画的実施による府債発行の抑制</w:t>
      </w:r>
    </w:p>
    <w:p w:rsidR="00956908" w:rsidRDefault="00956908" w:rsidP="007F52FC">
      <w:pPr>
        <w:ind w:left="850" w:hangingChars="405" w:hanging="850"/>
      </w:pPr>
    </w:p>
    <w:p w:rsidR="000402C1" w:rsidRDefault="00376332" w:rsidP="00453CC9">
      <w:pPr>
        <w:ind w:left="850" w:hangingChars="405" w:hanging="850"/>
      </w:pPr>
      <w:r>
        <w:rPr>
          <w:rFonts w:hint="eastAsia"/>
        </w:rPr>
        <w:t xml:space="preserve">　（３</w:t>
      </w:r>
      <w:r w:rsidR="00FB07EF">
        <w:rPr>
          <w:rFonts w:hint="eastAsia"/>
        </w:rPr>
        <w:t>）</w:t>
      </w:r>
      <w:r w:rsidR="000402C1">
        <w:rPr>
          <w:rFonts w:hint="eastAsia"/>
        </w:rPr>
        <w:t>減債基金への積立ルールの見直し</w:t>
      </w:r>
    </w:p>
    <w:p w:rsidR="000402C1" w:rsidRDefault="000402C1" w:rsidP="000402C1">
      <w:pPr>
        <w:ind w:leftChars="420" w:left="1092" w:hangingChars="100" w:hanging="210"/>
      </w:pPr>
      <w:r>
        <w:rPr>
          <w:rFonts w:hint="eastAsia"/>
        </w:rPr>
        <w:t>・</w:t>
      </w:r>
      <w:r w:rsidR="00453CC9">
        <w:rPr>
          <w:rFonts w:hint="eastAsia"/>
        </w:rPr>
        <w:t>平成</w:t>
      </w:r>
      <w:r w:rsidR="0065571C">
        <w:rPr>
          <w:rFonts w:hint="eastAsia"/>
        </w:rPr>
        <w:t>２４</w:t>
      </w:r>
      <w:r w:rsidR="005425EE">
        <w:rPr>
          <w:rFonts w:hint="eastAsia"/>
        </w:rPr>
        <w:t>年度以降に新規発行する府債にかかる減債基金の</w:t>
      </w:r>
      <w:r w:rsidR="00453CC9">
        <w:rPr>
          <w:rFonts w:hint="eastAsia"/>
        </w:rPr>
        <w:t>積立ルールを実質</w:t>
      </w:r>
      <w:r w:rsidR="00716FDC">
        <w:rPr>
          <w:rFonts w:hint="eastAsia"/>
        </w:rPr>
        <w:t>公債費</w:t>
      </w:r>
      <w:r w:rsidR="00453CC9">
        <w:rPr>
          <w:rFonts w:hint="eastAsia"/>
        </w:rPr>
        <w:t>比率算定ルールに変更</w:t>
      </w:r>
    </w:p>
    <w:p w:rsidR="00AC0354" w:rsidRDefault="000402C1" w:rsidP="000402C1">
      <w:pPr>
        <w:ind w:leftChars="420" w:left="1092" w:hangingChars="100" w:hanging="210"/>
      </w:pPr>
      <w:r>
        <w:rPr>
          <w:rFonts w:hint="eastAsia"/>
        </w:rPr>
        <w:t>・</w:t>
      </w:r>
      <w:r w:rsidR="00AC0354">
        <w:rPr>
          <w:rFonts w:hint="eastAsia"/>
        </w:rPr>
        <w:t>平成２５年度以降に新規発行する臨時財政対策債については、交付税算定における基準財政需要額算入の実態を踏まえ、発行額の半分を２０年償還とする見直しを実施</w:t>
      </w:r>
    </w:p>
    <w:p w:rsidR="008843F3" w:rsidRDefault="008843F3" w:rsidP="001B69F9">
      <w:pPr>
        <w:ind w:leftChars="202" w:left="424"/>
        <w:rPr>
          <w:rFonts w:asciiTheme="minorEastAsia" w:hAnsiTheme="minorEastAsia"/>
          <w:bCs/>
          <w:iCs/>
        </w:rPr>
      </w:pPr>
    </w:p>
    <w:p w:rsidR="000555B8" w:rsidRPr="00716FDC" w:rsidRDefault="000555B8" w:rsidP="001B69F9">
      <w:pPr>
        <w:ind w:leftChars="202" w:left="424"/>
        <w:rPr>
          <w:rFonts w:asciiTheme="minorEastAsia" w:hAnsiTheme="minorEastAsia"/>
        </w:rPr>
      </w:pPr>
      <w:r>
        <w:rPr>
          <w:rFonts w:asciiTheme="minorEastAsia" w:hAnsiTheme="minorEastAsia" w:hint="eastAsia"/>
          <w:bCs/>
          <w:iCs/>
        </w:rPr>
        <w:t>○</w:t>
      </w:r>
      <w:r w:rsidRPr="00716FDC">
        <w:rPr>
          <w:rFonts w:asciiTheme="minorEastAsia" w:hAnsiTheme="minorEastAsia" w:hint="eastAsia"/>
          <w:bCs/>
          <w:iCs/>
        </w:rPr>
        <w:t>減債基金への積立ルール　（30年償還の場合）</w:t>
      </w:r>
    </w:p>
    <w:p w:rsidR="005425EE" w:rsidRDefault="00AC0354" w:rsidP="00BE1FE4">
      <w:pPr>
        <w:ind w:leftChars="202" w:left="846" w:hangingChars="201" w:hanging="422"/>
      </w:pPr>
      <w:r>
        <w:rPr>
          <w:noProof/>
        </w:rPr>
        <w:drawing>
          <wp:inline distT="0" distB="0" distL="0" distR="0" wp14:anchorId="3283B4EF" wp14:editId="01C0FA70">
            <wp:extent cx="5400136" cy="2751827"/>
            <wp:effectExtent l="0" t="0" r="0" b="0"/>
            <wp:docPr id="5" name="図 5" descr="\\10000sv0007b\10009\新公債\030_起債関連（要望、協議等）\00起債許可・協議\26協議\00 公債費負担適正化計画\01 グラフデータ\参考資料\減債基金積立ルー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00sv0007b\10009\新公債\030_起債関連（要望、協議等）\00起債許可・協議\26協議\00 公債費負担適正化計画\01 グラフデータ\参考資料\減債基金積立ルール.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751778"/>
                    </a:xfrm>
                    <a:prstGeom prst="rect">
                      <a:avLst/>
                    </a:prstGeom>
                    <a:noFill/>
                    <a:ln>
                      <a:noFill/>
                    </a:ln>
                  </pic:spPr>
                </pic:pic>
              </a:graphicData>
            </a:graphic>
          </wp:inline>
        </w:drawing>
      </w:r>
    </w:p>
    <w:p w:rsidR="00FB07EF" w:rsidRDefault="000402C1" w:rsidP="00A574ED">
      <w:pPr>
        <w:ind w:left="850" w:hangingChars="405" w:hanging="850"/>
      </w:pPr>
      <w:r>
        <w:rPr>
          <w:rFonts w:hint="eastAsia"/>
        </w:rPr>
        <w:t xml:space="preserve">　（４</w:t>
      </w:r>
      <w:r w:rsidR="00A574ED">
        <w:rPr>
          <w:rFonts w:hint="eastAsia"/>
        </w:rPr>
        <w:t>）償還の前倒しによる公債費の平準化</w:t>
      </w:r>
    </w:p>
    <w:p w:rsidR="008843F3" w:rsidRDefault="00CD5480" w:rsidP="00EF3D05">
      <w:pPr>
        <w:ind w:leftChars="405" w:left="850" w:firstLineChars="134" w:firstLine="281"/>
      </w:pPr>
      <w:r>
        <w:rPr>
          <w:rFonts w:hint="eastAsia"/>
        </w:rPr>
        <w:t>財政状況に関する中長期試算「</w:t>
      </w:r>
      <w:r w:rsidRPr="00CD5480">
        <w:rPr>
          <w:rFonts w:hint="eastAsia"/>
        </w:rPr>
        <w:t>粗い試算</w:t>
      </w:r>
      <w:r w:rsidR="00F925CD">
        <w:rPr>
          <w:rFonts w:hint="eastAsia"/>
        </w:rPr>
        <w:t>（</w:t>
      </w:r>
      <w:r>
        <w:rPr>
          <w:rFonts w:hint="eastAsia"/>
        </w:rPr>
        <w:t>２４年７月版</w:t>
      </w:r>
      <w:r w:rsidR="00F925CD">
        <w:rPr>
          <w:rFonts w:hint="eastAsia"/>
        </w:rPr>
        <w:t>）</w:t>
      </w:r>
      <w:r>
        <w:rPr>
          <w:rFonts w:hint="eastAsia"/>
        </w:rPr>
        <w:t>」</w:t>
      </w:r>
      <w:r w:rsidR="000555B8" w:rsidRPr="006D09D6">
        <w:rPr>
          <w:rFonts w:hint="eastAsia"/>
          <w:kern w:val="0"/>
        </w:rPr>
        <w:t>における要対応額</w:t>
      </w:r>
      <w:r>
        <w:rPr>
          <w:rFonts w:hint="eastAsia"/>
          <w:kern w:val="0"/>
        </w:rPr>
        <w:t>（平成３５～３８年度）</w:t>
      </w:r>
      <w:r w:rsidR="000555B8">
        <w:rPr>
          <w:rFonts w:hint="eastAsia"/>
        </w:rPr>
        <w:t>の急増の主因は、</w:t>
      </w:r>
      <w:r w:rsidR="005E4203">
        <w:rPr>
          <w:rFonts w:hint="eastAsia"/>
        </w:rPr>
        <w:t>平成４年度以降</w:t>
      </w:r>
      <w:r w:rsidR="000555B8">
        <w:rPr>
          <w:rFonts w:hint="eastAsia"/>
        </w:rPr>
        <w:t>の景気対策等で大量発行した地方債の最終償還が到来するため、下記のとおり「公債費」が増加することに伴うもの</w:t>
      </w:r>
      <w:r w:rsidR="001B7540">
        <w:rPr>
          <w:rFonts w:hint="eastAsia"/>
        </w:rPr>
        <w:t>で、</w:t>
      </w:r>
      <w:r w:rsidR="00704E1B" w:rsidRPr="00704E1B">
        <w:rPr>
          <w:rFonts w:hint="eastAsia"/>
        </w:rPr>
        <w:t>公債費の平準化を実施</w:t>
      </w:r>
      <w:r w:rsidR="007022ED">
        <w:rPr>
          <w:rFonts w:hint="eastAsia"/>
        </w:rPr>
        <w:t>。</w:t>
      </w:r>
    </w:p>
    <w:p w:rsidR="00EF3D05" w:rsidRPr="00EF3D05" w:rsidRDefault="00EF3D05" w:rsidP="00EF3D05">
      <w:pPr>
        <w:ind w:leftChars="405" w:left="850" w:firstLineChars="134" w:firstLine="281"/>
        <w:rPr>
          <w:kern w:val="0"/>
        </w:rPr>
      </w:pPr>
    </w:p>
    <w:p w:rsidR="001B69F9" w:rsidRDefault="001B69F9" w:rsidP="001B69F9">
      <w:pPr>
        <w:ind w:leftChars="203" w:left="707" w:hangingChars="134" w:hanging="281"/>
      </w:pPr>
      <w:r w:rsidRPr="001B69F9">
        <w:rPr>
          <w:rFonts w:hint="eastAsia"/>
        </w:rPr>
        <w:t>○公債費の推移</w:t>
      </w:r>
    </w:p>
    <w:p w:rsidR="001B69F9" w:rsidRDefault="00FB44D5" w:rsidP="001B69F9">
      <w:pPr>
        <w:ind w:leftChars="203" w:left="707" w:hangingChars="134" w:hanging="281"/>
      </w:pPr>
      <w:r>
        <w:rPr>
          <w:noProof/>
        </w:rPr>
        <w:drawing>
          <wp:inline distT="0" distB="0" distL="0" distR="0" wp14:anchorId="16B9B488">
            <wp:extent cx="5141344" cy="1475117"/>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7174" cy="1476790"/>
                    </a:xfrm>
                    <a:prstGeom prst="rect">
                      <a:avLst/>
                    </a:prstGeom>
                    <a:noFill/>
                    <a:ln>
                      <a:noFill/>
                    </a:ln>
                  </pic:spPr>
                </pic:pic>
              </a:graphicData>
            </a:graphic>
          </wp:inline>
        </w:drawing>
      </w:r>
    </w:p>
    <w:p w:rsidR="000402C1" w:rsidRDefault="000402C1" w:rsidP="001B69F9">
      <w:pPr>
        <w:ind w:leftChars="203" w:left="707" w:hangingChars="134" w:hanging="281"/>
      </w:pPr>
    </w:p>
    <w:p w:rsidR="00FB07EF" w:rsidRDefault="00EF3D05" w:rsidP="00BE1FE4">
      <w:r>
        <w:rPr>
          <w:rFonts w:hint="eastAsia"/>
        </w:rPr>
        <w:t xml:space="preserve">　（５）金利（長期／短期、変動／固定）の複合活用による公債費の抑制</w:t>
      </w:r>
    </w:p>
    <w:p w:rsidR="00D242A1" w:rsidRPr="00EF3D05" w:rsidRDefault="00D242A1" w:rsidP="00BE1FE4">
      <w:bookmarkStart w:id="0" w:name="_GoBack"/>
      <w:bookmarkEnd w:id="0"/>
    </w:p>
    <w:p w:rsidR="00513C19" w:rsidRPr="00C157DD" w:rsidRDefault="008722B6">
      <w:pPr>
        <w:rPr>
          <w:rFonts w:asciiTheme="majorEastAsia" w:eastAsiaTheme="majorEastAsia" w:hAnsiTheme="majorEastAsia"/>
          <w:color w:val="000000" w:themeColor="text1"/>
        </w:rPr>
      </w:pPr>
      <w:r w:rsidRPr="000F36F6">
        <w:rPr>
          <w:rFonts w:asciiTheme="majorEastAsia" w:eastAsiaTheme="majorEastAsia" w:hAnsiTheme="majorEastAsia" w:hint="eastAsia"/>
        </w:rPr>
        <w:lastRenderedPageBreak/>
        <w:t>第６</w:t>
      </w:r>
      <w:r w:rsidR="00343B55">
        <w:rPr>
          <w:rFonts w:asciiTheme="majorEastAsia" w:eastAsiaTheme="majorEastAsia" w:hAnsiTheme="majorEastAsia" w:hint="eastAsia"/>
        </w:rPr>
        <w:t xml:space="preserve">　各年度</w:t>
      </w:r>
      <w:r w:rsidR="00632849">
        <w:rPr>
          <w:rFonts w:asciiTheme="majorEastAsia" w:eastAsiaTheme="majorEastAsia" w:hAnsiTheme="majorEastAsia" w:hint="eastAsia"/>
        </w:rPr>
        <w:t>の第５</w:t>
      </w:r>
      <w:r w:rsidR="00513C19" w:rsidRPr="000F36F6">
        <w:rPr>
          <w:rFonts w:asciiTheme="majorEastAsia" w:eastAsiaTheme="majorEastAsia" w:hAnsiTheme="majorEastAsia" w:hint="eastAsia"/>
        </w:rPr>
        <w:t>に係る</w:t>
      </w:r>
      <w:r w:rsidR="00513C19" w:rsidRPr="00C157DD">
        <w:rPr>
          <w:rFonts w:asciiTheme="majorEastAsia" w:eastAsiaTheme="majorEastAsia" w:hAnsiTheme="majorEastAsia" w:hint="eastAsia"/>
          <w:color w:val="000000" w:themeColor="text1"/>
        </w:rPr>
        <w:t>歳入及び歳出に関する計画</w:t>
      </w:r>
    </w:p>
    <w:p w:rsidR="0057560A" w:rsidRPr="00C157DD" w:rsidRDefault="0057560A">
      <w:pPr>
        <w:rPr>
          <w:rFonts w:asciiTheme="majorEastAsia" w:eastAsiaTheme="majorEastAsia" w:hAnsiTheme="majorEastAsia"/>
          <w:color w:val="000000" w:themeColor="text1"/>
        </w:rPr>
      </w:pPr>
    </w:p>
    <w:p w:rsidR="00FB07EF" w:rsidRDefault="00453CC9" w:rsidP="00145D04">
      <w:pPr>
        <w:ind w:leftChars="135" w:left="283" w:firstLineChars="135" w:firstLine="283"/>
      </w:pPr>
      <w:r w:rsidRPr="00C157DD">
        <w:rPr>
          <w:rFonts w:hint="eastAsia"/>
          <w:color w:val="000000" w:themeColor="text1"/>
        </w:rPr>
        <w:t>（１）～（</w:t>
      </w:r>
      <w:r w:rsidR="000402C1" w:rsidRPr="00C157DD">
        <w:rPr>
          <w:rFonts w:hint="eastAsia"/>
          <w:color w:val="000000" w:themeColor="text1"/>
        </w:rPr>
        <w:t>４</w:t>
      </w:r>
      <w:r w:rsidRPr="00C157DD">
        <w:rPr>
          <w:rFonts w:hint="eastAsia"/>
          <w:color w:val="000000" w:themeColor="text1"/>
        </w:rPr>
        <w:t>）については、</w:t>
      </w:r>
      <w:r w:rsidR="00FB052D" w:rsidRPr="00C157DD">
        <w:rPr>
          <w:rFonts w:hint="eastAsia"/>
          <w:color w:val="000000" w:themeColor="text1"/>
        </w:rPr>
        <w:t>「</w:t>
      </w:r>
      <w:r w:rsidR="00A265ED" w:rsidRPr="00C157DD">
        <w:rPr>
          <w:rFonts w:hint="eastAsia"/>
          <w:color w:val="000000" w:themeColor="text1"/>
        </w:rPr>
        <w:t>粗い試算（</w:t>
      </w:r>
      <w:r w:rsidR="001B4067">
        <w:rPr>
          <w:rFonts w:hint="eastAsia"/>
          <w:color w:val="000000" w:themeColor="text1"/>
        </w:rPr>
        <w:t>２９</w:t>
      </w:r>
      <w:r w:rsidR="00DF1563" w:rsidRPr="00C157DD">
        <w:rPr>
          <w:rFonts w:hint="eastAsia"/>
          <w:color w:val="000000" w:themeColor="text1"/>
        </w:rPr>
        <w:t>年２</w:t>
      </w:r>
      <w:r w:rsidR="003730EB" w:rsidRPr="00C157DD">
        <w:rPr>
          <w:rFonts w:hint="eastAsia"/>
          <w:color w:val="000000" w:themeColor="text1"/>
        </w:rPr>
        <w:t>月</w:t>
      </w:r>
      <w:r w:rsidR="00A265ED" w:rsidRPr="00C157DD">
        <w:rPr>
          <w:rFonts w:hint="eastAsia"/>
          <w:color w:val="000000" w:themeColor="text1"/>
        </w:rPr>
        <w:t>版）</w:t>
      </w:r>
      <w:r w:rsidR="00FB052D" w:rsidRPr="00C157DD">
        <w:rPr>
          <w:rFonts w:hint="eastAsia"/>
          <w:color w:val="000000" w:themeColor="text1"/>
        </w:rPr>
        <w:t>」</w:t>
      </w:r>
      <w:r w:rsidRPr="00C157DD">
        <w:rPr>
          <w:rFonts w:hint="eastAsia"/>
          <w:color w:val="000000" w:themeColor="text1"/>
        </w:rPr>
        <w:t>に織</w:t>
      </w:r>
      <w:r>
        <w:rPr>
          <w:rFonts w:hint="eastAsia"/>
        </w:rPr>
        <w:t>り込み済み。</w:t>
      </w:r>
    </w:p>
    <w:p w:rsidR="000C4B28" w:rsidRPr="000C4B28" w:rsidRDefault="000402C1" w:rsidP="000C4B28">
      <w:pPr>
        <w:ind w:leftChars="135" w:left="283" w:firstLineChars="135" w:firstLine="283"/>
      </w:pPr>
      <w:r>
        <w:rPr>
          <w:rFonts w:hint="eastAsia"/>
        </w:rPr>
        <w:t>また、（５</w:t>
      </w:r>
      <w:r w:rsidR="000C4B28">
        <w:rPr>
          <w:rFonts w:hint="eastAsia"/>
        </w:rPr>
        <w:t>）については、平成２３年８月に策定した「大阪</w:t>
      </w:r>
      <w:r w:rsidR="00EF3D05">
        <w:rPr>
          <w:rFonts w:hint="eastAsia"/>
        </w:rPr>
        <w:t>府債の発行管理に関する基本的な考え方及び事務取扱指針」に基づき</w:t>
      </w:r>
      <w:r w:rsidR="00CD5480">
        <w:rPr>
          <w:rFonts w:hint="eastAsia"/>
        </w:rPr>
        <w:t>、</w:t>
      </w:r>
      <w:r w:rsidR="00E17E17">
        <w:rPr>
          <w:rFonts w:hint="eastAsia"/>
        </w:rPr>
        <w:t>毎年度大阪府債発行計画を策定。</w:t>
      </w:r>
      <w:r w:rsidR="000C4B28">
        <w:rPr>
          <w:rFonts w:hint="eastAsia"/>
        </w:rPr>
        <w:t>中長期的な視点からリスクをコントロールし</w:t>
      </w:r>
      <w:r w:rsidR="00F336AB">
        <w:rPr>
          <w:rFonts w:hint="eastAsia"/>
        </w:rPr>
        <w:t>つつ、利払い額</w:t>
      </w:r>
      <w:r w:rsidR="00E17E17">
        <w:rPr>
          <w:rFonts w:hint="eastAsia"/>
        </w:rPr>
        <w:t>の</w:t>
      </w:r>
      <w:r w:rsidR="00F336AB">
        <w:rPr>
          <w:rFonts w:hint="eastAsia"/>
        </w:rPr>
        <w:t>低減</w:t>
      </w:r>
      <w:r w:rsidR="00E17E17">
        <w:rPr>
          <w:rFonts w:hint="eastAsia"/>
        </w:rPr>
        <w:t>をめざす。</w:t>
      </w:r>
    </w:p>
    <w:p w:rsidR="008843F3" w:rsidRPr="00F17DFF" w:rsidRDefault="008843F3" w:rsidP="008843F3">
      <w:pPr>
        <w:ind w:leftChars="134" w:left="281" w:firstLineChars="68" w:firstLine="143"/>
        <w:rPr>
          <w:szCs w:val="21"/>
        </w:rPr>
      </w:pPr>
    </w:p>
    <w:p w:rsidR="008843F3" w:rsidRDefault="008843F3" w:rsidP="008843F3">
      <w:pPr>
        <w:ind w:leftChars="134" w:left="281" w:firstLineChars="68" w:firstLine="143"/>
        <w:rPr>
          <w:szCs w:val="21"/>
        </w:rPr>
      </w:pPr>
    </w:p>
    <w:p w:rsidR="008843F3" w:rsidRDefault="0050362C" w:rsidP="0050362C">
      <w:pPr>
        <w:ind w:leftChars="134" w:left="281" w:firstLineChars="68" w:firstLine="143"/>
      </w:pPr>
      <w:r w:rsidRPr="0050362C">
        <w:rPr>
          <w:rFonts w:hint="eastAsia"/>
        </w:rPr>
        <w:t>○財政収支の見通し</w:t>
      </w:r>
    </w:p>
    <w:p w:rsidR="00D46057" w:rsidRDefault="00D46057" w:rsidP="0050362C">
      <w:pPr>
        <w:ind w:leftChars="134" w:left="281" w:firstLineChars="68" w:firstLine="143"/>
      </w:pPr>
    </w:p>
    <w:p w:rsidR="00942C6A" w:rsidRDefault="00DC4454" w:rsidP="00942C6A">
      <w:pPr>
        <w:ind w:leftChars="134" w:left="281" w:firstLineChars="68" w:firstLine="143"/>
      </w:pPr>
      <w:r>
        <w:rPr>
          <w:noProof/>
        </w:rPr>
        <w:drawing>
          <wp:inline distT="0" distB="0" distL="0" distR="0">
            <wp:extent cx="5391785" cy="2639695"/>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785" cy="2639695"/>
                    </a:xfrm>
                    <a:prstGeom prst="rect">
                      <a:avLst/>
                    </a:prstGeom>
                    <a:noFill/>
                    <a:ln>
                      <a:noFill/>
                    </a:ln>
                  </pic:spPr>
                </pic:pic>
              </a:graphicData>
            </a:graphic>
          </wp:inline>
        </w:drawing>
      </w:r>
    </w:p>
    <w:p w:rsidR="00DC4454" w:rsidRDefault="00DC4454" w:rsidP="009363F4">
      <w:pPr>
        <w:ind w:firstLineChars="200" w:firstLine="420"/>
        <w:rPr>
          <w:szCs w:val="21"/>
        </w:rPr>
      </w:pPr>
    </w:p>
    <w:p w:rsidR="0050362C" w:rsidRDefault="0050362C" w:rsidP="009363F4">
      <w:pPr>
        <w:ind w:firstLineChars="200" w:firstLine="420"/>
      </w:pPr>
      <w:r w:rsidRPr="00A3318C">
        <w:rPr>
          <w:rFonts w:hint="eastAsia"/>
          <w:szCs w:val="21"/>
        </w:rPr>
        <w:t>（</w:t>
      </w:r>
      <w:r w:rsidR="00FB052D">
        <w:rPr>
          <w:rFonts w:hint="eastAsia"/>
          <w:szCs w:val="21"/>
        </w:rPr>
        <w:t>「</w:t>
      </w:r>
      <w:r w:rsidRPr="00A3318C">
        <w:rPr>
          <w:rFonts w:hint="eastAsia"/>
          <w:szCs w:val="21"/>
        </w:rPr>
        <w:t>粗い試</w:t>
      </w:r>
      <w:r w:rsidRPr="001862B6">
        <w:rPr>
          <w:rFonts w:hint="eastAsia"/>
          <w:color w:val="000000" w:themeColor="text1"/>
          <w:szCs w:val="21"/>
        </w:rPr>
        <w:t>算</w:t>
      </w:r>
      <w:r w:rsidR="00A265ED" w:rsidRPr="001862B6">
        <w:rPr>
          <w:rFonts w:hint="eastAsia"/>
          <w:color w:val="000000" w:themeColor="text1"/>
          <w:szCs w:val="21"/>
        </w:rPr>
        <w:t>（</w:t>
      </w:r>
      <w:r w:rsidR="001B4067">
        <w:rPr>
          <w:rFonts w:hint="eastAsia"/>
          <w:color w:val="000000" w:themeColor="text1"/>
          <w:szCs w:val="21"/>
        </w:rPr>
        <w:t>２９</w:t>
      </w:r>
      <w:r w:rsidR="00DF1563" w:rsidRPr="001862B6">
        <w:rPr>
          <w:rFonts w:hint="eastAsia"/>
          <w:color w:val="000000" w:themeColor="text1"/>
          <w:szCs w:val="21"/>
        </w:rPr>
        <w:t>年２</w:t>
      </w:r>
      <w:r w:rsidRPr="001862B6">
        <w:rPr>
          <w:rFonts w:hint="eastAsia"/>
          <w:color w:val="000000" w:themeColor="text1"/>
          <w:szCs w:val="21"/>
        </w:rPr>
        <w:t>月版</w:t>
      </w:r>
      <w:r w:rsidR="00A265ED" w:rsidRPr="001862B6">
        <w:rPr>
          <w:rFonts w:hint="eastAsia"/>
          <w:color w:val="000000" w:themeColor="text1"/>
          <w:szCs w:val="21"/>
        </w:rPr>
        <w:t>）</w:t>
      </w:r>
      <w:r w:rsidR="00FB052D">
        <w:rPr>
          <w:rFonts w:hint="eastAsia"/>
          <w:szCs w:val="21"/>
        </w:rPr>
        <w:t>」</w:t>
      </w:r>
      <w:r w:rsidRPr="00A3318C">
        <w:rPr>
          <w:rFonts w:hint="eastAsia"/>
          <w:szCs w:val="21"/>
        </w:rPr>
        <w:t>より）</w:t>
      </w:r>
    </w:p>
    <w:p w:rsidR="0050362C" w:rsidRDefault="0050362C" w:rsidP="000F36F6">
      <w:pPr>
        <w:ind w:leftChars="1" w:left="283" w:hangingChars="134" w:hanging="281"/>
      </w:pPr>
    </w:p>
    <w:p w:rsidR="00513C19" w:rsidRPr="00513C19" w:rsidRDefault="0050362C" w:rsidP="00AA3CF6">
      <w:pPr>
        <w:widowControl/>
        <w:jc w:val="left"/>
      </w:pPr>
      <w:r>
        <w:br w:type="page"/>
      </w:r>
    </w:p>
    <w:p w:rsidR="00513C19" w:rsidRPr="00A3318C" w:rsidRDefault="00513C19">
      <w:pPr>
        <w:rPr>
          <w:rFonts w:asciiTheme="majorEastAsia" w:eastAsiaTheme="majorEastAsia" w:hAnsiTheme="majorEastAsia"/>
        </w:rPr>
      </w:pPr>
      <w:r w:rsidRPr="00A3318C">
        <w:rPr>
          <w:rFonts w:asciiTheme="majorEastAsia" w:eastAsiaTheme="majorEastAsia" w:hAnsiTheme="majorEastAsia" w:hint="eastAsia"/>
        </w:rPr>
        <w:lastRenderedPageBreak/>
        <w:t>第</w:t>
      </w:r>
      <w:r w:rsidR="00A3318C">
        <w:rPr>
          <w:rFonts w:asciiTheme="majorEastAsia" w:eastAsiaTheme="majorEastAsia" w:hAnsiTheme="majorEastAsia" w:hint="eastAsia"/>
        </w:rPr>
        <w:t>７</w:t>
      </w:r>
      <w:r w:rsidR="00343B55">
        <w:rPr>
          <w:rFonts w:asciiTheme="majorEastAsia" w:eastAsiaTheme="majorEastAsia" w:hAnsiTheme="majorEastAsia" w:hint="eastAsia"/>
        </w:rPr>
        <w:t xml:space="preserve">　各年度</w:t>
      </w:r>
      <w:r w:rsidRPr="00A3318C">
        <w:rPr>
          <w:rFonts w:asciiTheme="majorEastAsia" w:eastAsiaTheme="majorEastAsia" w:hAnsiTheme="majorEastAsia" w:hint="eastAsia"/>
        </w:rPr>
        <w:t>の実質公債費比率の見通し</w:t>
      </w:r>
    </w:p>
    <w:p w:rsidR="00E00D54" w:rsidRDefault="00E00D54" w:rsidP="00997E0D">
      <w:pPr>
        <w:ind w:leftChars="135" w:left="283" w:firstLineChars="135" w:firstLine="283"/>
      </w:pPr>
    </w:p>
    <w:p w:rsidR="00E00D54" w:rsidRPr="00C157DD" w:rsidRDefault="00E00D54" w:rsidP="00997E0D">
      <w:pPr>
        <w:ind w:leftChars="135" w:left="283" w:firstLineChars="135" w:firstLine="283"/>
        <w:rPr>
          <w:color w:val="000000" w:themeColor="text1"/>
        </w:rPr>
      </w:pPr>
      <w:r w:rsidRPr="00E00D54">
        <w:rPr>
          <w:rFonts w:hint="eastAsia"/>
        </w:rPr>
        <w:t>本府では、財政運営基本条例第１</w:t>
      </w:r>
      <w:r w:rsidRPr="00C157DD">
        <w:rPr>
          <w:rFonts w:hint="eastAsia"/>
          <w:color w:val="000000" w:themeColor="text1"/>
        </w:rPr>
        <w:t>７条の規定に基づき、実質公債費比率を２５％以上にしない財政運営を目標としている。</w:t>
      </w:r>
    </w:p>
    <w:p w:rsidR="00697598" w:rsidRPr="00C157DD" w:rsidRDefault="00677D8B" w:rsidP="00697598">
      <w:pPr>
        <w:ind w:leftChars="135" w:left="283" w:firstLineChars="135" w:firstLine="283"/>
        <w:rPr>
          <w:color w:val="000000" w:themeColor="text1"/>
        </w:rPr>
      </w:pPr>
      <w:r w:rsidRPr="00C157DD">
        <w:rPr>
          <w:rFonts w:hint="eastAsia"/>
          <w:color w:val="000000" w:themeColor="text1"/>
        </w:rPr>
        <w:t>本府</w:t>
      </w:r>
      <w:r w:rsidR="00107177" w:rsidRPr="00C157DD">
        <w:rPr>
          <w:rFonts w:hint="eastAsia"/>
          <w:color w:val="000000" w:themeColor="text1"/>
        </w:rPr>
        <w:t>の実質公債費比率</w:t>
      </w:r>
      <w:r w:rsidR="001B7540" w:rsidRPr="00C157DD">
        <w:rPr>
          <w:rFonts w:hint="eastAsia"/>
          <w:color w:val="000000" w:themeColor="text1"/>
        </w:rPr>
        <w:t>について</w:t>
      </w:r>
      <w:r w:rsidR="0016032A" w:rsidRPr="00C157DD">
        <w:rPr>
          <w:rFonts w:hint="eastAsia"/>
          <w:color w:val="000000" w:themeColor="text1"/>
        </w:rPr>
        <w:t>は、</w:t>
      </w:r>
      <w:r w:rsidR="00FB052D" w:rsidRPr="00C157DD">
        <w:rPr>
          <w:rFonts w:hint="eastAsia"/>
          <w:color w:val="000000" w:themeColor="text1"/>
        </w:rPr>
        <w:t>「</w:t>
      </w:r>
      <w:r w:rsidR="001B4067">
        <w:rPr>
          <w:rFonts w:hint="eastAsia"/>
          <w:color w:val="000000" w:themeColor="text1"/>
        </w:rPr>
        <w:t>粗い試算（２９</w:t>
      </w:r>
      <w:r w:rsidR="00100991" w:rsidRPr="00C157DD">
        <w:rPr>
          <w:rFonts w:hint="eastAsia"/>
          <w:color w:val="000000" w:themeColor="text1"/>
        </w:rPr>
        <w:t>年２月版）</w:t>
      </w:r>
      <w:r w:rsidR="00FB052D" w:rsidRPr="00C157DD">
        <w:rPr>
          <w:rFonts w:hint="eastAsia"/>
          <w:color w:val="000000" w:themeColor="text1"/>
        </w:rPr>
        <w:t>」</w:t>
      </w:r>
      <w:r w:rsidR="002960CC" w:rsidRPr="00C157DD">
        <w:rPr>
          <w:rFonts w:hint="eastAsia"/>
          <w:color w:val="000000" w:themeColor="text1"/>
        </w:rPr>
        <w:t>では、</w:t>
      </w:r>
      <w:r w:rsidR="009A0330" w:rsidRPr="00C157DD">
        <w:rPr>
          <w:rFonts w:hint="eastAsia"/>
          <w:color w:val="000000" w:themeColor="text1"/>
        </w:rPr>
        <w:t>これ</w:t>
      </w:r>
      <w:r w:rsidR="00BD5324" w:rsidRPr="00C157DD">
        <w:rPr>
          <w:rFonts w:hint="eastAsia"/>
          <w:color w:val="000000" w:themeColor="text1"/>
        </w:rPr>
        <w:t>までの減債基金積立不足</w:t>
      </w:r>
      <w:r w:rsidR="00FB052D" w:rsidRPr="00C157DD">
        <w:rPr>
          <w:rFonts w:hint="eastAsia"/>
          <w:color w:val="000000" w:themeColor="text1"/>
        </w:rPr>
        <w:t>額</w:t>
      </w:r>
      <w:r w:rsidR="00BD5324" w:rsidRPr="00C157DD">
        <w:rPr>
          <w:rFonts w:hint="eastAsia"/>
          <w:color w:val="000000" w:themeColor="text1"/>
        </w:rPr>
        <w:t>への復元等により、</w:t>
      </w:r>
      <w:r w:rsidR="00697598" w:rsidRPr="00C157DD">
        <w:rPr>
          <w:rFonts w:hint="eastAsia"/>
          <w:color w:val="000000" w:themeColor="text1"/>
        </w:rPr>
        <w:t>実</w:t>
      </w:r>
      <w:r w:rsidR="00B84381" w:rsidRPr="00C157DD">
        <w:rPr>
          <w:rFonts w:hint="eastAsia"/>
          <w:color w:val="000000" w:themeColor="text1"/>
        </w:rPr>
        <w:t>質公債費比率が２５％以上となる状況は回避できる見込</w:t>
      </w:r>
      <w:r w:rsidR="00FB052D" w:rsidRPr="00C157DD">
        <w:rPr>
          <w:rFonts w:hint="eastAsia"/>
          <w:color w:val="000000" w:themeColor="text1"/>
        </w:rPr>
        <w:t>み</w:t>
      </w:r>
      <w:r w:rsidR="00B84381" w:rsidRPr="00C157DD">
        <w:rPr>
          <w:rFonts w:hint="eastAsia"/>
          <w:color w:val="000000" w:themeColor="text1"/>
        </w:rPr>
        <w:t>。</w:t>
      </w:r>
    </w:p>
    <w:p w:rsidR="00791F9A" w:rsidRDefault="00CA12E5" w:rsidP="00FC65F2">
      <w:pPr>
        <w:ind w:leftChars="135" w:left="283" w:firstLineChars="135" w:firstLine="283"/>
      </w:pPr>
      <w:r w:rsidRPr="00C157DD">
        <w:rPr>
          <w:rFonts w:hint="eastAsia"/>
          <w:color w:val="000000" w:themeColor="text1"/>
        </w:rPr>
        <w:t>減債基金の積立不足額</w:t>
      </w:r>
      <w:r w:rsidR="00F756B0" w:rsidRPr="00C157DD">
        <w:rPr>
          <w:rFonts w:hint="eastAsia"/>
          <w:color w:val="000000" w:themeColor="text1"/>
        </w:rPr>
        <w:t>の</w:t>
      </w:r>
      <w:r w:rsidRPr="00C157DD">
        <w:rPr>
          <w:rFonts w:hint="eastAsia"/>
          <w:color w:val="000000" w:themeColor="text1"/>
        </w:rPr>
        <w:t>早期解消及び早期の起債許可団体からの脱却をするため、計画的な</w:t>
      </w:r>
      <w:r w:rsidR="00F756B0" w:rsidRPr="00C157DD">
        <w:rPr>
          <w:rFonts w:hint="eastAsia"/>
          <w:color w:val="000000" w:themeColor="text1"/>
        </w:rPr>
        <w:t>減債基金への</w:t>
      </w:r>
      <w:r w:rsidRPr="00C157DD">
        <w:rPr>
          <w:rFonts w:hint="eastAsia"/>
          <w:color w:val="000000" w:themeColor="text1"/>
        </w:rPr>
        <w:t>復元を行うことにより、</w:t>
      </w:r>
      <w:r w:rsidR="00CA021B">
        <w:rPr>
          <w:rFonts w:hint="eastAsia"/>
          <w:color w:val="000000" w:themeColor="text1"/>
        </w:rPr>
        <w:t>本府の実質公債費比率は、</w:t>
      </w:r>
      <w:r w:rsidR="002D1193" w:rsidRPr="00C157DD">
        <w:rPr>
          <w:rFonts w:hint="eastAsia"/>
          <w:color w:val="000000" w:themeColor="text1"/>
        </w:rPr>
        <w:t>平成</w:t>
      </w:r>
      <w:r w:rsidR="009A0330" w:rsidRPr="00C157DD">
        <w:rPr>
          <w:rFonts w:hint="eastAsia"/>
          <w:color w:val="000000" w:themeColor="text1"/>
        </w:rPr>
        <w:t>３２</w:t>
      </w:r>
      <w:r w:rsidR="004529F8">
        <w:rPr>
          <w:rFonts w:hint="eastAsia"/>
          <w:color w:val="000000" w:themeColor="text1"/>
        </w:rPr>
        <w:t>年度</w:t>
      </w:r>
      <w:r w:rsidR="00615A58">
        <w:rPr>
          <w:rFonts w:hint="eastAsia"/>
          <w:color w:val="000000" w:themeColor="text1"/>
        </w:rPr>
        <w:t>（平成２</w:t>
      </w:r>
      <w:r w:rsidR="00C82A18">
        <w:rPr>
          <w:rFonts w:hint="eastAsia"/>
          <w:color w:val="000000" w:themeColor="text1"/>
        </w:rPr>
        <w:t>９</w:t>
      </w:r>
      <w:r w:rsidR="00615A58">
        <w:rPr>
          <w:rFonts w:hint="eastAsia"/>
          <w:color w:val="000000" w:themeColor="text1"/>
        </w:rPr>
        <w:t>～３１年度平均）</w:t>
      </w:r>
      <w:r w:rsidR="004529F8">
        <w:rPr>
          <w:rFonts w:hint="eastAsia"/>
          <w:color w:val="000000" w:themeColor="text1"/>
        </w:rPr>
        <w:t>に</w:t>
      </w:r>
      <w:r w:rsidR="00791F9A" w:rsidRPr="00C157DD">
        <w:rPr>
          <w:rFonts w:hint="eastAsia"/>
          <w:color w:val="000000" w:themeColor="text1"/>
        </w:rPr>
        <w:t>１８％を下回</w:t>
      </w:r>
      <w:r w:rsidR="00791F9A">
        <w:rPr>
          <w:rFonts w:hint="eastAsia"/>
        </w:rPr>
        <w:t>る見込み。</w:t>
      </w:r>
    </w:p>
    <w:p w:rsidR="001F6C40" w:rsidRDefault="001F6C40" w:rsidP="008D6549">
      <w:pPr>
        <w:ind w:leftChars="135" w:left="283" w:firstLineChars="135" w:firstLine="283"/>
      </w:pPr>
    </w:p>
    <w:p w:rsidR="00E23745" w:rsidRPr="00E23745" w:rsidRDefault="00E23745" w:rsidP="008D6549">
      <w:pPr>
        <w:ind w:leftChars="135" w:left="283" w:firstLineChars="135" w:firstLine="283"/>
      </w:pPr>
    </w:p>
    <w:p w:rsidR="0050362C" w:rsidRDefault="0050362C" w:rsidP="008D6549">
      <w:pPr>
        <w:ind w:leftChars="135" w:left="283" w:firstLineChars="135" w:firstLine="283"/>
      </w:pPr>
    </w:p>
    <w:p w:rsidR="0050362C" w:rsidRDefault="0050362C" w:rsidP="0050362C">
      <w:pPr>
        <w:ind w:leftChars="135" w:left="283" w:firstLineChars="68" w:firstLine="143"/>
      </w:pPr>
      <w:r>
        <w:rPr>
          <w:rFonts w:hint="eastAsia"/>
        </w:rPr>
        <w:t>○実質公債費比率の推移</w:t>
      </w:r>
    </w:p>
    <w:p w:rsidR="00A04A16" w:rsidRDefault="00A04A16" w:rsidP="0050362C">
      <w:pPr>
        <w:ind w:leftChars="135" w:left="283" w:firstLineChars="68" w:firstLine="143"/>
      </w:pPr>
    </w:p>
    <w:p w:rsidR="00D601DE" w:rsidRDefault="00A04A16" w:rsidP="0050362C">
      <w:pPr>
        <w:ind w:leftChars="135" w:left="283" w:firstLineChars="68" w:firstLine="143"/>
      </w:pPr>
      <w:r>
        <w:rPr>
          <w:noProof/>
        </w:rPr>
        <w:drawing>
          <wp:inline distT="0" distB="0" distL="0" distR="0" wp14:anchorId="63E2C96F">
            <wp:extent cx="5287993" cy="3174519"/>
            <wp:effectExtent l="0" t="0" r="8255" b="698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3231" cy="3177664"/>
                    </a:xfrm>
                    <a:prstGeom prst="rect">
                      <a:avLst/>
                    </a:prstGeom>
                    <a:noFill/>
                    <a:ln>
                      <a:noFill/>
                    </a:ln>
                  </pic:spPr>
                </pic:pic>
              </a:graphicData>
            </a:graphic>
          </wp:inline>
        </w:drawing>
      </w:r>
    </w:p>
    <w:p w:rsidR="00203A76" w:rsidRDefault="00203A76" w:rsidP="00A04A16"/>
    <w:tbl>
      <w:tblPr>
        <w:tblStyle w:val="a4"/>
        <w:tblW w:w="8342" w:type="dxa"/>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342"/>
      </w:tblGrid>
      <w:tr w:rsidR="006C1851" w:rsidRPr="00716FDC" w:rsidTr="006C1851">
        <w:trPr>
          <w:trHeight w:val="1399"/>
        </w:trPr>
        <w:tc>
          <w:tcPr>
            <w:tcW w:w="8342" w:type="dxa"/>
          </w:tcPr>
          <w:p w:rsidR="0050362C" w:rsidRDefault="0050362C" w:rsidP="008D6549">
            <w:pPr>
              <w:ind w:leftChars="135" w:left="283" w:firstLineChars="135" w:firstLine="283"/>
            </w:pPr>
          </w:p>
          <w:p w:rsidR="006C1851" w:rsidRDefault="006C1851" w:rsidP="00376332">
            <w:pPr>
              <w:rPr>
                <w:szCs w:val="21"/>
              </w:rPr>
            </w:pPr>
            <w:r>
              <w:rPr>
                <w:rFonts w:hint="eastAsia"/>
                <w:szCs w:val="21"/>
              </w:rPr>
              <w:t>【</w:t>
            </w:r>
            <w:r w:rsidRPr="00716FDC">
              <w:rPr>
                <w:rFonts w:hint="eastAsia"/>
                <w:szCs w:val="21"/>
              </w:rPr>
              <w:t>財政運営基本条例</w:t>
            </w:r>
            <w:r w:rsidR="00F925CD">
              <w:rPr>
                <w:rFonts w:hint="eastAsia"/>
                <w:szCs w:val="21"/>
              </w:rPr>
              <w:t xml:space="preserve">　抜粋</w:t>
            </w:r>
            <w:r>
              <w:rPr>
                <w:rFonts w:hint="eastAsia"/>
                <w:szCs w:val="21"/>
              </w:rPr>
              <w:t>】</w:t>
            </w:r>
          </w:p>
          <w:p w:rsidR="006C1851" w:rsidRPr="00716FDC" w:rsidRDefault="006C1851" w:rsidP="00376332">
            <w:pPr>
              <w:rPr>
                <w:szCs w:val="21"/>
              </w:rPr>
            </w:pPr>
          </w:p>
          <w:p w:rsidR="006C1851" w:rsidRPr="006C1851" w:rsidRDefault="006C1851" w:rsidP="006C1851">
            <w:pPr>
              <w:ind w:leftChars="150" w:left="315"/>
              <w:rPr>
                <w:szCs w:val="21"/>
              </w:rPr>
            </w:pPr>
            <w:r w:rsidRPr="006C1851">
              <w:rPr>
                <w:rFonts w:hint="eastAsia"/>
                <w:szCs w:val="21"/>
              </w:rPr>
              <w:t>(</w:t>
            </w:r>
            <w:r w:rsidRPr="006C1851">
              <w:rPr>
                <w:rFonts w:hint="eastAsia"/>
                <w:szCs w:val="21"/>
              </w:rPr>
              <w:t>財政健全化に係る目標の設定</w:t>
            </w:r>
            <w:r w:rsidRPr="006C1851">
              <w:rPr>
                <w:rFonts w:hint="eastAsia"/>
                <w:szCs w:val="21"/>
              </w:rPr>
              <w:t>)</w:t>
            </w:r>
          </w:p>
          <w:p w:rsidR="006C1851" w:rsidRPr="00716FDC" w:rsidRDefault="006C1851" w:rsidP="006C1851">
            <w:pPr>
              <w:ind w:leftChars="151" w:left="458" w:rightChars="73" w:right="153" w:hangingChars="67" w:hanging="141"/>
              <w:rPr>
                <w:szCs w:val="21"/>
              </w:rPr>
            </w:pPr>
            <w:r w:rsidRPr="006C1851">
              <w:rPr>
                <w:rFonts w:hint="eastAsia"/>
                <w:szCs w:val="21"/>
              </w:rPr>
              <w:t>第十七条　府の財政運営は、健全化判断比率が早期健全化基準に定める数値以上の数値とならないことを目標として、これを行うものとする。</w:t>
            </w:r>
          </w:p>
          <w:p w:rsidR="006C1851" w:rsidRPr="00716FDC" w:rsidRDefault="006C1851" w:rsidP="006C1851">
            <w:pPr>
              <w:ind w:leftChars="219" w:left="601" w:rightChars="73" w:right="153" w:hangingChars="67" w:hanging="141"/>
              <w:rPr>
                <w:szCs w:val="21"/>
              </w:rPr>
            </w:pPr>
          </w:p>
        </w:tc>
      </w:tr>
    </w:tbl>
    <w:p w:rsidR="001F6C40" w:rsidRDefault="001F6C40" w:rsidP="002C7DC4"/>
    <w:sectPr w:rsidR="001F6C40" w:rsidSect="00B87D45">
      <w:footerReference w:type="default" r:id="rId17"/>
      <w:pgSz w:w="11906" w:h="16838"/>
      <w:pgMar w:top="1985" w:right="1701" w:bottom="1701" w:left="1701" w:header="851" w:footer="992" w:gutter="0"/>
      <w:pgNumType w:fmt="numberInDash"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13" w:rsidRDefault="000F3B13" w:rsidP="001F6C40">
      <w:r>
        <w:separator/>
      </w:r>
    </w:p>
  </w:endnote>
  <w:endnote w:type="continuationSeparator" w:id="0">
    <w:p w:rsidR="000F3B13" w:rsidRDefault="000F3B13" w:rsidP="001F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173291"/>
      <w:docPartObj>
        <w:docPartGallery w:val="Page Numbers (Bottom of Page)"/>
        <w:docPartUnique/>
      </w:docPartObj>
    </w:sdtPr>
    <w:sdtEndPr/>
    <w:sdtContent>
      <w:p w:rsidR="000F3B13" w:rsidRDefault="000F3B13">
        <w:pPr>
          <w:pStyle w:val="a9"/>
          <w:jc w:val="center"/>
        </w:pPr>
        <w:r>
          <w:fldChar w:fldCharType="begin"/>
        </w:r>
        <w:r>
          <w:instrText>PAGE   \* MERGEFORMAT</w:instrText>
        </w:r>
        <w:r>
          <w:fldChar w:fldCharType="separate"/>
        </w:r>
        <w:r w:rsidR="00FB44D5" w:rsidRPr="00FB44D5">
          <w:rPr>
            <w:noProof/>
            <w:lang w:val="ja-JP"/>
          </w:rPr>
          <w:t>-</w:t>
        </w:r>
        <w:r w:rsidR="00FB44D5">
          <w:rPr>
            <w:noProof/>
          </w:rPr>
          <w:t xml:space="preserve"> 6 -</w:t>
        </w:r>
        <w:r>
          <w:fldChar w:fldCharType="end"/>
        </w:r>
      </w:p>
    </w:sdtContent>
  </w:sdt>
  <w:p w:rsidR="000F3B13" w:rsidRDefault="000F3B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13" w:rsidRDefault="000F3B13" w:rsidP="001F6C40">
      <w:r>
        <w:separator/>
      </w:r>
    </w:p>
  </w:footnote>
  <w:footnote w:type="continuationSeparator" w:id="0">
    <w:p w:rsidR="000F3B13" w:rsidRDefault="000F3B13" w:rsidP="001F6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5908"/>
    <w:multiLevelType w:val="hybridMultilevel"/>
    <w:tmpl w:val="972041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1111FF"/>
    <w:multiLevelType w:val="hybridMultilevel"/>
    <w:tmpl w:val="25AE07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A9295C"/>
    <w:multiLevelType w:val="hybridMultilevel"/>
    <w:tmpl w:val="E0B06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19"/>
    <w:rsid w:val="00001F4A"/>
    <w:rsid w:val="000204BC"/>
    <w:rsid w:val="00021C10"/>
    <w:rsid w:val="0002440F"/>
    <w:rsid w:val="000302AB"/>
    <w:rsid w:val="000402C1"/>
    <w:rsid w:val="00047BCC"/>
    <w:rsid w:val="00050432"/>
    <w:rsid w:val="00053B6F"/>
    <w:rsid w:val="0005467F"/>
    <w:rsid w:val="000555B8"/>
    <w:rsid w:val="00066200"/>
    <w:rsid w:val="0008519F"/>
    <w:rsid w:val="000A18BA"/>
    <w:rsid w:val="000B473C"/>
    <w:rsid w:val="000B56C0"/>
    <w:rsid w:val="000C08BB"/>
    <w:rsid w:val="000C36FB"/>
    <w:rsid w:val="000C4B28"/>
    <w:rsid w:val="000C568C"/>
    <w:rsid w:val="000F18C4"/>
    <w:rsid w:val="000F36F6"/>
    <w:rsid w:val="000F3B13"/>
    <w:rsid w:val="00100991"/>
    <w:rsid w:val="00104867"/>
    <w:rsid w:val="00107177"/>
    <w:rsid w:val="00145D04"/>
    <w:rsid w:val="00145F45"/>
    <w:rsid w:val="0015540C"/>
    <w:rsid w:val="0016032A"/>
    <w:rsid w:val="00181AF1"/>
    <w:rsid w:val="001862B6"/>
    <w:rsid w:val="001B0EBC"/>
    <w:rsid w:val="001B4067"/>
    <w:rsid w:val="001B69F9"/>
    <w:rsid w:val="001B7540"/>
    <w:rsid w:val="001D52D8"/>
    <w:rsid w:val="001F6C40"/>
    <w:rsid w:val="002037C1"/>
    <w:rsid w:val="00203A76"/>
    <w:rsid w:val="00205600"/>
    <w:rsid w:val="00207BE7"/>
    <w:rsid w:val="00212E3D"/>
    <w:rsid w:val="00216F73"/>
    <w:rsid w:val="002208F1"/>
    <w:rsid w:val="00225AE9"/>
    <w:rsid w:val="00230274"/>
    <w:rsid w:val="00231CBA"/>
    <w:rsid w:val="00256F47"/>
    <w:rsid w:val="002634D0"/>
    <w:rsid w:val="002855A4"/>
    <w:rsid w:val="002925B5"/>
    <w:rsid w:val="00293823"/>
    <w:rsid w:val="002960CC"/>
    <w:rsid w:val="002C7C7F"/>
    <w:rsid w:val="002C7DC4"/>
    <w:rsid w:val="002D1193"/>
    <w:rsid w:val="002D708C"/>
    <w:rsid w:val="002D7B09"/>
    <w:rsid w:val="002E0460"/>
    <w:rsid w:val="002E1BEC"/>
    <w:rsid w:val="002E7A01"/>
    <w:rsid w:val="002F23AB"/>
    <w:rsid w:val="002F6F09"/>
    <w:rsid w:val="0030351A"/>
    <w:rsid w:val="00307C11"/>
    <w:rsid w:val="0032595B"/>
    <w:rsid w:val="00343B55"/>
    <w:rsid w:val="003730EB"/>
    <w:rsid w:val="00376332"/>
    <w:rsid w:val="00376BEA"/>
    <w:rsid w:val="00391D4F"/>
    <w:rsid w:val="00392677"/>
    <w:rsid w:val="00395651"/>
    <w:rsid w:val="003A4F76"/>
    <w:rsid w:val="003A4F9C"/>
    <w:rsid w:val="003B1421"/>
    <w:rsid w:val="003B3058"/>
    <w:rsid w:val="003B4738"/>
    <w:rsid w:val="003B7BDF"/>
    <w:rsid w:val="003D3132"/>
    <w:rsid w:val="003E204F"/>
    <w:rsid w:val="003E288D"/>
    <w:rsid w:val="003E61DF"/>
    <w:rsid w:val="00413764"/>
    <w:rsid w:val="004265B1"/>
    <w:rsid w:val="0043310D"/>
    <w:rsid w:val="004529F8"/>
    <w:rsid w:val="00453CC9"/>
    <w:rsid w:val="00467411"/>
    <w:rsid w:val="00482D53"/>
    <w:rsid w:val="00487F6F"/>
    <w:rsid w:val="00497766"/>
    <w:rsid w:val="004A33EF"/>
    <w:rsid w:val="004B09A4"/>
    <w:rsid w:val="004B5E1B"/>
    <w:rsid w:val="004F68F8"/>
    <w:rsid w:val="004F7A10"/>
    <w:rsid w:val="0050362C"/>
    <w:rsid w:val="0050540B"/>
    <w:rsid w:val="00512773"/>
    <w:rsid w:val="00513C19"/>
    <w:rsid w:val="005405E5"/>
    <w:rsid w:val="005425EE"/>
    <w:rsid w:val="005579E7"/>
    <w:rsid w:val="00567719"/>
    <w:rsid w:val="00567F79"/>
    <w:rsid w:val="0057560A"/>
    <w:rsid w:val="005824C4"/>
    <w:rsid w:val="005B3DB7"/>
    <w:rsid w:val="005B56D7"/>
    <w:rsid w:val="005D6B17"/>
    <w:rsid w:val="005E4203"/>
    <w:rsid w:val="006011D5"/>
    <w:rsid w:val="00604379"/>
    <w:rsid w:val="00612D3C"/>
    <w:rsid w:val="00615A58"/>
    <w:rsid w:val="006230AD"/>
    <w:rsid w:val="00624529"/>
    <w:rsid w:val="0063084B"/>
    <w:rsid w:val="00632849"/>
    <w:rsid w:val="00650130"/>
    <w:rsid w:val="00651DC1"/>
    <w:rsid w:val="006534FB"/>
    <w:rsid w:val="0065571C"/>
    <w:rsid w:val="00663128"/>
    <w:rsid w:val="006632B6"/>
    <w:rsid w:val="006731E7"/>
    <w:rsid w:val="00677D8B"/>
    <w:rsid w:val="006902C1"/>
    <w:rsid w:val="00691A11"/>
    <w:rsid w:val="00693B90"/>
    <w:rsid w:val="0069745D"/>
    <w:rsid w:val="00697598"/>
    <w:rsid w:val="006A61D6"/>
    <w:rsid w:val="006A69B5"/>
    <w:rsid w:val="006A7FE2"/>
    <w:rsid w:val="006B0971"/>
    <w:rsid w:val="006C1851"/>
    <w:rsid w:val="006C1B35"/>
    <w:rsid w:val="006D09D6"/>
    <w:rsid w:val="006E48CF"/>
    <w:rsid w:val="007022ED"/>
    <w:rsid w:val="00702489"/>
    <w:rsid w:val="00704E1B"/>
    <w:rsid w:val="00716FDC"/>
    <w:rsid w:val="00720E4C"/>
    <w:rsid w:val="00745C6E"/>
    <w:rsid w:val="00752B95"/>
    <w:rsid w:val="00756AAD"/>
    <w:rsid w:val="00764AA7"/>
    <w:rsid w:val="007650F0"/>
    <w:rsid w:val="00775B3A"/>
    <w:rsid w:val="007807D4"/>
    <w:rsid w:val="00785D4F"/>
    <w:rsid w:val="00791F9A"/>
    <w:rsid w:val="007C3FB5"/>
    <w:rsid w:val="007C6D05"/>
    <w:rsid w:val="007E3217"/>
    <w:rsid w:val="007E7249"/>
    <w:rsid w:val="007F52FC"/>
    <w:rsid w:val="00812E4B"/>
    <w:rsid w:val="00821E22"/>
    <w:rsid w:val="008268B6"/>
    <w:rsid w:val="0083099E"/>
    <w:rsid w:val="00830A5E"/>
    <w:rsid w:val="00843F29"/>
    <w:rsid w:val="0084435F"/>
    <w:rsid w:val="00852D68"/>
    <w:rsid w:val="0085670F"/>
    <w:rsid w:val="008722B6"/>
    <w:rsid w:val="00882622"/>
    <w:rsid w:val="008843F3"/>
    <w:rsid w:val="00884663"/>
    <w:rsid w:val="008A2E82"/>
    <w:rsid w:val="008B70C1"/>
    <w:rsid w:val="008C28F9"/>
    <w:rsid w:val="008C3006"/>
    <w:rsid w:val="008C338F"/>
    <w:rsid w:val="008D1405"/>
    <w:rsid w:val="008D38B3"/>
    <w:rsid w:val="008D6549"/>
    <w:rsid w:val="008F1897"/>
    <w:rsid w:val="008F3705"/>
    <w:rsid w:val="0091285B"/>
    <w:rsid w:val="00913D64"/>
    <w:rsid w:val="00922B0C"/>
    <w:rsid w:val="0092734D"/>
    <w:rsid w:val="0093207D"/>
    <w:rsid w:val="009363F4"/>
    <w:rsid w:val="00942C6A"/>
    <w:rsid w:val="00945A20"/>
    <w:rsid w:val="00946153"/>
    <w:rsid w:val="0094681C"/>
    <w:rsid w:val="00956908"/>
    <w:rsid w:val="00965ECB"/>
    <w:rsid w:val="0098716B"/>
    <w:rsid w:val="00997E0D"/>
    <w:rsid w:val="009A0330"/>
    <w:rsid w:val="009B54C1"/>
    <w:rsid w:val="009C2DC6"/>
    <w:rsid w:val="009F65EE"/>
    <w:rsid w:val="00A04A16"/>
    <w:rsid w:val="00A06A87"/>
    <w:rsid w:val="00A2248B"/>
    <w:rsid w:val="00A265ED"/>
    <w:rsid w:val="00A3318C"/>
    <w:rsid w:val="00A40B04"/>
    <w:rsid w:val="00A574ED"/>
    <w:rsid w:val="00A64C67"/>
    <w:rsid w:val="00A766C8"/>
    <w:rsid w:val="00A833B5"/>
    <w:rsid w:val="00A84968"/>
    <w:rsid w:val="00A93000"/>
    <w:rsid w:val="00AA3CF6"/>
    <w:rsid w:val="00AA596D"/>
    <w:rsid w:val="00AB1946"/>
    <w:rsid w:val="00AC00A2"/>
    <w:rsid w:val="00AC0354"/>
    <w:rsid w:val="00AD5194"/>
    <w:rsid w:val="00AE67FB"/>
    <w:rsid w:val="00B0481F"/>
    <w:rsid w:val="00B10FFF"/>
    <w:rsid w:val="00B20308"/>
    <w:rsid w:val="00B3202E"/>
    <w:rsid w:val="00B351D3"/>
    <w:rsid w:val="00B37157"/>
    <w:rsid w:val="00B675FC"/>
    <w:rsid w:val="00B707EF"/>
    <w:rsid w:val="00B72909"/>
    <w:rsid w:val="00B73EA3"/>
    <w:rsid w:val="00B82390"/>
    <w:rsid w:val="00B84381"/>
    <w:rsid w:val="00B86AE9"/>
    <w:rsid w:val="00B87D45"/>
    <w:rsid w:val="00BA4EE1"/>
    <w:rsid w:val="00BB4892"/>
    <w:rsid w:val="00BC31CC"/>
    <w:rsid w:val="00BC44F4"/>
    <w:rsid w:val="00BD08F0"/>
    <w:rsid w:val="00BD5324"/>
    <w:rsid w:val="00BE1FE4"/>
    <w:rsid w:val="00C06060"/>
    <w:rsid w:val="00C107DD"/>
    <w:rsid w:val="00C11E1C"/>
    <w:rsid w:val="00C157DD"/>
    <w:rsid w:val="00C24416"/>
    <w:rsid w:val="00C323C2"/>
    <w:rsid w:val="00C40DDF"/>
    <w:rsid w:val="00C44C83"/>
    <w:rsid w:val="00C471F7"/>
    <w:rsid w:val="00C61D23"/>
    <w:rsid w:val="00C82A18"/>
    <w:rsid w:val="00C84112"/>
    <w:rsid w:val="00C92E8A"/>
    <w:rsid w:val="00CA021B"/>
    <w:rsid w:val="00CA12E5"/>
    <w:rsid w:val="00CA4E34"/>
    <w:rsid w:val="00CB1D48"/>
    <w:rsid w:val="00CB293C"/>
    <w:rsid w:val="00CB465D"/>
    <w:rsid w:val="00CB75FF"/>
    <w:rsid w:val="00CC7F1A"/>
    <w:rsid w:val="00CD0BE7"/>
    <w:rsid w:val="00CD5480"/>
    <w:rsid w:val="00CE505B"/>
    <w:rsid w:val="00CF17DB"/>
    <w:rsid w:val="00CF4B85"/>
    <w:rsid w:val="00CF68B4"/>
    <w:rsid w:val="00D01C5F"/>
    <w:rsid w:val="00D242A1"/>
    <w:rsid w:val="00D371D2"/>
    <w:rsid w:val="00D428E7"/>
    <w:rsid w:val="00D46057"/>
    <w:rsid w:val="00D509D5"/>
    <w:rsid w:val="00D524B3"/>
    <w:rsid w:val="00D52CD2"/>
    <w:rsid w:val="00D5681E"/>
    <w:rsid w:val="00D601DE"/>
    <w:rsid w:val="00D75C8F"/>
    <w:rsid w:val="00D96E06"/>
    <w:rsid w:val="00DB2133"/>
    <w:rsid w:val="00DB4074"/>
    <w:rsid w:val="00DC4454"/>
    <w:rsid w:val="00DD003A"/>
    <w:rsid w:val="00DE628A"/>
    <w:rsid w:val="00DF0AB3"/>
    <w:rsid w:val="00DF1563"/>
    <w:rsid w:val="00E00D54"/>
    <w:rsid w:val="00E103AF"/>
    <w:rsid w:val="00E16985"/>
    <w:rsid w:val="00E17E17"/>
    <w:rsid w:val="00E22D5E"/>
    <w:rsid w:val="00E23745"/>
    <w:rsid w:val="00E2699C"/>
    <w:rsid w:val="00E27F05"/>
    <w:rsid w:val="00E37655"/>
    <w:rsid w:val="00E43B11"/>
    <w:rsid w:val="00E6015C"/>
    <w:rsid w:val="00E60696"/>
    <w:rsid w:val="00E719DE"/>
    <w:rsid w:val="00E86A5B"/>
    <w:rsid w:val="00E9225F"/>
    <w:rsid w:val="00EA45F8"/>
    <w:rsid w:val="00EA5231"/>
    <w:rsid w:val="00EC22D0"/>
    <w:rsid w:val="00EC4059"/>
    <w:rsid w:val="00EC49A0"/>
    <w:rsid w:val="00ED7038"/>
    <w:rsid w:val="00EE4F68"/>
    <w:rsid w:val="00EE65D6"/>
    <w:rsid w:val="00EF3D05"/>
    <w:rsid w:val="00F1540C"/>
    <w:rsid w:val="00F17DFF"/>
    <w:rsid w:val="00F23A89"/>
    <w:rsid w:val="00F25813"/>
    <w:rsid w:val="00F336AB"/>
    <w:rsid w:val="00F36C94"/>
    <w:rsid w:val="00F455FC"/>
    <w:rsid w:val="00F65273"/>
    <w:rsid w:val="00F756B0"/>
    <w:rsid w:val="00F8066E"/>
    <w:rsid w:val="00F925CD"/>
    <w:rsid w:val="00F93E9E"/>
    <w:rsid w:val="00F95374"/>
    <w:rsid w:val="00F97914"/>
    <w:rsid w:val="00FB052D"/>
    <w:rsid w:val="00FB07EF"/>
    <w:rsid w:val="00FB44D5"/>
    <w:rsid w:val="00FC5B0C"/>
    <w:rsid w:val="00FC65F2"/>
    <w:rsid w:val="00FE19C6"/>
    <w:rsid w:val="00FE3F05"/>
    <w:rsid w:val="00FF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074"/>
    <w:pPr>
      <w:ind w:leftChars="400" w:left="840"/>
    </w:pPr>
  </w:style>
  <w:style w:type="table" w:styleId="a4">
    <w:name w:val="Table Grid"/>
    <w:basedOn w:val="a1"/>
    <w:uiPriority w:val="59"/>
    <w:rsid w:val="00F6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5C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5C8F"/>
    <w:rPr>
      <w:rFonts w:asciiTheme="majorHAnsi" w:eastAsiaTheme="majorEastAsia" w:hAnsiTheme="majorHAnsi" w:cstheme="majorBidi"/>
      <w:sz w:val="18"/>
      <w:szCs w:val="18"/>
    </w:rPr>
  </w:style>
  <w:style w:type="paragraph" w:styleId="a7">
    <w:name w:val="header"/>
    <w:basedOn w:val="a"/>
    <w:link w:val="a8"/>
    <w:uiPriority w:val="99"/>
    <w:unhideWhenUsed/>
    <w:rsid w:val="001F6C40"/>
    <w:pPr>
      <w:tabs>
        <w:tab w:val="center" w:pos="4252"/>
        <w:tab w:val="right" w:pos="8504"/>
      </w:tabs>
      <w:snapToGrid w:val="0"/>
    </w:pPr>
  </w:style>
  <w:style w:type="character" w:customStyle="1" w:styleId="a8">
    <w:name w:val="ヘッダー (文字)"/>
    <w:basedOn w:val="a0"/>
    <w:link w:val="a7"/>
    <w:uiPriority w:val="99"/>
    <w:rsid w:val="001F6C40"/>
  </w:style>
  <w:style w:type="paragraph" w:styleId="a9">
    <w:name w:val="footer"/>
    <w:basedOn w:val="a"/>
    <w:link w:val="aa"/>
    <w:uiPriority w:val="99"/>
    <w:unhideWhenUsed/>
    <w:rsid w:val="001F6C40"/>
    <w:pPr>
      <w:tabs>
        <w:tab w:val="center" w:pos="4252"/>
        <w:tab w:val="right" w:pos="8504"/>
      </w:tabs>
      <w:snapToGrid w:val="0"/>
    </w:pPr>
  </w:style>
  <w:style w:type="character" w:customStyle="1" w:styleId="aa">
    <w:name w:val="フッター (文字)"/>
    <w:basedOn w:val="a0"/>
    <w:link w:val="a9"/>
    <w:uiPriority w:val="99"/>
    <w:rsid w:val="001F6C40"/>
  </w:style>
  <w:style w:type="paragraph" w:styleId="Web">
    <w:name w:val="Normal (Web)"/>
    <w:basedOn w:val="a"/>
    <w:uiPriority w:val="99"/>
    <w:semiHidden/>
    <w:unhideWhenUsed/>
    <w:rsid w:val="006A7F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074"/>
    <w:pPr>
      <w:ind w:leftChars="400" w:left="840"/>
    </w:pPr>
  </w:style>
  <w:style w:type="table" w:styleId="a4">
    <w:name w:val="Table Grid"/>
    <w:basedOn w:val="a1"/>
    <w:uiPriority w:val="59"/>
    <w:rsid w:val="00F6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5C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5C8F"/>
    <w:rPr>
      <w:rFonts w:asciiTheme="majorHAnsi" w:eastAsiaTheme="majorEastAsia" w:hAnsiTheme="majorHAnsi" w:cstheme="majorBidi"/>
      <w:sz w:val="18"/>
      <w:szCs w:val="18"/>
    </w:rPr>
  </w:style>
  <w:style w:type="paragraph" w:styleId="a7">
    <w:name w:val="header"/>
    <w:basedOn w:val="a"/>
    <w:link w:val="a8"/>
    <w:uiPriority w:val="99"/>
    <w:unhideWhenUsed/>
    <w:rsid w:val="001F6C40"/>
    <w:pPr>
      <w:tabs>
        <w:tab w:val="center" w:pos="4252"/>
        <w:tab w:val="right" w:pos="8504"/>
      </w:tabs>
      <w:snapToGrid w:val="0"/>
    </w:pPr>
  </w:style>
  <w:style w:type="character" w:customStyle="1" w:styleId="a8">
    <w:name w:val="ヘッダー (文字)"/>
    <w:basedOn w:val="a0"/>
    <w:link w:val="a7"/>
    <w:uiPriority w:val="99"/>
    <w:rsid w:val="001F6C40"/>
  </w:style>
  <w:style w:type="paragraph" w:styleId="a9">
    <w:name w:val="footer"/>
    <w:basedOn w:val="a"/>
    <w:link w:val="aa"/>
    <w:uiPriority w:val="99"/>
    <w:unhideWhenUsed/>
    <w:rsid w:val="001F6C40"/>
    <w:pPr>
      <w:tabs>
        <w:tab w:val="center" w:pos="4252"/>
        <w:tab w:val="right" w:pos="8504"/>
      </w:tabs>
      <w:snapToGrid w:val="0"/>
    </w:pPr>
  </w:style>
  <w:style w:type="character" w:customStyle="1" w:styleId="aa">
    <w:name w:val="フッター (文字)"/>
    <w:basedOn w:val="a0"/>
    <w:link w:val="a9"/>
    <w:uiPriority w:val="99"/>
    <w:rsid w:val="001F6C40"/>
  </w:style>
  <w:style w:type="paragraph" w:styleId="Web">
    <w:name w:val="Normal (Web)"/>
    <w:basedOn w:val="a"/>
    <w:uiPriority w:val="99"/>
    <w:semiHidden/>
    <w:unhideWhenUsed/>
    <w:rsid w:val="006A7F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4035586142712"/>
          <c:y val="9.5930426607121866E-2"/>
          <c:w val="0.84900911491817799"/>
          <c:h val="0.72475950953891954"/>
        </c:manualLayout>
      </c:layout>
      <c:barChart>
        <c:barDir val="col"/>
        <c:grouping val="stacked"/>
        <c:varyColors val="0"/>
        <c:ser>
          <c:idx val="0"/>
          <c:order val="0"/>
          <c:tx>
            <c:strRef>
              <c:f>Sheet1!$B$9</c:f>
              <c:strCache>
                <c:ptCount val="1"/>
                <c:pt idx="0">
                  <c:v>府の減債基金実残高</c:v>
                </c:pt>
              </c:strCache>
            </c:strRef>
          </c:tx>
          <c:spPr>
            <a:solidFill>
              <a:schemeClr val="tx2"/>
            </a:solidFill>
            <a:ln>
              <a:noFill/>
            </a:ln>
          </c:spPr>
          <c:invertIfNegative val="0"/>
          <c:cat>
            <c:strRef>
              <c:f>Sheet1!$C$8:$P$8</c:f>
              <c:strCache>
                <c:ptCount val="14"/>
                <c:pt idx="0">
                  <c:v>H14</c:v>
                </c:pt>
                <c:pt idx="1">
                  <c:v>H15</c:v>
                </c:pt>
                <c:pt idx="2">
                  <c:v>H16</c:v>
                </c:pt>
                <c:pt idx="3">
                  <c:v>H17</c:v>
                </c:pt>
                <c:pt idx="4">
                  <c:v>H18</c:v>
                </c:pt>
                <c:pt idx="5">
                  <c:v>H19</c:v>
                </c:pt>
                <c:pt idx="6">
                  <c:v>H20</c:v>
                </c:pt>
                <c:pt idx="7">
                  <c:v>H21</c:v>
                </c:pt>
                <c:pt idx="8">
                  <c:v>H22</c:v>
                </c:pt>
                <c:pt idx="9">
                  <c:v>H23</c:v>
                </c:pt>
                <c:pt idx="10">
                  <c:v>H24</c:v>
                </c:pt>
                <c:pt idx="11">
                  <c:v>H25</c:v>
                </c:pt>
                <c:pt idx="12">
                  <c:v>H26</c:v>
                </c:pt>
                <c:pt idx="13">
                  <c:v>H27</c:v>
                </c:pt>
              </c:strCache>
            </c:strRef>
          </c:cat>
          <c:val>
            <c:numRef>
              <c:f>Sheet1!$C$9:$P$9</c:f>
              <c:numCache>
                <c:formatCode>#,##0;"▲ "#,##0</c:formatCode>
                <c:ptCount val="14"/>
                <c:pt idx="0">
                  <c:v>2215</c:v>
                </c:pt>
                <c:pt idx="1">
                  <c:v>2250</c:v>
                </c:pt>
                <c:pt idx="2">
                  <c:v>2608</c:v>
                </c:pt>
                <c:pt idx="3">
                  <c:v>2524</c:v>
                </c:pt>
                <c:pt idx="4">
                  <c:v>2515</c:v>
                </c:pt>
                <c:pt idx="5">
                  <c:v>2114</c:v>
                </c:pt>
                <c:pt idx="6">
                  <c:v>1792</c:v>
                </c:pt>
                <c:pt idx="7">
                  <c:v>1418</c:v>
                </c:pt>
                <c:pt idx="8">
                  <c:v>1665</c:v>
                </c:pt>
                <c:pt idx="9">
                  <c:v>1865</c:v>
                </c:pt>
                <c:pt idx="10">
                  <c:v>2817</c:v>
                </c:pt>
                <c:pt idx="11">
                  <c:v>3535</c:v>
                </c:pt>
                <c:pt idx="12">
                  <c:v>4125</c:v>
                </c:pt>
                <c:pt idx="13">
                  <c:v>3861</c:v>
                </c:pt>
              </c:numCache>
            </c:numRef>
          </c:val>
        </c:ser>
        <c:ser>
          <c:idx val="1"/>
          <c:order val="1"/>
          <c:tx>
            <c:strRef>
              <c:f>Sheet1!$B$10</c:f>
              <c:strCache>
                <c:ptCount val="1"/>
                <c:pt idx="0">
                  <c:v>実質公債費比率算定上の減債基金積立不足額</c:v>
                </c:pt>
              </c:strCache>
            </c:strRef>
          </c:tx>
          <c:spPr>
            <a:solidFill>
              <a:schemeClr val="accent6">
                <a:lumMod val="40000"/>
                <a:lumOff val="60000"/>
              </a:schemeClr>
            </a:solidFill>
            <a:ln>
              <a:noFill/>
              <a:prstDash val="dash"/>
            </a:ln>
          </c:spPr>
          <c:invertIfNegative val="0"/>
          <c:cat>
            <c:strRef>
              <c:f>Sheet1!$C$8:$P$8</c:f>
              <c:strCache>
                <c:ptCount val="14"/>
                <c:pt idx="0">
                  <c:v>H14</c:v>
                </c:pt>
                <c:pt idx="1">
                  <c:v>H15</c:v>
                </c:pt>
                <c:pt idx="2">
                  <c:v>H16</c:v>
                </c:pt>
                <c:pt idx="3">
                  <c:v>H17</c:v>
                </c:pt>
                <c:pt idx="4">
                  <c:v>H18</c:v>
                </c:pt>
                <c:pt idx="5">
                  <c:v>H19</c:v>
                </c:pt>
                <c:pt idx="6">
                  <c:v>H20</c:v>
                </c:pt>
                <c:pt idx="7">
                  <c:v>H21</c:v>
                </c:pt>
                <c:pt idx="8">
                  <c:v>H22</c:v>
                </c:pt>
                <c:pt idx="9">
                  <c:v>H23</c:v>
                </c:pt>
                <c:pt idx="10">
                  <c:v>H24</c:v>
                </c:pt>
                <c:pt idx="11">
                  <c:v>H25</c:v>
                </c:pt>
                <c:pt idx="12">
                  <c:v>H26</c:v>
                </c:pt>
                <c:pt idx="13">
                  <c:v>H27</c:v>
                </c:pt>
              </c:strCache>
            </c:strRef>
          </c:cat>
          <c:val>
            <c:numRef>
              <c:f>Sheet1!$C$10:$P$10</c:f>
              <c:numCache>
                <c:formatCode>#,##0;"▲ "#,##0</c:formatCode>
                <c:ptCount val="14"/>
                <c:pt idx="0">
                  <c:v>2953</c:v>
                </c:pt>
                <c:pt idx="1">
                  <c:v>3843</c:v>
                </c:pt>
                <c:pt idx="2">
                  <c:v>4133</c:v>
                </c:pt>
                <c:pt idx="3">
                  <c:v>4079</c:v>
                </c:pt>
                <c:pt idx="4">
                  <c:v>3701</c:v>
                </c:pt>
                <c:pt idx="5">
                  <c:v>3915</c:v>
                </c:pt>
                <c:pt idx="6">
                  <c:v>4358</c:v>
                </c:pt>
                <c:pt idx="7">
                  <c:v>4934</c:v>
                </c:pt>
                <c:pt idx="8">
                  <c:v>5182</c:v>
                </c:pt>
                <c:pt idx="9">
                  <c:v>5812</c:v>
                </c:pt>
                <c:pt idx="10">
                  <c:v>5907</c:v>
                </c:pt>
                <c:pt idx="11">
                  <c:v>5042</c:v>
                </c:pt>
                <c:pt idx="12">
                  <c:v>4486</c:v>
                </c:pt>
                <c:pt idx="13">
                  <c:v>4400</c:v>
                </c:pt>
              </c:numCache>
            </c:numRef>
          </c:val>
        </c:ser>
        <c:dLbls>
          <c:showLegendKey val="0"/>
          <c:showVal val="0"/>
          <c:showCatName val="0"/>
          <c:showSerName val="0"/>
          <c:showPercent val="0"/>
          <c:showBubbleSize val="0"/>
        </c:dLbls>
        <c:gapWidth val="85"/>
        <c:overlap val="100"/>
        <c:axId val="77090176"/>
        <c:axId val="78664832"/>
      </c:barChart>
      <c:catAx>
        <c:axId val="77090176"/>
        <c:scaling>
          <c:orientation val="minMax"/>
        </c:scaling>
        <c:delete val="0"/>
        <c:axPos val="b"/>
        <c:majorTickMark val="out"/>
        <c:minorTickMark val="none"/>
        <c:tickLblPos val="nextTo"/>
        <c:crossAx val="78664832"/>
        <c:crosses val="autoZero"/>
        <c:auto val="1"/>
        <c:lblAlgn val="ctr"/>
        <c:lblOffset val="100"/>
        <c:noMultiLvlLbl val="0"/>
      </c:catAx>
      <c:valAx>
        <c:axId val="78664832"/>
        <c:scaling>
          <c:orientation val="minMax"/>
        </c:scaling>
        <c:delete val="0"/>
        <c:axPos val="l"/>
        <c:majorGridlines/>
        <c:title>
          <c:tx>
            <c:rich>
              <a:bodyPr rot="0" vert="horz" anchor="ctr" anchorCtr="1"/>
              <a:lstStyle/>
              <a:p>
                <a:pPr>
                  <a:defRPr/>
                </a:pPr>
                <a:r>
                  <a:rPr lang="ja-JP" altLang="en-US" b="0"/>
                  <a:t>（単位：億円）</a:t>
                </a:r>
              </a:p>
            </c:rich>
          </c:tx>
          <c:layout>
            <c:manualLayout>
              <c:xMode val="edge"/>
              <c:yMode val="edge"/>
              <c:x val="2.9643199732226313E-2"/>
              <c:y val="1.4528930152387667E-2"/>
            </c:manualLayout>
          </c:layout>
          <c:overlay val="0"/>
        </c:title>
        <c:numFmt formatCode="#,##0;&quot;▲ &quot;#,##0" sourceLinked="1"/>
        <c:majorTickMark val="out"/>
        <c:minorTickMark val="none"/>
        <c:tickLblPos val="nextTo"/>
        <c:crossAx val="77090176"/>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969D-01D7-48DE-8B05-92331BCD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7</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22</cp:revision>
  <cp:lastPrinted>2017-08-31T06:02:00Z</cp:lastPrinted>
  <dcterms:created xsi:type="dcterms:W3CDTF">2016-08-26T06:11:00Z</dcterms:created>
  <dcterms:modified xsi:type="dcterms:W3CDTF">2017-08-31T06:53:00Z</dcterms:modified>
</cp:coreProperties>
</file>