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1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CellMar>
          <w:left w:w="99" w:type="dxa"/>
          <w:right w:w="99" w:type="dxa"/>
        </w:tblCellMar>
        <w:tblLook w:val="0000" w:firstRow="0" w:lastRow="0" w:firstColumn="0" w:lastColumn="0" w:noHBand="0" w:noVBand="0"/>
      </w:tblPr>
      <w:tblGrid>
        <w:gridCol w:w="5138"/>
      </w:tblGrid>
      <w:tr w:rsidR="00EA6E49" w:rsidRPr="00EA6E49" w:rsidTr="00BD41C5">
        <w:trPr>
          <w:trHeight w:val="544"/>
        </w:trPr>
        <w:tc>
          <w:tcPr>
            <w:tcW w:w="5138" w:type="dxa"/>
            <w:shd w:val="clear" w:color="auto" w:fill="FABF8F"/>
            <w:vAlign w:val="center"/>
          </w:tcPr>
          <w:p w:rsidR="00BB0E1B" w:rsidRPr="00BD41C5" w:rsidRDefault="00BB0E1B" w:rsidP="00BD41C5">
            <w:pPr>
              <w:spacing w:line="320" w:lineRule="exact"/>
              <w:jc w:val="center"/>
              <w:rPr>
                <w:rFonts w:ascii="ＭＳ Ｐゴシック" w:eastAsia="ＭＳ Ｐゴシック" w:hAnsi="ＭＳ Ｐゴシック"/>
                <w:b/>
                <w:color w:val="000000" w:themeColor="text1"/>
                <w:sz w:val="24"/>
                <w:szCs w:val="28"/>
              </w:rPr>
            </w:pPr>
            <w:r w:rsidRPr="00BD41C5">
              <w:rPr>
                <w:rFonts w:ascii="ＭＳ Ｐゴシック" w:eastAsia="ＭＳ Ｐゴシック" w:hAnsi="ＭＳ Ｐゴシック" w:hint="eastAsia"/>
                <w:b/>
                <w:color w:val="000000" w:themeColor="text1"/>
                <w:sz w:val="32"/>
                <w:szCs w:val="28"/>
              </w:rPr>
              <w:t>「府民サービス」と「負担」の状況</w:t>
            </w:r>
          </w:p>
        </w:tc>
      </w:tr>
    </w:tbl>
    <w:p w:rsidR="003B374E" w:rsidRPr="00371263" w:rsidRDefault="003B374E" w:rsidP="003B374E">
      <w:pPr>
        <w:widowControl/>
        <w:ind w:firstLineChars="100" w:firstLine="210"/>
        <w:jc w:val="left"/>
        <w:textAlignment w:val="baseline"/>
        <w:rPr>
          <w:rFonts w:ascii="ＭＳ 明朝" w:hAnsi="ＭＳ 明朝" w:cstheme="minorBidi"/>
          <w:snapToGrid/>
          <w:color w:val="000000" w:themeColor="text1"/>
          <w:kern w:val="24"/>
        </w:rPr>
      </w:pPr>
    </w:p>
    <w:p w:rsidR="003B374E" w:rsidRDefault="003B374E" w:rsidP="003B374E">
      <w:pPr>
        <w:widowControl/>
        <w:spacing w:line="240" w:lineRule="exact"/>
        <w:jc w:val="left"/>
        <w:textAlignment w:val="baseline"/>
        <w:rPr>
          <w:rFonts w:ascii="ＭＳ 明朝" w:hAnsi="ＭＳ 明朝" w:cstheme="minorBidi"/>
          <w:snapToGrid/>
          <w:color w:val="000000" w:themeColor="text1"/>
          <w:kern w:val="24"/>
        </w:rPr>
      </w:pPr>
    </w:p>
    <w:p w:rsidR="003B374E" w:rsidRPr="001763F5" w:rsidRDefault="003B374E" w:rsidP="003B374E">
      <w:pPr>
        <w:widowControl/>
        <w:spacing w:line="240" w:lineRule="exact"/>
        <w:jc w:val="left"/>
        <w:textAlignment w:val="baseline"/>
        <w:rPr>
          <w:rFonts w:ascii="ＭＳ 明朝" w:hAnsi="ＭＳ 明朝" w:cstheme="minorBidi"/>
          <w:snapToGrid/>
          <w:color w:val="000000" w:themeColor="text1"/>
          <w:kern w:val="24"/>
        </w:rPr>
      </w:pPr>
    </w:p>
    <w:p w:rsidR="003B374E" w:rsidRPr="003A40C7" w:rsidRDefault="003B374E" w:rsidP="00097B17">
      <w:pPr>
        <w:widowControl/>
        <w:spacing w:line="300" w:lineRule="exact"/>
        <w:ind w:leftChars="135" w:left="283" w:firstLineChars="100" w:firstLine="200"/>
        <w:jc w:val="left"/>
        <w:textAlignment w:val="baseline"/>
        <w:rPr>
          <w:rFonts w:ascii="ＭＳ 明朝" w:hAnsi="ＭＳ 明朝" w:cstheme="minorBidi"/>
          <w:snapToGrid/>
          <w:kern w:val="24"/>
          <w:sz w:val="20"/>
        </w:rPr>
      </w:pPr>
      <w:r w:rsidRPr="003A40C7">
        <w:rPr>
          <w:rFonts w:ascii="ＭＳ 明朝" w:hAnsi="ＭＳ 明朝" w:cstheme="minorBidi" w:hint="eastAsia"/>
          <w:snapToGrid/>
          <w:kern w:val="24"/>
          <w:sz w:val="20"/>
        </w:rPr>
        <w:t>時代時代の社会経済環境に応じて、府民の皆さんが必要とする行政サービスを提供することが府の使命です。一方、そうした活動を行っていくためには、当然のことながら、その経費を賄う財源が必要です。</w:t>
      </w:r>
    </w:p>
    <w:p w:rsidR="003B374E" w:rsidRPr="003A40C7" w:rsidRDefault="003B374E" w:rsidP="00097B17">
      <w:pPr>
        <w:widowControl/>
        <w:spacing w:line="300" w:lineRule="exact"/>
        <w:ind w:leftChars="135" w:left="283"/>
        <w:jc w:val="left"/>
        <w:textAlignment w:val="baseline"/>
        <w:rPr>
          <w:rFonts w:ascii="ＭＳ 明朝" w:hAnsi="ＭＳ 明朝" w:cstheme="minorBidi"/>
          <w:snapToGrid/>
          <w:kern w:val="24"/>
          <w:sz w:val="20"/>
        </w:rPr>
      </w:pPr>
      <w:r w:rsidRPr="003A40C7">
        <w:rPr>
          <w:rFonts w:ascii="ＭＳ 明朝" w:hAnsi="ＭＳ 明朝" w:cstheme="minorBidi" w:hint="eastAsia"/>
          <w:snapToGrid/>
          <w:kern w:val="24"/>
          <w:sz w:val="20"/>
        </w:rPr>
        <w:t xml:space="preserve">　府の財源には、予算のうえではいろいろな形のものがありますが、府税をはじめ、基本的には府民の皆さんに負担していただいているものです。</w:t>
      </w:r>
    </w:p>
    <w:p w:rsidR="003B374E" w:rsidRPr="003A40C7" w:rsidRDefault="003B374E" w:rsidP="00097B17">
      <w:pPr>
        <w:widowControl/>
        <w:spacing w:line="300" w:lineRule="exact"/>
        <w:ind w:leftChars="135" w:left="283"/>
        <w:jc w:val="left"/>
        <w:textAlignment w:val="baseline"/>
        <w:rPr>
          <w:rFonts w:ascii="ＭＳ 明朝" w:hAnsi="ＭＳ 明朝" w:cstheme="minorBidi"/>
          <w:snapToGrid/>
          <w:kern w:val="24"/>
          <w:sz w:val="20"/>
        </w:rPr>
      </w:pPr>
      <w:r w:rsidRPr="003A40C7">
        <w:rPr>
          <w:rFonts w:ascii="ＭＳ 明朝" w:hAnsi="ＭＳ 明朝" w:cstheme="minorBidi" w:hint="eastAsia"/>
          <w:snapToGrid/>
          <w:kern w:val="24"/>
          <w:sz w:val="20"/>
        </w:rPr>
        <w:t xml:space="preserve">　財政状況の公表にあたり、府民の皆さんに府の財政をより身近な問題として捉えていただけるよう、令和元年度当初予算をもとに、府の実施する行政サービス（以下「府民サービス」という）と、そのための「負担」の状況について、使途が特定されず、どのような経費にも使うことができる一般財源を中心に説明します。</w:t>
      </w:r>
    </w:p>
    <w:p w:rsidR="003B374E" w:rsidRDefault="003B374E" w:rsidP="007672EE">
      <w:pPr>
        <w:widowControl/>
        <w:spacing w:line="180" w:lineRule="exact"/>
        <w:jc w:val="left"/>
        <w:textAlignment w:val="baseline"/>
        <w:rPr>
          <w:rFonts w:ascii="ＭＳ 明朝" w:hAnsi="ＭＳ 明朝" w:cstheme="minorBidi"/>
          <w:snapToGrid/>
          <w:color w:val="000000" w:themeColor="text1"/>
          <w:kern w:val="24"/>
        </w:rPr>
      </w:pPr>
    </w:p>
    <w:p w:rsidR="002C0D39" w:rsidRDefault="007672EE" w:rsidP="002C0D39">
      <w:pPr>
        <w:spacing w:line="320" w:lineRule="exact"/>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w:t>
      </w:r>
      <w:r w:rsidR="002C0D39" w:rsidRPr="001763F5">
        <w:rPr>
          <w:rFonts w:ascii="ＭＳ Ｐゴシック" w:eastAsia="ＭＳ Ｐゴシック" w:hAnsi="ＭＳ Ｐゴシック" w:hint="eastAsia"/>
          <w:b/>
          <w:color w:val="000000" w:themeColor="text1"/>
          <w:sz w:val="24"/>
          <w:szCs w:val="24"/>
        </w:rPr>
        <w:t>府の予算と財源の</w:t>
      </w:r>
      <w:r w:rsidR="002C0D39" w:rsidRPr="002C7ABE">
        <w:rPr>
          <w:rFonts w:ascii="ＭＳ Ｐゴシック" w:eastAsia="ＭＳ Ｐゴシック" w:hAnsi="ＭＳ Ｐゴシック" w:hint="eastAsia"/>
          <w:b/>
          <w:sz w:val="24"/>
          <w:szCs w:val="24"/>
        </w:rPr>
        <w:t>構成・使いみち</w:t>
      </w:r>
    </w:p>
    <w:p w:rsidR="002C7ABE" w:rsidRPr="002C7ABE" w:rsidRDefault="002C7ABE" w:rsidP="00097B17">
      <w:pPr>
        <w:widowControl/>
        <w:spacing w:line="320" w:lineRule="exact"/>
        <w:ind w:leftChars="135" w:left="283" w:firstLineChars="100" w:firstLine="200"/>
        <w:jc w:val="left"/>
        <w:textAlignment w:val="baseline"/>
        <w:rPr>
          <w:rFonts w:ascii="ＭＳ 明朝" w:hAnsi="ＭＳ 明朝" w:cstheme="minorBidi"/>
          <w:snapToGrid/>
          <w:kern w:val="24"/>
          <w:sz w:val="20"/>
        </w:rPr>
      </w:pPr>
      <w:r w:rsidRPr="002C7ABE">
        <w:rPr>
          <w:rFonts w:ascii="ＭＳ 明朝" w:hAnsi="ＭＳ 明朝" w:cstheme="minorBidi" w:hint="eastAsia"/>
          <w:snapToGrid/>
          <w:kern w:val="24"/>
          <w:sz w:val="20"/>
        </w:rPr>
        <w:t>大阪府の予算のうち、一般財源は</w:t>
      </w:r>
      <w:r w:rsidR="00D8309D">
        <w:rPr>
          <w:rFonts w:ascii="ＭＳ 明朝" w:hAnsi="ＭＳ 明朝" w:cstheme="minorBidi" w:hint="eastAsia"/>
          <w:snapToGrid/>
          <w:kern w:val="24"/>
          <w:sz w:val="20"/>
        </w:rPr>
        <w:t>74</w:t>
      </w:r>
      <w:r w:rsidRPr="002C7ABE">
        <w:rPr>
          <w:rFonts w:ascii="ＭＳ 明朝" w:hAnsi="ＭＳ 明朝" w:cstheme="minorBidi" w:hint="eastAsia"/>
          <w:snapToGrid/>
          <w:kern w:val="24"/>
          <w:sz w:val="20"/>
        </w:rPr>
        <w:t>％を占めています。また、道路、河川、公園の建設費などの財源として将来世代と負担を分担するため、一般財源とは別に府債を発行して財源を調達し、後年度に償還（返済）をしています。</w:t>
      </w:r>
    </w:p>
    <w:p w:rsidR="002C7ABE" w:rsidRPr="002C7ABE" w:rsidRDefault="002C7ABE" w:rsidP="00097B17">
      <w:pPr>
        <w:widowControl/>
        <w:spacing w:line="320" w:lineRule="exact"/>
        <w:ind w:leftChars="135" w:left="283"/>
        <w:jc w:val="left"/>
        <w:textAlignment w:val="baseline"/>
        <w:rPr>
          <w:rFonts w:ascii="ＭＳ 明朝" w:hAnsi="ＭＳ 明朝" w:cstheme="minorBidi"/>
          <w:snapToGrid/>
          <w:kern w:val="24"/>
          <w:sz w:val="20"/>
        </w:rPr>
      </w:pPr>
      <w:r w:rsidRPr="002C7ABE">
        <w:rPr>
          <w:rFonts w:ascii="ＭＳ 明朝" w:hAnsi="ＭＳ 明朝" w:cstheme="minorBidi" w:hint="eastAsia"/>
          <w:snapToGrid/>
          <w:kern w:val="24"/>
          <w:sz w:val="20"/>
        </w:rPr>
        <w:t xml:space="preserve">　一般財源の構成は、府民の皆さんに直接負担していただく府税収入が</w:t>
      </w:r>
      <w:r w:rsidR="00D8309D">
        <w:rPr>
          <w:rFonts w:ascii="ＭＳ 明朝" w:hAnsi="ＭＳ 明朝" w:cstheme="minorBidi" w:hint="eastAsia"/>
          <w:snapToGrid/>
          <w:kern w:val="24"/>
          <w:sz w:val="20"/>
        </w:rPr>
        <w:t>67</w:t>
      </w:r>
      <w:r w:rsidRPr="002C7ABE">
        <w:rPr>
          <w:rFonts w:ascii="ＭＳ 明朝" w:hAnsi="ＭＳ 明朝" w:cstheme="minorBidi" w:hint="eastAsia"/>
          <w:snapToGrid/>
          <w:kern w:val="24"/>
          <w:sz w:val="20"/>
        </w:rPr>
        <w:t>％を占める一方、地方交付税や臨時財政対策債など、国により確保される財源（交付税等）も</w:t>
      </w:r>
      <w:r w:rsidR="00D8309D">
        <w:rPr>
          <w:rFonts w:ascii="ＭＳ 明朝" w:hAnsi="ＭＳ 明朝" w:cstheme="minorBidi" w:hint="eastAsia"/>
          <w:snapToGrid/>
          <w:kern w:val="24"/>
          <w:sz w:val="20"/>
        </w:rPr>
        <w:t>21</w:t>
      </w:r>
      <w:r w:rsidRPr="002C7ABE">
        <w:rPr>
          <w:rFonts w:ascii="ＭＳ 明朝" w:hAnsi="ＭＳ 明朝" w:cstheme="minorBidi" w:hint="eastAsia"/>
          <w:snapToGrid/>
          <w:kern w:val="24"/>
          <w:sz w:val="20"/>
        </w:rPr>
        <w:t>％を占めています。なお、交付税や国庫支出金などは、国から定められた額を交付等されるものですが、これらも、そのもとを考えると、国税などの形で府民の皆さんに負担していただいているものです。</w:t>
      </w:r>
    </w:p>
    <w:p w:rsidR="000759AD" w:rsidRPr="003A40C7" w:rsidRDefault="004B18BE" w:rsidP="00097B17">
      <w:pPr>
        <w:widowControl/>
        <w:spacing w:line="320" w:lineRule="exact"/>
        <w:ind w:leftChars="135" w:left="283"/>
        <w:jc w:val="left"/>
        <w:textAlignment w:val="baseline"/>
        <w:rPr>
          <w:rFonts w:ascii="ＭＳ 明朝" w:hAnsi="ＭＳ 明朝" w:cstheme="minorBidi"/>
          <w:snapToGrid/>
          <w:kern w:val="24"/>
          <w:sz w:val="20"/>
        </w:rPr>
      </w:pPr>
      <w:r>
        <w:rPr>
          <w:noProof/>
          <w:snapToGrid/>
          <w:color w:val="000000" w:themeColor="text1"/>
        </w:rPr>
        <w:drawing>
          <wp:anchor distT="0" distB="0" distL="114300" distR="114300" simplePos="0" relativeHeight="251662336" behindDoc="0" locked="0" layoutInCell="1" allowOverlap="1" wp14:anchorId="7F3B7669" wp14:editId="273A8572">
            <wp:simplePos x="0" y="0"/>
            <wp:positionH relativeFrom="column">
              <wp:posOffset>3347085</wp:posOffset>
            </wp:positionH>
            <wp:positionV relativeFrom="paragraph">
              <wp:posOffset>590550</wp:posOffset>
            </wp:positionV>
            <wp:extent cx="3267075" cy="2619375"/>
            <wp:effectExtent l="0" t="0" r="0" b="0"/>
            <wp:wrapNone/>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Pr>
          <w:noProof/>
          <w:snapToGrid/>
          <w:color w:val="000000" w:themeColor="text1"/>
        </w:rPr>
        <mc:AlternateContent>
          <mc:Choice Requires="wps">
            <w:drawing>
              <wp:anchor distT="0" distB="0" distL="114300" distR="114300" simplePos="0" relativeHeight="251663360" behindDoc="0" locked="0" layoutInCell="1" allowOverlap="1" wp14:anchorId="4A7A2572" wp14:editId="4AFB541D">
                <wp:simplePos x="0" y="0"/>
                <wp:positionH relativeFrom="column">
                  <wp:posOffset>3784600</wp:posOffset>
                </wp:positionH>
                <wp:positionV relativeFrom="paragraph">
                  <wp:posOffset>671830</wp:posOffset>
                </wp:positionV>
                <wp:extent cx="2159000" cy="320040"/>
                <wp:effectExtent l="0" t="0" r="0" b="3810"/>
                <wp:wrapNone/>
                <wp:docPr id="3081"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ABE" w:rsidRPr="007672EE" w:rsidRDefault="002C7ABE" w:rsidP="002C7ABE">
                            <w:pPr>
                              <w:pStyle w:val="Web"/>
                              <w:spacing w:before="0" w:beforeAutospacing="0" w:after="0" w:afterAutospacing="0"/>
                              <w:jc w:val="center"/>
                              <w:textAlignment w:val="baseline"/>
                              <w:rPr>
                                <w:b/>
                              </w:rPr>
                            </w:pPr>
                            <w:r w:rsidRPr="007672EE">
                              <w:rPr>
                                <w:rFonts w:ascii="ＭＳ ゴシック" w:eastAsia="ＭＳ ゴシック" w:hAnsi="ＭＳ ゴシック" w:cstheme="minorBidi" w:hint="eastAsia"/>
                                <w:b/>
                                <w:color w:val="000000" w:themeColor="text1"/>
                                <w:kern w:val="24"/>
                                <w:u w:val="single"/>
                              </w:rPr>
                              <w:t>一般財源の使いみち</w:t>
                            </w:r>
                          </w:p>
                        </w:txbxContent>
                      </wps:txbx>
                      <wps:bodyPr>
                        <a:spAutoFit/>
                      </wps:bodyPr>
                    </wps:wsp>
                  </a:graphicData>
                </a:graphic>
              </wp:anchor>
            </w:drawing>
          </mc:Choice>
          <mc:Fallback>
            <w:pict>
              <v:shapetype w14:anchorId="4A7A2572" id="_x0000_t202" coordsize="21600,21600" o:spt="202" path="m,l,21600r21600,l21600,xe">
                <v:stroke joinstyle="miter"/>
                <v:path gradientshapeok="t" o:connecttype="rect"/>
              </v:shapetype>
              <v:shape id="テキスト ボックス 16" o:spid="_x0000_s1026" type="#_x0000_t202" style="position:absolute;left:0;text-align:left;margin-left:298pt;margin-top:52.9pt;width:170pt;height:25.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" filled="f" stroked="f">
                <v:textbox style="mso-fit-shape-to-text:t">
                  <w:txbxContent>
                    <w:p w:rsidR="002C7ABE" w:rsidRPr="007672EE" w:rsidRDefault="002C7ABE" w:rsidP="002C7ABE">
                      <w:pPr>
                        <w:pStyle w:val="Web"/>
                        <w:spacing w:before="0" w:beforeAutospacing="0" w:after="0" w:afterAutospacing="0"/>
                        <w:jc w:val="center"/>
                        <w:textAlignment w:val="baseline"/>
                        <w:rPr>
                          <w:b/>
                        </w:rPr>
                      </w:pPr>
                      <w:r w:rsidRPr="007672EE">
                        <w:rPr>
                          <w:rFonts w:ascii="ＭＳ ゴシック" w:eastAsia="ＭＳ ゴシック" w:hAnsi="ＭＳ ゴシック" w:cstheme="minorBidi" w:hint="eastAsia"/>
                          <w:b/>
                          <w:color w:val="000000" w:themeColor="text1"/>
                          <w:kern w:val="24"/>
                          <w:u w:val="single"/>
                        </w:rPr>
                        <w:t>一般財源の使いみち</w:t>
                      </w:r>
                    </w:p>
                  </w:txbxContent>
                </v:textbox>
              </v:shape>
            </w:pict>
          </mc:Fallback>
        </mc:AlternateContent>
      </w:r>
      <w:r w:rsidR="002C7ABE" w:rsidRPr="002C7ABE">
        <w:rPr>
          <w:rFonts w:ascii="ＭＳ 明朝" w:hAnsi="ＭＳ 明朝" w:cstheme="minorBidi" w:hint="eastAsia"/>
          <w:snapToGrid/>
          <w:kern w:val="24"/>
          <w:sz w:val="20"/>
        </w:rPr>
        <w:t xml:space="preserve">　一般財源の使いみちは、国保・</w:t>
      </w:r>
      <w:r w:rsidR="00D8309D">
        <w:rPr>
          <w:rFonts w:ascii="ＭＳ 明朝" w:hAnsi="ＭＳ 明朝" w:cstheme="minorBidi" w:hint="eastAsia"/>
          <w:snapToGrid/>
          <w:kern w:val="24"/>
          <w:sz w:val="20"/>
        </w:rPr>
        <w:t>後期高齢者医療関係費や介護給付費負担金</w:t>
      </w:r>
      <w:r>
        <w:rPr>
          <w:rFonts w:ascii="ＭＳ 明朝" w:hAnsi="ＭＳ 明朝" w:cstheme="minorBidi" w:hint="eastAsia"/>
          <w:snapToGrid/>
          <w:kern w:val="24"/>
          <w:sz w:val="20"/>
        </w:rPr>
        <w:t>など</w:t>
      </w:r>
      <w:r w:rsidR="00D8309D">
        <w:rPr>
          <w:rFonts w:ascii="ＭＳ 明朝" w:hAnsi="ＭＳ 明朝" w:cstheme="minorBidi" w:hint="eastAsia"/>
          <w:snapToGrid/>
          <w:kern w:val="24"/>
          <w:sz w:val="20"/>
        </w:rPr>
        <w:t>の福祉・健康医療分野が</w:t>
      </w:r>
      <w:r w:rsidR="002C7ABE" w:rsidRPr="002C7ABE">
        <w:rPr>
          <w:rFonts w:ascii="ＭＳ 明朝" w:hAnsi="ＭＳ 明朝" w:cstheme="minorBidi" w:hint="eastAsia"/>
          <w:snapToGrid/>
          <w:kern w:val="24"/>
          <w:sz w:val="20"/>
        </w:rPr>
        <w:t>28</w:t>
      </w:r>
      <w:r>
        <w:rPr>
          <w:rFonts w:ascii="ＭＳ 明朝" w:hAnsi="ＭＳ 明朝" w:cstheme="minorBidi" w:hint="eastAsia"/>
          <w:snapToGrid/>
          <w:kern w:val="24"/>
          <w:sz w:val="20"/>
        </w:rPr>
        <w:t>％、教職員費や私学関係助成など</w:t>
      </w:r>
      <w:r w:rsidR="00D8309D">
        <w:rPr>
          <w:rFonts w:ascii="ＭＳ 明朝" w:hAnsi="ＭＳ 明朝" w:cstheme="minorBidi" w:hint="eastAsia"/>
          <w:snapToGrid/>
          <w:kern w:val="24"/>
          <w:sz w:val="20"/>
        </w:rPr>
        <w:t>の教育分野が</w:t>
      </w:r>
      <w:r w:rsidR="002C7ABE" w:rsidRPr="002C7ABE">
        <w:rPr>
          <w:rFonts w:ascii="ＭＳ 明朝" w:hAnsi="ＭＳ 明朝" w:cstheme="minorBidi" w:hint="eastAsia"/>
          <w:snapToGrid/>
          <w:kern w:val="24"/>
          <w:sz w:val="20"/>
        </w:rPr>
        <w:t>22</w:t>
      </w:r>
      <w:r w:rsidR="00D8309D">
        <w:rPr>
          <w:rFonts w:ascii="ＭＳ 明朝" w:hAnsi="ＭＳ 明朝" w:cstheme="minorBidi" w:hint="eastAsia"/>
          <w:snapToGrid/>
          <w:kern w:val="24"/>
          <w:sz w:val="20"/>
        </w:rPr>
        <w:t>％、</w:t>
      </w:r>
      <w:r>
        <w:rPr>
          <w:rFonts w:ascii="ＭＳ 明朝" w:hAnsi="ＭＳ 明朝" w:cstheme="minorBidi" w:hint="eastAsia"/>
          <w:snapToGrid/>
          <w:kern w:val="24"/>
          <w:sz w:val="20"/>
        </w:rPr>
        <w:t>警察職員費や犯罪捜査費など</w:t>
      </w:r>
      <w:r w:rsidR="00D8309D">
        <w:rPr>
          <w:rFonts w:ascii="ＭＳ 明朝" w:hAnsi="ＭＳ 明朝" w:cstheme="minorBidi" w:hint="eastAsia"/>
          <w:snapToGrid/>
          <w:kern w:val="24"/>
          <w:sz w:val="20"/>
        </w:rPr>
        <w:t>の警察分野が</w:t>
      </w:r>
      <w:r w:rsidR="002C7ABE" w:rsidRPr="002C7ABE">
        <w:rPr>
          <w:rFonts w:ascii="ＭＳ 明朝" w:hAnsi="ＭＳ 明朝" w:cstheme="minorBidi" w:hint="eastAsia"/>
          <w:snapToGrid/>
          <w:kern w:val="24"/>
          <w:sz w:val="20"/>
        </w:rPr>
        <w:t>13％などとなっています。</w:t>
      </w:r>
    </w:p>
    <w:p w:rsidR="007672EE" w:rsidRDefault="004955F1" w:rsidP="007672EE">
      <w:pPr>
        <w:widowControl/>
        <w:spacing w:line="180" w:lineRule="exact"/>
        <w:ind w:leftChars="135" w:left="283"/>
        <w:jc w:val="left"/>
        <w:rPr>
          <w:rFonts w:ascii="ＭＳ Ｐゴシック" w:eastAsia="ＭＳ Ｐゴシック" w:hAnsi="ＭＳ Ｐゴシック" w:cs="ＭＳ Ｐゴシック"/>
          <w:snapToGrid/>
          <w:kern w:val="0"/>
          <w:sz w:val="24"/>
          <w:szCs w:val="24"/>
        </w:rPr>
      </w:pPr>
      <w:r>
        <w:rPr>
          <w:noProof/>
          <w:snapToGrid/>
          <w:color w:val="000000" w:themeColor="text1"/>
        </w:rPr>
        <mc:AlternateContent>
          <mc:Choice Requires="wps">
            <w:drawing>
              <wp:anchor distT="0" distB="0" distL="114300" distR="114300" simplePos="0" relativeHeight="251669504" behindDoc="1" locked="0" layoutInCell="1" allowOverlap="1">
                <wp:simplePos x="0" y="0"/>
                <wp:positionH relativeFrom="column">
                  <wp:posOffset>3461385</wp:posOffset>
                </wp:positionH>
                <wp:positionV relativeFrom="paragraph">
                  <wp:posOffset>64135</wp:posOffset>
                </wp:positionV>
                <wp:extent cx="2952750" cy="3228975"/>
                <wp:effectExtent l="419100" t="0" r="19050" b="28575"/>
                <wp:wrapNone/>
                <wp:docPr id="4" name="四角形吹き出し 4"/>
                <wp:cNvGraphicFramePr/>
                <a:graphic xmlns:a="http://schemas.openxmlformats.org/drawingml/2006/main">
                  <a:graphicData uri="http://schemas.microsoft.com/office/word/2010/wordprocessingShape">
                    <wps:wsp>
                      <wps:cNvSpPr/>
                      <wps:spPr>
                        <a:xfrm>
                          <a:off x="0" y="0"/>
                          <a:ext cx="2952750" cy="3228975"/>
                        </a:xfrm>
                        <a:prstGeom prst="wedgeRectCallout">
                          <a:avLst>
                            <a:gd name="adj1" fmla="val -64112"/>
                            <a:gd name="adj2" fmla="val -7200"/>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955F1" w:rsidRDefault="004955F1" w:rsidP="004955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7" type="#_x0000_t61" style="position:absolute;left:0;text-align:left;margin-left:272.55pt;margin-top:5.05pt;width:232.5pt;height:254.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" adj="-3048,9245" filled="f" strokecolor="#243f60 [1604]" strokeweight="2pt">
                <v:textbox>
                  <w:txbxContent>
                    <w:p w:rsidR="004955F1" w:rsidRDefault="004955F1" w:rsidP="004955F1">
                      <w:pPr>
                        <w:jc w:val="center"/>
                      </w:pPr>
                    </w:p>
                  </w:txbxContent>
                </v:textbox>
              </v:shape>
            </w:pict>
          </mc:Fallback>
        </mc:AlternateContent>
      </w:r>
      <w:r w:rsidR="004B18BE">
        <w:rPr>
          <w:noProof/>
          <w:snapToGrid/>
          <w:color w:val="000000" w:themeColor="text1"/>
        </w:rPr>
        <w:drawing>
          <wp:anchor distT="0" distB="0" distL="114300" distR="114300" simplePos="0" relativeHeight="251665408" behindDoc="1" locked="0" layoutInCell="1" allowOverlap="1" wp14:anchorId="26D6C43D" wp14:editId="18331AA0">
            <wp:simplePos x="0" y="0"/>
            <wp:positionH relativeFrom="column">
              <wp:posOffset>-1167765</wp:posOffset>
            </wp:positionH>
            <wp:positionV relativeFrom="paragraph">
              <wp:posOffset>3810</wp:posOffset>
            </wp:positionV>
            <wp:extent cx="5286375" cy="2901315"/>
            <wp:effectExtent l="0" t="0" r="0" b="0"/>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7672EE">
        <w:rPr>
          <w:noProof/>
          <w:snapToGrid/>
          <w:color w:val="000000" w:themeColor="text1"/>
        </w:rPr>
        <mc:AlternateContent>
          <mc:Choice Requires="wps">
            <w:drawing>
              <wp:anchor distT="0" distB="0" distL="114300" distR="114300" simplePos="0" relativeHeight="251666432" behindDoc="0" locked="0" layoutInCell="1" allowOverlap="1" wp14:anchorId="7B912405" wp14:editId="0A1FC0FE">
                <wp:simplePos x="0" y="0"/>
                <wp:positionH relativeFrom="column">
                  <wp:posOffset>317500</wp:posOffset>
                </wp:positionH>
                <wp:positionV relativeFrom="paragraph">
                  <wp:posOffset>-3810</wp:posOffset>
                </wp:positionV>
                <wp:extent cx="2159000" cy="320040"/>
                <wp:effectExtent l="0" t="0" r="0" b="3810"/>
                <wp:wrapNone/>
                <wp:docPr id="10"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ABE" w:rsidRPr="007672EE" w:rsidRDefault="002C7ABE" w:rsidP="002C7ABE">
                            <w:pPr>
                              <w:pStyle w:val="Web"/>
                              <w:spacing w:before="0" w:beforeAutospacing="0" w:after="0" w:afterAutospacing="0"/>
                              <w:jc w:val="center"/>
                              <w:textAlignment w:val="baseline"/>
                              <w:rPr>
                                <w:b/>
                                <w:u w:val="single"/>
                              </w:rPr>
                            </w:pPr>
                            <w:r w:rsidRPr="007672EE">
                              <w:rPr>
                                <w:rFonts w:ascii="ＭＳ ゴシック" w:eastAsia="ＭＳ ゴシック" w:hAnsi="ＭＳ ゴシック" w:cstheme="minorBidi" w:hint="eastAsia"/>
                                <w:b/>
                                <w:color w:val="000000" w:themeColor="text1"/>
                                <w:kern w:val="24"/>
                                <w:u w:val="single"/>
                              </w:rPr>
                              <w:t>財源の</w:t>
                            </w:r>
                            <w:r w:rsidRPr="007672EE">
                              <w:rPr>
                                <w:rFonts w:ascii="ＭＳ ゴシック" w:eastAsia="ＭＳ ゴシック" w:hAnsi="ＭＳ ゴシック" w:cstheme="minorBidi"/>
                                <w:b/>
                                <w:color w:val="000000" w:themeColor="text1"/>
                                <w:kern w:val="24"/>
                                <w:u w:val="single"/>
                              </w:rPr>
                              <w:t>構成</w:t>
                            </w:r>
                          </w:p>
                        </w:txbxContent>
                      </wps:txbx>
                      <wps:bodyPr>
                        <a:spAutoFit/>
                      </wps:bodyPr>
                    </wps:wsp>
                  </a:graphicData>
                </a:graphic>
              </wp:anchor>
            </w:drawing>
          </mc:Choice>
          <mc:Fallback>
            <w:pict>
              <v:shape w14:anchorId="7B912405" id="_x0000_s1027" type="#_x0000_t202" style="position:absolute;left:0;text-align:left;margin-left:25pt;margin-top:-.3pt;width:170pt;height:25.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" filled="f" stroked="f">
                <v:textbox style="mso-fit-shape-to-text:t">
                  <w:txbxContent>
                    <w:p w:rsidR="002C7ABE" w:rsidRPr="007672EE" w:rsidRDefault="002C7ABE" w:rsidP="002C7ABE">
                      <w:pPr>
                        <w:pStyle w:val="Web"/>
                        <w:spacing w:before="0" w:beforeAutospacing="0" w:after="0" w:afterAutospacing="0"/>
                        <w:jc w:val="center"/>
                        <w:textAlignment w:val="baseline"/>
                        <w:rPr>
                          <w:b/>
                          <w:u w:val="single"/>
                        </w:rPr>
                      </w:pPr>
                      <w:r w:rsidRPr="007672EE">
                        <w:rPr>
                          <w:rFonts w:ascii="ＭＳ ゴシック" w:eastAsia="ＭＳ ゴシック" w:hAnsi="ＭＳ ゴシック" w:cstheme="minorBidi" w:hint="eastAsia"/>
                          <w:b/>
                          <w:color w:val="000000" w:themeColor="text1"/>
                          <w:kern w:val="24"/>
                          <w:u w:val="single"/>
                        </w:rPr>
                        <w:t>財源の</w:t>
                      </w:r>
                      <w:r w:rsidRPr="007672EE">
                        <w:rPr>
                          <w:rFonts w:ascii="ＭＳ ゴシック" w:eastAsia="ＭＳ ゴシック" w:hAnsi="ＭＳ ゴシック" w:cstheme="minorBidi"/>
                          <w:b/>
                          <w:color w:val="000000" w:themeColor="text1"/>
                          <w:kern w:val="24"/>
                          <w:u w:val="single"/>
                        </w:rPr>
                        <w:t>構成</w:t>
                      </w:r>
                    </w:p>
                  </w:txbxContent>
                </v:textbox>
              </v:shape>
            </w:pict>
          </mc:Fallback>
        </mc:AlternateContent>
      </w:r>
    </w:p>
    <w:p w:rsidR="002C7ABE" w:rsidRPr="003A40C7" w:rsidRDefault="004B18BE" w:rsidP="007672EE">
      <w:pPr>
        <w:widowControl/>
        <w:spacing w:line="200" w:lineRule="exact"/>
        <w:ind w:leftChars="135" w:left="283"/>
        <w:jc w:val="left"/>
        <w:rPr>
          <w:rFonts w:ascii="ＭＳ Ｐゴシック" w:eastAsia="ＭＳ Ｐゴシック" w:hAnsi="ＭＳ Ｐゴシック" w:cs="ＭＳ Ｐゴシック"/>
          <w:snapToGrid/>
          <w:kern w:val="0"/>
          <w:sz w:val="24"/>
          <w:szCs w:val="24"/>
        </w:rPr>
      </w:pPr>
      <w:r w:rsidRPr="00EA6E49">
        <w:rPr>
          <w:noProof/>
          <w:snapToGrid/>
          <w:color w:val="000000" w:themeColor="text1"/>
        </w:rPr>
        <mc:AlternateContent>
          <mc:Choice Requires="wps">
            <w:drawing>
              <wp:anchor distT="0" distB="0" distL="114300" distR="114300" simplePos="0" relativeHeight="251661312" behindDoc="0" locked="0" layoutInCell="1" allowOverlap="1" wp14:anchorId="0B1E1E17" wp14:editId="1D750A43">
                <wp:simplePos x="0" y="0"/>
                <wp:positionH relativeFrom="column">
                  <wp:posOffset>1866900</wp:posOffset>
                </wp:positionH>
                <wp:positionV relativeFrom="paragraph">
                  <wp:posOffset>20955</wp:posOffset>
                </wp:positionV>
                <wp:extent cx="962025" cy="36576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962025" cy="365760"/>
                        </a:xfrm>
                        <a:prstGeom prst="rect">
                          <a:avLst/>
                        </a:prstGeom>
                        <a:noFill/>
                        <a:ln w="25400" cap="flat" cmpd="sng" algn="ctr">
                          <a:noFill/>
                          <a:prstDash val="solid"/>
                        </a:ln>
                        <a:effectLst/>
                      </wps:spPr>
                      <wps:txbx>
                        <w:txbxContent>
                          <w:p w:rsidR="002C7ABE" w:rsidRPr="006074D5" w:rsidRDefault="002C7ABE" w:rsidP="002C7ABE">
                            <w:pPr>
                              <w:jc w:val="center"/>
                              <w:rPr>
                                <w:rFonts w:ascii="ＭＳ Ｐゴシック" w:eastAsia="ＭＳ Ｐゴシック" w:hAnsi="ＭＳ Ｐゴシック"/>
                                <w:color w:val="000000" w:themeColor="text1"/>
                                <w:sz w:val="16"/>
                              </w:rPr>
                            </w:pPr>
                            <w:r w:rsidRPr="006074D5">
                              <w:rPr>
                                <w:rFonts w:ascii="ＭＳ Ｐゴシック" w:eastAsia="ＭＳ Ｐゴシック" w:hAnsi="ＭＳ Ｐゴシック" w:hint="eastAsia"/>
                                <w:color w:val="000000" w:themeColor="text1"/>
                                <w:sz w:val="16"/>
                              </w:rPr>
                              <w:t>（単位:億円）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E1E17" id="正方形/長方形 23" o:spid="_x0000_s1029" style="position:absolute;left:0;text-align:left;margin-left:147pt;margin-top:1.65pt;width:75.75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" filled="f" stroked="f" strokeweight="2pt">
                <v:textbox>
                  <w:txbxContent>
                    <w:p w:rsidR="002C7ABE" w:rsidRPr="006074D5" w:rsidRDefault="002C7ABE" w:rsidP="002C7ABE">
                      <w:pPr>
                        <w:jc w:val="center"/>
                        <w:rPr>
                          <w:rFonts w:ascii="ＭＳ Ｐゴシック" w:eastAsia="ＭＳ Ｐゴシック" w:hAnsi="ＭＳ Ｐゴシック"/>
                          <w:color w:val="000000" w:themeColor="text1"/>
                          <w:sz w:val="16"/>
                        </w:rPr>
                      </w:pPr>
                      <w:r w:rsidRPr="006074D5">
                        <w:rPr>
                          <w:rFonts w:ascii="ＭＳ Ｐゴシック" w:eastAsia="ＭＳ Ｐゴシック" w:hAnsi="ＭＳ Ｐゴシック" w:hint="eastAsia"/>
                          <w:color w:val="000000" w:themeColor="text1"/>
                          <w:sz w:val="16"/>
                        </w:rPr>
                        <w:t>（単位:億円）</w:t>
                      </w:r>
                    </w:p>
                  </w:txbxContent>
                </v:textbox>
              </v:rect>
            </w:pict>
          </mc:Fallback>
        </mc:AlternateContent>
      </w:r>
      <w:r>
        <w:rPr>
          <w:noProof/>
          <w:snapToGrid/>
          <w:color w:val="000000" w:themeColor="text1"/>
        </w:rPr>
        <mc:AlternateContent>
          <mc:Choice Requires="wps">
            <w:drawing>
              <wp:anchor distT="0" distB="0" distL="114300" distR="114300" simplePos="0" relativeHeight="251664384" behindDoc="0" locked="0" layoutInCell="1" allowOverlap="1" wp14:anchorId="2E175EC5" wp14:editId="519B6868">
                <wp:simplePos x="0" y="0"/>
                <wp:positionH relativeFrom="column">
                  <wp:posOffset>5271135</wp:posOffset>
                </wp:positionH>
                <wp:positionV relativeFrom="paragraph">
                  <wp:posOffset>73660</wp:posOffset>
                </wp:positionV>
                <wp:extent cx="962025" cy="36576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962025" cy="365760"/>
                        </a:xfrm>
                        <a:prstGeom prst="rect">
                          <a:avLst/>
                        </a:prstGeom>
                        <a:noFill/>
                        <a:ln w="25400" cap="flat" cmpd="sng" algn="ctr">
                          <a:noFill/>
                          <a:prstDash val="solid"/>
                        </a:ln>
                        <a:effectLst/>
                      </wps:spPr>
                      <wps:txbx>
                        <w:txbxContent>
                          <w:p w:rsidR="002C7ABE" w:rsidRPr="006074D5" w:rsidRDefault="002C7ABE" w:rsidP="002C7ABE">
                            <w:pPr>
                              <w:jc w:val="center"/>
                              <w:rPr>
                                <w:rFonts w:ascii="ＭＳ Ｐゴシック" w:eastAsia="ＭＳ Ｐゴシック" w:hAnsi="ＭＳ Ｐゴシック"/>
                                <w:color w:val="000000" w:themeColor="text1"/>
                                <w:sz w:val="16"/>
                              </w:rPr>
                            </w:pPr>
                            <w:r w:rsidRPr="006074D5">
                              <w:rPr>
                                <w:rFonts w:ascii="ＭＳ Ｐゴシック" w:eastAsia="ＭＳ Ｐゴシック" w:hAnsi="ＭＳ Ｐゴシック" w:hint="eastAsia"/>
                                <w:color w:val="000000" w:themeColor="text1"/>
                                <w:sz w:val="16"/>
                              </w:rPr>
                              <w:t>（単位:億円）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175EC5" id="正方形/長方形 12" o:spid="_x0000_s1030" style="position:absolute;left:0;text-align:left;margin-left:415.05pt;margin-top:5.8pt;width:75.75pt;height:28.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" filled="f" stroked="f" strokeweight="2pt">
                <v:textbox>
                  <w:txbxContent>
                    <w:p w:rsidR="002C7ABE" w:rsidRPr="006074D5" w:rsidRDefault="002C7ABE" w:rsidP="002C7ABE">
                      <w:pPr>
                        <w:jc w:val="center"/>
                        <w:rPr>
                          <w:rFonts w:ascii="ＭＳ Ｐゴシック" w:eastAsia="ＭＳ Ｐゴシック" w:hAnsi="ＭＳ Ｐゴシック"/>
                          <w:color w:val="000000" w:themeColor="text1"/>
                          <w:sz w:val="16"/>
                        </w:rPr>
                      </w:pPr>
                      <w:r w:rsidRPr="006074D5">
                        <w:rPr>
                          <w:rFonts w:ascii="ＭＳ Ｐゴシック" w:eastAsia="ＭＳ Ｐゴシック" w:hAnsi="ＭＳ Ｐゴシック" w:hint="eastAsia"/>
                          <w:color w:val="000000" w:themeColor="text1"/>
                          <w:sz w:val="16"/>
                        </w:rPr>
                        <w:t>（単位:億円）</w:t>
                      </w:r>
                    </w:p>
                  </w:txbxContent>
                </v:textbox>
              </v:rect>
            </w:pict>
          </mc:Fallback>
        </mc:AlternateContent>
      </w:r>
    </w:p>
    <w:p w:rsidR="002C7ABE" w:rsidRPr="00EA6E49" w:rsidRDefault="002C7ABE" w:rsidP="002C7ABE">
      <w:pPr>
        <w:rPr>
          <w:color w:val="000000" w:themeColor="text1"/>
        </w:rPr>
      </w:pPr>
    </w:p>
    <w:p w:rsidR="002C7ABE" w:rsidRPr="00EA6E49" w:rsidRDefault="002C7ABE" w:rsidP="002C7ABE">
      <w:pPr>
        <w:rPr>
          <w:color w:val="000000" w:themeColor="text1"/>
        </w:rPr>
      </w:pPr>
    </w:p>
    <w:p w:rsidR="002C7ABE" w:rsidRPr="00EA6E49" w:rsidRDefault="004955F1" w:rsidP="004955F1">
      <w:pPr>
        <w:tabs>
          <w:tab w:val="center" w:pos="4875"/>
        </w:tabs>
        <w:rPr>
          <w:color w:val="000000" w:themeColor="text1"/>
        </w:rPr>
      </w:pPr>
      <w:r>
        <w:rPr>
          <w:noProof/>
          <w:snapToGrid/>
          <w:color w:val="000000" w:themeColor="text1"/>
        </w:rPr>
        <mc:AlternateContent>
          <mc:Choice Requires="wps">
            <w:drawing>
              <wp:anchor distT="0" distB="0" distL="114300" distR="114300" simplePos="0" relativeHeight="251668480" behindDoc="0" locked="0" layoutInCell="1" allowOverlap="1" wp14:anchorId="52014A80" wp14:editId="1693FFD9">
                <wp:simplePos x="0" y="0"/>
                <wp:positionH relativeFrom="column">
                  <wp:posOffset>4451985</wp:posOffset>
                </wp:positionH>
                <wp:positionV relativeFrom="paragraph">
                  <wp:posOffset>60960</wp:posOffset>
                </wp:positionV>
                <wp:extent cx="1181100" cy="1191260"/>
                <wp:effectExtent l="0" t="0" r="0" b="0"/>
                <wp:wrapNone/>
                <wp:docPr id="29" name="円/楕円 29"/>
                <wp:cNvGraphicFramePr/>
                <a:graphic xmlns:a="http://schemas.openxmlformats.org/drawingml/2006/main">
                  <a:graphicData uri="http://schemas.microsoft.com/office/word/2010/wordprocessingShape">
                    <wps:wsp>
                      <wps:cNvSpPr/>
                      <wps:spPr>
                        <a:xfrm>
                          <a:off x="0" y="0"/>
                          <a:ext cx="1181100" cy="1191260"/>
                        </a:xfrm>
                        <a:prstGeom prst="ellipse">
                          <a:avLst/>
                        </a:prstGeom>
                        <a:noFill/>
                        <a:ln w="25400" cap="flat" cmpd="sng" algn="ctr">
                          <a:noFill/>
                          <a:prstDash val="solid"/>
                        </a:ln>
                        <a:effectLst/>
                      </wps:spPr>
                      <wps:txbx>
                        <w:txbxContent>
                          <w:p w:rsidR="002C7ABE" w:rsidRPr="008C4407" w:rsidRDefault="002C7ABE" w:rsidP="002C7ABE">
                            <w:pPr>
                              <w:pStyle w:val="Web"/>
                              <w:spacing w:before="0" w:beforeAutospacing="0" w:after="0" w:afterAutospacing="0"/>
                              <w:jc w:val="center"/>
                              <w:textAlignment w:val="baseline"/>
                              <w:rPr>
                                <w:rFonts w:cstheme="minorBidi"/>
                                <w:color w:val="000000" w:themeColor="text1"/>
                                <w:kern w:val="24"/>
                                <w:position w:val="6"/>
                                <w:sz w:val="16"/>
                                <w:szCs w:val="18"/>
                              </w:rPr>
                            </w:pPr>
                            <w:r w:rsidRPr="008C4407">
                              <w:rPr>
                                <w:rFonts w:cstheme="minorBidi" w:hint="eastAsia"/>
                                <w:color w:val="000000" w:themeColor="text1"/>
                                <w:kern w:val="24"/>
                                <w:position w:val="6"/>
                                <w:sz w:val="16"/>
                                <w:szCs w:val="18"/>
                              </w:rPr>
                              <w:t>一般財源</w:t>
                            </w:r>
                          </w:p>
                          <w:p w:rsidR="002C7ABE" w:rsidRPr="008C4407" w:rsidRDefault="002C7ABE" w:rsidP="002C7ABE">
                            <w:pPr>
                              <w:pStyle w:val="Web"/>
                              <w:spacing w:before="0" w:beforeAutospacing="0" w:after="0" w:afterAutospacing="0"/>
                              <w:ind w:leftChars="-50" w:left="-105" w:rightChars="-64" w:right="-134"/>
                              <w:jc w:val="center"/>
                              <w:textAlignment w:val="baseline"/>
                              <w:rPr>
                                <w:color w:val="000000" w:themeColor="text1"/>
                                <w:sz w:val="16"/>
                                <w:szCs w:val="18"/>
                              </w:rPr>
                            </w:pPr>
                            <w:r w:rsidRPr="008C4407">
                              <w:rPr>
                                <w:rFonts w:cstheme="minorBidi" w:hint="eastAsia"/>
                                <w:color w:val="000000" w:themeColor="text1"/>
                                <w:kern w:val="24"/>
                                <w:position w:val="6"/>
                                <w:sz w:val="16"/>
                                <w:szCs w:val="18"/>
                              </w:rPr>
                              <w:t>1兆</w:t>
                            </w:r>
                            <w:r w:rsidRPr="008C4407">
                              <w:rPr>
                                <w:rFonts w:cstheme="minorBidi"/>
                                <w:kern w:val="24"/>
                                <w:position w:val="6"/>
                                <w:sz w:val="16"/>
                                <w:szCs w:val="18"/>
                              </w:rPr>
                              <w:t>9,142</w:t>
                            </w:r>
                            <w:r w:rsidRPr="008C4407">
                              <w:rPr>
                                <w:rFonts w:cstheme="minorBidi" w:hint="eastAsia"/>
                                <w:color w:val="000000" w:themeColor="text1"/>
                                <w:kern w:val="24"/>
                                <w:position w:val="6"/>
                                <w:sz w:val="16"/>
                                <w:szCs w:val="18"/>
                              </w:rPr>
                              <w:t>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014A80" id="円/楕円 29" o:spid="_x0000_s1031" style="position:absolute;left:0;text-align:left;margin-left:350.55pt;margin-top:4.8pt;width:93pt;height:93.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" filled="f" stroked="f" strokeweight="2pt">
                <v:textbox>
                  <w:txbxContent>
                    <w:p w:rsidR="002C7ABE" w:rsidRPr="008C4407" w:rsidRDefault="002C7ABE" w:rsidP="002C7ABE">
                      <w:pPr>
                        <w:pStyle w:val="Web"/>
                        <w:spacing w:before="0" w:beforeAutospacing="0" w:after="0" w:afterAutospacing="0"/>
                        <w:jc w:val="center"/>
                        <w:textAlignment w:val="baseline"/>
                        <w:rPr>
                          <w:rFonts w:cstheme="minorBidi"/>
                          <w:color w:val="000000" w:themeColor="text1"/>
                          <w:kern w:val="24"/>
                          <w:position w:val="6"/>
                          <w:sz w:val="16"/>
                          <w:szCs w:val="18"/>
                        </w:rPr>
                      </w:pPr>
                      <w:r w:rsidRPr="008C4407">
                        <w:rPr>
                          <w:rFonts w:cstheme="minorBidi" w:hint="eastAsia"/>
                          <w:color w:val="000000" w:themeColor="text1"/>
                          <w:kern w:val="24"/>
                          <w:position w:val="6"/>
                          <w:sz w:val="16"/>
                          <w:szCs w:val="18"/>
                        </w:rPr>
                        <w:t>一般財源</w:t>
                      </w:r>
                    </w:p>
                    <w:p w:rsidR="002C7ABE" w:rsidRPr="008C4407" w:rsidRDefault="002C7ABE" w:rsidP="002C7ABE">
                      <w:pPr>
                        <w:pStyle w:val="Web"/>
                        <w:spacing w:before="0" w:beforeAutospacing="0" w:after="0" w:afterAutospacing="0"/>
                        <w:ind w:leftChars="-50" w:left="-105" w:rightChars="-64" w:right="-134"/>
                        <w:jc w:val="center"/>
                        <w:textAlignment w:val="baseline"/>
                        <w:rPr>
                          <w:color w:val="000000" w:themeColor="text1"/>
                          <w:sz w:val="16"/>
                          <w:szCs w:val="18"/>
                        </w:rPr>
                      </w:pPr>
                      <w:r w:rsidRPr="008C4407">
                        <w:rPr>
                          <w:rFonts w:cstheme="minorBidi" w:hint="eastAsia"/>
                          <w:color w:val="000000" w:themeColor="text1"/>
                          <w:kern w:val="24"/>
                          <w:position w:val="6"/>
                          <w:sz w:val="16"/>
                          <w:szCs w:val="18"/>
                        </w:rPr>
                        <w:t>1兆</w:t>
                      </w:r>
                      <w:r w:rsidRPr="008C4407">
                        <w:rPr>
                          <w:rFonts w:cstheme="minorBidi"/>
                          <w:kern w:val="24"/>
                          <w:position w:val="6"/>
                          <w:sz w:val="16"/>
                          <w:szCs w:val="18"/>
                        </w:rPr>
                        <w:t>9,142</w:t>
                      </w:r>
                      <w:r w:rsidRPr="008C4407">
                        <w:rPr>
                          <w:rFonts w:cstheme="minorBidi" w:hint="eastAsia"/>
                          <w:color w:val="000000" w:themeColor="text1"/>
                          <w:kern w:val="24"/>
                          <w:position w:val="6"/>
                          <w:sz w:val="16"/>
                          <w:szCs w:val="18"/>
                        </w:rPr>
                        <w:t>億円</w:t>
                      </w:r>
                    </w:p>
                  </w:txbxContent>
                </v:textbox>
              </v:oval>
            </w:pict>
          </mc:Fallback>
        </mc:AlternateContent>
      </w:r>
      <w:r>
        <w:rPr>
          <w:color w:val="000000" w:themeColor="text1"/>
        </w:rPr>
        <w:tab/>
      </w:r>
    </w:p>
    <w:p w:rsidR="002C7ABE" w:rsidRPr="00EA6E49" w:rsidRDefault="002C7ABE" w:rsidP="002C7ABE">
      <w:pPr>
        <w:jc w:val="center"/>
        <w:rPr>
          <w:color w:val="000000" w:themeColor="text1"/>
        </w:rPr>
      </w:pPr>
    </w:p>
    <w:p w:rsidR="002C7ABE" w:rsidRPr="00EA6E49" w:rsidRDefault="00D8309D" w:rsidP="00D8309D">
      <w:pPr>
        <w:tabs>
          <w:tab w:val="left" w:pos="3180"/>
        </w:tabs>
        <w:rPr>
          <w:color w:val="000000" w:themeColor="text1"/>
        </w:rPr>
      </w:pPr>
      <w:r>
        <w:rPr>
          <w:color w:val="000000" w:themeColor="text1"/>
        </w:rPr>
        <w:tab/>
      </w:r>
    </w:p>
    <w:p w:rsidR="002C7ABE" w:rsidRPr="00EA6E49" w:rsidRDefault="002C7ABE" w:rsidP="002C7ABE">
      <w:pPr>
        <w:tabs>
          <w:tab w:val="left" w:pos="5302"/>
          <w:tab w:val="left" w:pos="6465"/>
        </w:tabs>
        <w:rPr>
          <w:color w:val="000000" w:themeColor="text1"/>
        </w:rPr>
      </w:pPr>
      <w:r>
        <w:rPr>
          <w:color w:val="000000" w:themeColor="text1"/>
        </w:rPr>
        <w:tab/>
      </w:r>
      <w:r>
        <w:rPr>
          <w:color w:val="000000" w:themeColor="text1"/>
        </w:rPr>
        <w:tab/>
      </w:r>
    </w:p>
    <w:p w:rsidR="002C7ABE" w:rsidRPr="00EA6E49" w:rsidRDefault="002C7ABE" w:rsidP="00FA33D3">
      <w:pPr>
        <w:tabs>
          <w:tab w:val="left" w:pos="1230"/>
        </w:tabs>
        <w:rPr>
          <w:color w:val="000000" w:themeColor="text1"/>
        </w:rPr>
      </w:pPr>
    </w:p>
    <w:p w:rsidR="002C7ABE" w:rsidRPr="00EA6E49" w:rsidRDefault="00FA33D3" w:rsidP="00FA33D3">
      <w:pPr>
        <w:tabs>
          <w:tab w:val="left" w:pos="1785"/>
        </w:tabs>
        <w:rPr>
          <w:color w:val="000000" w:themeColor="text1"/>
        </w:rPr>
      </w:pPr>
      <w:r>
        <w:rPr>
          <w:color w:val="000000" w:themeColor="text1"/>
        </w:rPr>
        <w:tab/>
      </w:r>
    </w:p>
    <w:p w:rsidR="007672EE" w:rsidRPr="00EA6E49" w:rsidRDefault="007672EE" w:rsidP="002C7ABE">
      <w:pPr>
        <w:jc w:val="center"/>
        <w:rPr>
          <w:color w:val="000000" w:themeColor="text1"/>
        </w:rPr>
      </w:pPr>
    </w:p>
    <w:p w:rsidR="002C7ABE" w:rsidRPr="00EA6E49" w:rsidRDefault="004B18BE" w:rsidP="002C7ABE">
      <w:pPr>
        <w:rPr>
          <w:color w:val="000000" w:themeColor="text1"/>
        </w:rPr>
      </w:pPr>
      <w:r w:rsidRPr="00EA6E49">
        <w:rPr>
          <w:noProof/>
          <w:snapToGrid/>
          <w:color w:val="000000" w:themeColor="text1"/>
        </w:rPr>
        <mc:AlternateContent>
          <mc:Choice Requires="wps">
            <w:drawing>
              <wp:anchor distT="0" distB="0" distL="114300" distR="114300" simplePos="0" relativeHeight="251660288" behindDoc="0" locked="0" layoutInCell="1" allowOverlap="1" wp14:anchorId="46CAD829" wp14:editId="6ED37CCD">
                <wp:simplePos x="0" y="0"/>
                <wp:positionH relativeFrom="column">
                  <wp:posOffset>-110490</wp:posOffset>
                </wp:positionH>
                <wp:positionV relativeFrom="paragraph">
                  <wp:posOffset>222884</wp:posOffset>
                </wp:positionV>
                <wp:extent cx="3571875" cy="1323975"/>
                <wp:effectExtent l="0" t="0" r="0" b="9525"/>
                <wp:wrapNone/>
                <wp:docPr id="1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ABE" w:rsidRPr="004B18BE" w:rsidRDefault="002C7ABE" w:rsidP="002C7ABE">
                            <w:pPr>
                              <w:pStyle w:val="Web"/>
                              <w:spacing w:before="0" w:beforeAutospacing="0" w:after="0" w:afterAutospacing="0" w:line="240" w:lineRule="exact"/>
                              <w:ind w:left="140" w:hangingChars="100" w:hanging="140"/>
                              <w:textAlignment w:val="baseline"/>
                              <w:rPr>
                                <w:rFonts w:asciiTheme="minorEastAsia" w:eastAsiaTheme="minorEastAsia" w:hAnsiTheme="minorEastAsia" w:cstheme="minorBidi"/>
                                <w:color w:val="000000" w:themeColor="text1"/>
                                <w:kern w:val="24"/>
                                <w:sz w:val="14"/>
                                <w:szCs w:val="18"/>
                              </w:rPr>
                            </w:pPr>
                            <w:r w:rsidRPr="004B18BE">
                              <w:rPr>
                                <w:rFonts w:asciiTheme="minorEastAsia" w:eastAsiaTheme="minorEastAsia" w:hAnsiTheme="minorEastAsia" w:cstheme="minorBidi" w:hint="eastAsia"/>
                                <w:color w:val="000000" w:themeColor="text1"/>
                                <w:kern w:val="24"/>
                                <w:sz w:val="14"/>
                                <w:szCs w:val="18"/>
                              </w:rPr>
                              <w:t>※１　府債には、地方交付税の関係法制度によって交付税や府税の代わりに発行する臨時財政対策債や減収補塡債は含まれていません（ここでは「一般財源」の「交付税等」に含める）。なお、これらの地方債については、後年度の元利償還金の100％（臨時財政対策債）又は75％（減収補塡債）が交付税の算定に使われる基準財政需要額に算入されます。</w:t>
                            </w:r>
                          </w:p>
                          <w:p w:rsidR="002C7ABE" w:rsidRDefault="002C7ABE" w:rsidP="002C7ABE">
                            <w:pPr>
                              <w:pStyle w:val="Web"/>
                              <w:spacing w:before="0" w:beforeAutospacing="0" w:after="0" w:afterAutospacing="0" w:line="240" w:lineRule="exact"/>
                              <w:ind w:left="140" w:hangingChars="100" w:hanging="140"/>
                              <w:textAlignment w:val="baseline"/>
                              <w:rPr>
                                <w:rFonts w:asciiTheme="minorEastAsia" w:eastAsiaTheme="minorEastAsia" w:hAnsiTheme="minorEastAsia" w:cstheme="minorBidi"/>
                                <w:color w:val="000000" w:themeColor="text1"/>
                                <w:kern w:val="24"/>
                                <w:sz w:val="14"/>
                                <w:szCs w:val="18"/>
                              </w:rPr>
                            </w:pPr>
                            <w:r w:rsidRPr="004B18BE">
                              <w:rPr>
                                <w:rFonts w:asciiTheme="minorEastAsia" w:eastAsiaTheme="minorEastAsia" w:hAnsiTheme="minorEastAsia" w:cstheme="minorBidi" w:hint="eastAsia"/>
                                <w:color w:val="000000" w:themeColor="text1"/>
                                <w:kern w:val="24"/>
                                <w:sz w:val="14"/>
                                <w:szCs w:val="18"/>
                              </w:rPr>
                              <w:t>※２　「その他」には、地方譲与税や市町村たばこ税府交付金の税関連歳入、財政調整基金からの繰入金、宝くじ収益金などが含まれます。</w:t>
                            </w:r>
                          </w:p>
                          <w:p w:rsidR="00326AF3" w:rsidRPr="004B18BE" w:rsidRDefault="00326AF3" w:rsidP="002C7ABE">
                            <w:pPr>
                              <w:pStyle w:val="Web"/>
                              <w:spacing w:before="0" w:beforeAutospacing="0" w:after="0" w:afterAutospacing="0" w:line="240" w:lineRule="exact"/>
                              <w:ind w:left="140" w:hangingChars="100" w:hanging="140"/>
                              <w:textAlignment w:val="baseline"/>
                              <w:rPr>
                                <w:rFonts w:asciiTheme="minorEastAsia" w:eastAsiaTheme="minorEastAsia" w:hAnsiTheme="minorEastAsia"/>
                                <w:sz w:val="14"/>
                                <w:szCs w:val="18"/>
                              </w:rPr>
                            </w:pPr>
                            <w:r>
                              <w:rPr>
                                <w:rFonts w:asciiTheme="minorEastAsia" w:eastAsiaTheme="minorEastAsia" w:hAnsiTheme="minorEastAsia" w:cstheme="minorBidi" w:hint="eastAsia"/>
                                <w:color w:val="000000" w:themeColor="text1"/>
                                <w:kern w:val="24"/>
                                <w:sz w:val="14"/>
                                <w:szCs w:val="18"/>
                              </w:rPr>
                              <w:t>※</w:t>
                            </w:r>
                            <w:r>
                              <w:rPr>
                                <w:rFonts w:asciiTheme="minorEastAsia" w:eastAsiaTheme="minorEastAsia" w:hAnsiTheme="minorEastAsia" w:cstheme="minorBidi"/>
                                <w:color w:val="000000" w:themeColor="text1"/>
                                <w:kern w:val="24"/>
                                <w:sz w:val="14"/>
                                <w:szCs w:val="18"/>
                              </w:rPr>
                              <w:t>３</w:t>
                            </w:r>
                            <w:r>
                              <w:rPr>
                                <w:rFonts w:asciiTheme="minorEastAsia" w:eastAsiaTheme="minorEastAsia" w:hAnsiTheme="minorEastAsia" w:cstheme="minorBidi" w:hint="eastAsia"/>
                                <w:color w:val="000000" w:themeColor="text1"/>
                                <w:kern w:val="24"/>
                                <w:sz w:val="14"/>
                                <w:szCs w:val="18"/>
                              </w:rPr>
                              <w:t xml:space="preserve">　</w:t>
                            </w:r>
                            <w:r>
                              <w:rPr>
                                <w:rFonts w:asciiTheme="minorEastAsia" w:eastAsiaTheme="minorEastAsia" w:hAnsiTheme="minorEastAsia" w:cstheme="minorBidi"/>
                                <w:color w:val="000000" w:themeColor="text1"/>
                                <w:kern w:val="24"/>
                                <w:sz w:val="14"/>
                                <w:szCs w:val="18"/>
                              </w:rPr>
                              <w:t>（</w:t>
                            </w:r>
                            <w:r>
                              <w:rPr>
                                <w:rFonts w:asciiTheme="minorEastAsia" w:eastAsiaTheme="minorEastAsia" w:hAnsiTheme="minorEastAsia" w:cstheme="minorBidi" w:hint="eastAsia"/>
                                <w:color w:val="000000" w:themeColor="text1"/>
                                <w:kern w:val="24"/>
                                <w:sz w:val="14"/>
                                <w:szCs w:val="18"/>
                              </w:rPr>
                              <w:t xml:space="preserve"> </w:t>
                            </w:r>
                            <w:r>
                              <w:rPr>
                                <w:rFonts w:asciiTheme="minorEastAsia" w:eastAsiaTheme="minorEastAsia" w:hAnsiTheme="minorEastAsia" w:cstheme="minorBidi"/>
                                <w:color w:val="000000" w:themeColor="text1"/>
                                <w:kern w:val="24"/>
                                <w:sz w:val="14"/>
                                <w:szCs w:val="18"/>
                              </w:rPr>
                              <w:t>）</w:t>
                            </w:r>
                            <w:r>
                              <w:rPr>
                                <w:rFonts w:asciiTheme="minorEastAsia" w:eastAsiaTheme="minorEastAsia" w:hAnsiTheme="minorEastAsia" w:cstheme="minorBidi" w:hint="eastAsia"/>
                                <w:color w:val="000000" w:themeColor="text1"/>
                                <w:kern w:val="24"/>
                                <w:sz w:val="14"/>
                                <w:szCs w:val="18"/>
                              </w:rPr>
                              <w:t>内の</w:t>
                            </w:r>
                            <w:r>
                              <w:rPr>
                                <w:rFonts w:asciiTheme="minorEastAsia" w:eastAsiaTheme="minorEastAsia" w:hAnsiTheme="minorEastAsia" w:cstheme="minorBidi"/>
                                <w:color w:val="000000" w:themeColor="text1"/>
                                <w:kern w:val="24"/>
                                <w:sz w:val="14"/>
                                <w:szCs w:val="18"/>
                              </w:rPr>
                              <w:t>数値は</w:t>
                            </w:r>
                            <w:r>
                              <w:rPr>
                                <w:rFonts w:asciiTheme="minorEastAsia" w:eastAsiaTheme="minorEastAsia" w:hAnsiTheme="minorEastAsia" w:cstheme="minorBidi" w:hint="eastAsia"/>
                                <w:color w:val="000000" w:themeColor="text1"/>
                                <w:kern w:val="24"/>
                                <w:sz w:val="14"/>
                                <w:szCs w:val="18"/>
                              </w:rPr>
                              <w:t>一般財源</w:t>
                            </w:r>
                            <w:r>
                              <w:rPr>
                                <w:rFonts w:asciiTheme="minorEastAsia" w:eastAsiaTheme="minorEastAsia" w:hAnsiTheme="minorEastAsia" w:cstheme="minorBidi"/>
                                <w:color w:val="000000" w:themeColor="text1"/>
                                <w:kern w:val="24"/>
                                <w:sz w:val="14"/>
                                <w:szCs w:val="18"/>
                              </w:rPr>
                              <w:t>に</w:t>
                            </w:r>
                            <w:r>
                              <w:rPr>
                                <w:rFonts w:asciiTheme="minorEastAsia" w:eastAsiaTheme="minorEastAsia" w:hAnsiTheme="minorEastAsia" w:cstheme="minorBidi" w:hint="eastAsia"/>
                                <w:color w:val="000000" w:themeColor="text1"/>
                                <w:kern w:val="24"/>
                                <w:sz w:val="14"/>
                                <w:szCs w:val="18"/>
                              </w:rPr>
                              <w:t>おける構成比率となっています。</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46CAD829" id="_x0000_t202" coordsize="21600,21600" o:spt="202" path="m,l,21600r21600,l21600,xe">
                <v:stroke joinstyle="miter"/>
                <v:path gradientshapeok="t" o:connecttype="rect"/>
              </v:shapetype>
              <v:shape id="テキスト ボックス 6" o:spid="_x0000_s1032" type="#_x0000_t202" style="position:absolute;left:0;text-align:left;margin-left:-8.7pt;margin-top:17.55pt;width:281.25pt;height:1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" filled="f" stroked="f">
                <v:textbox>
                  <w:txbxContent>
                    <w:p w:rsidR="002C7ABE" w:rsidRPr="004B18BE" w:rsidRDefault="002C7ABE" w:rsidP="002C7ABE">
                      <w:pPr>
                        <w:pStyle w:val="Web"/>
                        <w:spacing w:before="0" w:beforeAutospacing="0" w:after="0" w:afterAutospacing="0" w:line="240" w:lineRule="exact"/>
                        <w:ind w:left="140" w:hangingChars="100" w:hanging="140"/>
                        <w:textAlignment w:val="baseline"/>
                        <w:rPr>
                          <w:rFonts w:asciiTheme="minorEastAsia" w:eastAsiaTheme="minorEastAsia" w:hAnsiTheme="minorEastAsia" w:cstheme="minorBidi"/>
                          <w:color w:val="000000" w:themeColor="text1"/>
                          <w:kern w:val="24"/>
                          <w:sz w:val="14"/>
                          <w:szCs w:val="18"/>
                        </w:rPr>
                      </w:pPr>
                      <w:r w:rsidRPr="004B18BE">
                        <w:rPr>
                          <w:rFonts w:asciiTheme="minorEastAsia" w:eastAsiaTheme="minorEastAsia" w:hAnsiTheme="minorEastAsia" w:cstheme="minorBidi" w:hint="eastAsia"/>
                          <w:color w:val="000000" w:themeColor="text1"/>
                          <w:kern w:val="24"/>
                          <w:sz w:val="14"/>
                          <w:szCs w:val="18"/>
                        </w:rPr>
                        <w:t>※１　府債には、地方交付税の関係法制度によって交付税や府税の代わりに発行する臨時財政対策債や減収補塡債は含まれていません（ここでは「一般財源」の「交付税等」に含める）。なお、これらの地方債については、後年度の元利償還金の100％（臨時財政対策債）又は75％（減収補塡債）が交付税の算定に使われる基準財政需要額に算入されます。</w:t>
                      </w:r>
                    </w:p>
                    <w:p w:rsidR="002C7ABE" w:rsidRDefault="002C7ABE" w:rsidP="002C7ABE">
                      <w:pPr>
                        <w:pStyle w:val="Web"/>
                        <w:spacing w:before="0" w:beforeAutospacing="0" w:after="0" w:afterAutospacing="0" w:line="240" w:lineRule="exact"/>
                        <w:ind w:left="140" w:hangingChars="100" w:hanging="140"/>
                        <w:textAlignment w:val="baseline"/>
                        <w:rPr>
                          <w:rFonts w:asciiTheme="minorEastAsia" w:eastAsiaTheme="minorEastAsia" w:hAnsiTheme="minorEastAsia" w:cstheme="minorBidi"/>
                          <w:color w:val="000000" w:themeColor="text1"/>
                          <w:kern w:val="24"/>
                          <w:sz w:val="14"/>
                          <w:szCs w:val="18"/>
                        </w:rPr>
                      </w:pPr>
                      <w:r w:rsidRPr="004B18BE">
                        <w:rPr>
                          <w:rFonts w:asciiTheme="minorEastAsia" w:eastAsiaTheme="minorEastAsia" w:hAnsiTheme="minorEastAsia" w:cstheme="minorBidi" w:hint="eastAsia"/>
                          <w:color w:val="000000" w:themeColor="text1"/>
                          <w:kern w:val="24"/>
                          <w:sz w:val="14"/>
                          <w:szCs w:val="18"/>
                        </w:rPr>
                        <w:t>※２　「その他」には、地方譲与税や市町村たばこ税府交付金の税関連歳入、財政調整基金からの繰入金、宝くじ収益金などが含まれます。</w:t>
                      </w:r>
                    </w:p>
                    <w:p w:rsidR="00326AF3" w:rsidRPr="004B18BE" w:rsidRDefault="00326AF3" w:rsidP="002C7ABE">
                      <w:pPr>
                        <w:pStyle w:val="Web"/>
                        <w:spacing w:before="0" w:beforeAutospacing="0" w:after="0" w:afterAutospacing="0" w:line="240" w:lineRule="exact"/>
                        <w:ind w:left="140" w:hangingChars="100" w:hanging="140"/>
                        <w:textAlignment w:val="baseline"/>
                        <w:rPr>
                          <w:rFonts w:asciiTheme="minorEastAsia" w:eastAsiaTheme="minorEastAsia" w:hAnsiTheme="minorEastAsia" w:hint="eastAsia"/>
                          <w:sz w:val="14"/>
                          <w:szCs w:val="18"/>
                        </w:rPr>
                      </w:pPr>
                      <w:r>
                        <w:rPr>
                          <w:rFonts w:asciiTheme="minorEastAsia" w:eastAsiaTheme="minorEastAsia" w:hAnsiTheme="minorEastAsia" w:cstheme="minorBidi" w:hint="eastAsia"/>
                          <w:color w:val="000000" w:themeColor="text1"/>
                          <w:kern w:val="24"/>
                          <w:sz w:val="14"/>
                          <w:szCs w:val="18"/>
                        </w:rPr>
                        <w:t>※</w:t>
                      </w:r>
                      <w:r>
                        <w:rPr>
                          <w:rFonts w:asciiTheme="minorEastAsia" w:eastAsiaTheme="minorEastAsia" w:hAnsiTheme="minorEastAsia" w:cstheme="minorBidi"/>
                          <w:color w:val="000000" w:themeColor="text1"/>
                          <w:kern w:val="24"/>
                          <w:sz w:val="14"/>
                          <w:szCs w:val="18"/>
                        </w:rPr>
                        <w:t>３</w:t>
                      </w:r>
                      <w:r>
                        <w:rPr>
                          <w:rFonts w:asciiTheme="minorEastAsia" w:eastAsiaTheme="minorEastAsia" w:hAnsiTheme="minorEastAsia" w:cstheme="minorBidi" w:hint="eastAsia"/>
                          <w:color w:val="000000" w:themeColor="text1"/>
                          <w:kern w:val="24"/>
                          <w:sz w:val="14"/>
                          <w:szCs w:val="18"/>
                        </w:rPr>
                        <w:t xml:space="preserve">　</w:t>
                      </w:r>
                      <w:r>
                        <w:rPr>
                          <w:rFonts w:asciiTheme="minorEastAsia" w:eastAsiaTheme="minorEastAsia" w:hAnsiTheme="minorEastAsia" w:cstheme="minorBidi"/>
                          <w:color w:val="000000" w:themeColor="text1"/>
                          <w:kern w:val="24"/>
                          <w:sz w:val="14"/>
                          <w:szCs w:val="18"/>
                        </w:rPr>
                        <w:t>（</w:t>
                      </w:r>
                      <w:r>
                        <w:rPr>
                          <w:rFonts w:asciiTheme="minorEastAsia" w:eastAsiaTheme="minorEastAsia" w:hAnsiTheme="minorEastAsia" w:cstheme="minorBidi" w:hint="eastAsia"/>
                          <w:color w:val="000000" w:themeColor="text1"/>
                          <w:kern w:val="24"/>
                          <w:sz w:val="14"/>
                          <w:szCs w:val="18"/>
                        </w:rPr>
                        <w:t xml:space="preserve"> </w:t>
                      </w:r>
                      <w:r>
                        <w:rPr>
                          <w:rFonts w:asciiTheme="minorEastAsia" w:eastAsiaTheme="minorEastAsia" w:hAnsiTheme="minorEastAsia" w:cstheme="minorBidi"/>
                          <w:color w:val="000000" w:themeColor="text1"/>
                          <w:kern w:val="24"/>
                          <w:sz w:val="14"/>
                          <w:szCs w:val="18"/>
                        </w:rPr>
                        <w:t>）</w:t>
                      </w:r>
                      <w:r>
                        <w:rPr>
                          <w:rFonts w:asciiTheme="minorEastAsia" w:eastAsiaTheme="minorEastAsia" w:hAnsiTheme="minorEastAsia" w:cstheme="minorBidi" w:hint="eastAsia"/>
                          <w:color w:val="000000" w:themeColor="text1"/>
                          <w:kern w:val="24"/>
                          <w:sz w:val="14"/>
                          <w:szCs w:val="18"/>
                        </w:rPr>
                        <w:t>内の</w:t>
                      </w:r>
                      <w:r>
                        <w:rPr>
                          <w:rFonts w:asciiTheme="minorEastAsia" w:eastAsiaTheme="minorEastAsia" w:hAnsiTheme="minorEastAsia" w:cstheme="minorBidi"/>
                          <w:color w:val="000000" w:themeColor="text1"/>
                          <w:kern w:val="24"/>
                          <w:sz w:val="14"/>
                          <w:szCs w:val="18"/>
                        </w:rPr>
                        <w:t>数値は</w:t>
                      </w:r>
                      <w:r>
                        <w:rPr>
                          <w:rFonts w:asciiTheme="minorEastAsia" w:eastAsiaTheme="minorEastAsia" w:hAnsiTheme="minorEastAsia" w:cstheme="minorBidi" w:hint="eastAsia"/>
                          <w:color w:val="000000" w:themeColor="text1"/>
                          <w:kern w:val="24"/>
                          <w:sz w:val="14"/>
                          <w:szCs w:val="18"/>
                        </w:rPr>
                        <w:t>一般財源</w:t>
                      </w:r>
                      <w:r>
                        <w:rPr>
                          <w:rFonts w:asciiTheme="minorEastAsia" w:eastAsiaTheme="minorEastAsia" w:hAnsiTheme="minorEastAsia" w:cstheme="minorBidi"/>
                          <w:color w:val="000000" w:themeColor="text1"/>
                          <w:kern w:val="24"/>
                          <w:sz w:val="14"/>
                          <w:szCs w:val="18"/>
                        </w:rPr>
                        <w:t>に</w:t>
                      </w:r>
                      <w:r>
                        <w:rPr>
                          <w:rFonts w:asciiTheme="minorEastAsia" w:eastAsiaTheme="minorEastAsia" w:hAnsiTheme="minorEastAsia" w:cstheme="minorBidi" w:hint="eastAsia"/>
                          <w:color w:val="000000" w:themeColor="text1"/>
                          <w:kern w:val="24"/>
                          <w:sz w:val="14"/>
                          <w:szCs w:val="18"/>
                        </w:rPr>
                        <w:t>おける構成比率となっています。</w:t>
                      </w:r>
                    </w:p>
                  </w:txbxContent>
                </v:textbox>
              </v:shape>
            </w:pict>
          </mc:Fallback>
        </mc:AlternateContent>
      </w:r>
    </w:p>
    <w:p w:rsidR="002C7ABE" w:rsidRPr="00EA6E49" w:rsidRDefault="0093277D" w:rsidP="007672EE">
      <w:pPr>
        <w:tabs>
          <w:tab w:val="left" w:pos="6270"/>
        </w:tabs>
        <w:rPr>
          <w:color w:val="000000" w:themeColor="text1"/>
        </w:rPr>
      </w:pPr>
      <w:r w:rsidRPr="00EA6E49">
        <w:rPr>
          <w:noProof/>
          <w:snapToGrid/>
          <w:color w:val="000000" w:themeColor="text1"/>
        </w:rPr>
        <mc:AlternateContent>
          <mc:Choice Requires="wps">
            <w:drawing>
              <wp:anchor distT="0" distB="0" distL="114300" distR="114300" simplePos="0" relativeHeight="251659264" behindDoc="0" locked="0" layoutInCell="1" allowOverlap="1" wp14:anchorId="4267B17E" wp14:editId="1F1113B4">
                <wp:simplePos x="0" y="0"/>
                <wp:positionH relativeFrom="column">
                  <wp:posOffset>3540760</wp:posOffset>
                </wp:positionH>
                <wp:positionV relativeFrom="paragraph">
                  <wp:posOffset>73660</wp:posOffset>
                </wp:positionV>
                <wp:extent cx="2692400" cy="708025"/>
                <wp:effectExtent l="0" t="0" r="0" b="3810"/>
                <wp:wrapNone/>
                <wp:docPr id="3082"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70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ABE" w:rsidRPr="004B18BE" w:rsidRDefault="002C7ABE" w:rsidP="002C7ABE">
                            <w:pPr>
                              <w:pStyle w:val="Web"/>
                              <w:spacing w:before="0" w:beforeAutospacing="0" w:after="0" w:afterAutospacing="0" w:line="240" w:lineRule="exact"/>
                              <w:textAlignment w:val="baseline"/>
                              <w:rPr>
                                <w:rFonts w:ascii="ＭＳ 明朝" w:eastAsia="ＭＳ 明朝" w:hAnsi="ＭＳ 明朝" w:cs="+mn-cs"/>
                                <w:color w:val="000000"/>
                                <w:kern w:val="24"/>
                                <w:sz w:val="14"/>
                                <w:szCs w:val="18"/>
                              </w:rPr>
                            </w:pPr>
                            <w:r w:rsidRPr="004B18BE">
                              <w:rPr>
                                <w:rFonts w:ascii="ＭＳ 明朝" w:eastAsia="ＭＳ 明朝" w:hAnsi="ＭＳ 明朝" w:cs="+mn-cs" w:hint="eastAsia"/>
                                <w:color w:val="000000"/>
                                <w:kern w:val="24"/>
                                <w:sz w:val="14"/>
                                <w:szCs w:val="18"/>
                              </w:rPr>
                              <w:t>「税関連歳出」は、税関連の交付金、還付金など。</w:t>
                            </w:r>
                          </w:p>
                          <w:p w:rsidR="002C7ABE" w:rsidRPr="004B18BE" w:rsidRDefault="002C7ABE" w:rsidP="002C7ABE">
                            <w:pPr>
                              <w:pStyle w:val="Web"/>
                              <w:spacing w:before="0" w:beforeAutospacing="0" w:after="0" w:afterAutospacing="0" w:line="240" w:lineRule="exact"/>
                              <w:textAlignment w:val="baseline"/>
                              <w:rPr>
                                <w:rFonts w:ascii="ＭＳ 明朝" w:eastAsia="ＭＳ 明朝" w:hAnsi="ＭＳ 明朝" w:cs="+mn-cs"/>
                                <w:color w:val="000000"/>
                                <w:kern w:val="24"/>
                                <w:sz w:val="14"/>
                                <w:szCs w:val="18"/>
                              </w:rPr>
                            </w:pPr>
                            <w:r w:rsidRPr="004B18BE">
                              <w:rPr>
                                <w:rFonts w:ascii="ＭＳ 明朝" w:eastAsia="ＭＳ 明朝" w:hAnsi="ＭＳ 明朝" w:cs="+mn-cs" w:hint="eastAsia"/>
                                <w:color w:val="000000"/>
                                <w:kern w:val="24"/>
                                <w:sz w:val="14"/>
                                <w:szCs w:val="18"/>
                              </w:rPr>
                              <w:t>「その他」は、総務部門等の人件費、教育・警察以外の職員の退職手当、市町村振興費、政策企画費、府民文化費など。</w:t>
                            </w:r>
                          </w:p>
                        </w:txbxContent>
                      </wps:txbx>
                      <wps:bodyPr wrap="square">
                        <a:spAutoFit/>
                      </wps:bodyPr>
                    </wps:wsp>
                  </a:graphicData>
                </a:graphic>
                <wp14:sizeRelH relativeFrom="margin">
                  <wp14:pctWidth>0</wp14:pctWidth>
                </wp14:sizeRelH>
              </wp:anchor>
            </w:drawing>
          </mc:Choice>
          <mc:Fallback>
            <w:pict>
              <v:shape w14:anchorId="4267B17E" id="_x0000_s1033" type="#_x0000_t202" style="position:absolute;left:0;text-align:left;margin-left:278.8pt;margin-top:5.8pt;width:212pt;height:55.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" filled="f" stroked="f">
                <v:textbox style="mso-fit-shape-to-text:t">
                  <w:txbxContent>
                    <w:p w:rsidR="002C7ABE" w:rsidRPr="004B18BE" w:rsidRDefault="002C7ABE" w:rsidP="002C7ABE">
                      <w:pPr>
                        <w:pStyle w:val="Web"/>
                        <w:spacing w:before="0" w:beforeAutospacing="0" w:after="0" w:afterAutospacing="0" w:line="240" w:lineRule="exact"/>
                        <w:textAlignment w:val="baseline"/>
                        <w:rPr>
                          <w:rFonts w:ascii="ＭＳ 明朝" w:eastAsia="ＭＳ 明朝" w:hAnsi="ＭＳ 明朝" w:cs="+mn-cs"/>
                          <w:color w:val="000000"/>
                          <w:kern w:val="24"/>
                          <w:sz w:val="14"/>
                          <w:szCs w:val="18"/>
                        </w:rPr>
                      </w:pPr>
                      <w:r w:rsidRPr="004B18BE">
                        <w:rPr>
                          <w:rFonts w:ascii="ＭＳ 明朝" w:eastAsia="ＭＳ 明朝" w:hAnsi="ＭＳ 明朝" w:cs="+mn-cs" w:hint="eastAsia"/>
                          <w:color w:val="000000"/>
                          <w:kern w:val="24"/>
                          <w:sz w:val="14"/>
                          <w:szCs w:val="18"/>
                        </w:rPr>
                        <w:t>「税関連歳出」は、税関連の交付金、還付金など。</w:t>
                      </w:r>
                    </w:p>
                    <w:p w:rsidR="002C7ABE" w:rsidRPr="004B18BE" w:rsidRDefault="002C7ABE" w:rsidP="002C7ABE">
                      <w:pPr>
                        <w:pStyle w:val="Web"/>
                        <w:spacing w:before="0" w:beforeAutospacing="0" w:after="0" w:afterAutospacing="0" w:line="240" w:lineRule="exact"/>
                        <w:textAlignment w:val="baseline"/>
                        <w:rPr>
                          <w:rFonts w:ascii="ＭＳ 明朝" w:eastAsia="ＭＳ 明朝" w:hAnsi="ＭＳ 明朝" w:cs="+mn-cs"/>
                          <w:color w:val="000000"/>
                          <w:kern w:val="24"/>
                          <w:sz w:val="14"/>
                          <w:szCs w:val="18"/>
                        </w:rPr>
                      </w:pPr>
                      <w:r w:rsidRPr="004B18BE">
                        <w:rPr>
                          <w:rFonts w:ascii="ＭＳ 明朝" w:eastAsia="ＭＳ 明朝" w:hAnsi="ＭＳ 明朝" w:cs="+mn-cs" w:hint="eastAsia"/>
                          <w:color w:val="000000"/>
                          <w:kern w:val="24"/>
                          <w:sz w:val="14"/>
                          <w:szCs w:val="18"/>
                        </w:rPr>
                        <w:t>「その他」は、総務部門等の人件費、教育・警察以外の職員の退職手当、市町村振興費、政策企画費、府民文化費など。</w:t>
                      </w:r>
                    </w:p>
                  </w:txbxContent>
                </v:textbox>
              </v:shape>
            </w:pict>
          </mc:Fallback>
        </mc:AlternateContent>
      </w:r>
      <w:r w:rsidR="002C7ABE">
        <w:rPr>
          <w:color w:val="000000" w:themeColor="text1"/>
        </w:rPr>
        <w:tab/>
      </w:r>
      <w:r w:rsidR="002C7ABE">
        <w:rPr>
          <w:color w:val="000000" w:themeColor="text1"/>
        </w:rPr>
        <w:tab/>
      </w:r>
    </w:p>
    <w:p w:rsidR="002C7ABE" w:rsidRPr="00EA6E49" w:rsidRDefault="002C7ABE" w:rsidP="002C7ABE">
      <w:pPr>
        <w:rPr>
          <w:color w:val="000000" w:themeColor="text1"/>
        </w:rPr>
      </w:pPr>
    </w:p>
    <w:p w:rsidR="002C7ABE" w:rsidRDefault="002C7ABE" w:rsidP="002C7ABE">
      <w:pPr>
        <w:rPr>
          <w:color w:val="000000" w:themeColor="text1"/>
        </w:rPr>
      </w:pPr>
    </w:p>
    <w:p w:rsidR="007672EE" w:rsidRDefault="007672EE" w:rsidP="002C7ABE">
      <w:pPr>
        <w:rPr>
          <w:color w:val="000000" w:themeColor="text1"/>
        </w:rPr>
      </w:pPr>
    </w:p>
    <w:p w:rsidR="004B18BE" w:rsidRDefault="004B18BE" w:rsidP="002C7ABE">
      <w:pPr>
        <w:rPr>
          <w:color w:val="000000" w:themeColor="text1"/>
        </w:rPr>
      </w:pPr>
    </w:p>
    <w:p w:rsidR="004B18BE" w:rsidRPr="00EA6E49" w:rsidRDefault="004B18BE" w:rsidP="002C7ABE">
      <w:pPr>
        <w:rPr>
          <w:color w:val="000000" w:themeColor="text1"/>
        </w:rPr>
      </w:pPr>
    </w:p>
    <w:p w:rsidR="003B374E" w:rsidRDefault="007672EE" w:rsidP="003B374E">
      <w:pPr>
        <w:spacing w:line="320" w:lineRule="exact"/>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w:t>
      </w:r>
      <w:r w:rsidR="003B374E" w:rsidRPr="003934F9">
        <w:rPr>
          <w:rFonts w:ascii="ＭＳ Ｐゴシック" w:eastAsia="ＭＳ Ｐゴシック" w:hAnsi="ＭＳ Ｐゴシック" w:hint="eastAsia"/>
          <w:b/>
          <w:color w:val="000000" w:themeColor="text1"/>
          <w:sz w:val="24"/>
          <w:szCs w:val="24"/>
        </w:rPr>
        <w:t>府税の負担の状況</w:t>
      </w:r>
    </w:p>
    <w:p w:rsidR="003B374E" w:rsidRPr="003A40C7" w:rsidRDefault="003B374E" w:rsidP="00097B17">
      <w:pPr>
        <w:spacing w:line="280" w:lineRule="exact"/>
        <w:ind w:leftChars="135" w:left="283"/>
        <w:rPr>
          <w:rFonts w:ascii="ＭＳ 明朝" w:hAnsi="ＭＳ 明朝" w:cstheme="minorBidi"/>
          <w:snapToGrid/>
          <w:color w:val="000000" w:themeColor="text1"/>
          <w:kern w:val="24"/>
          <w:sz w:val="20"/>
        </w:rPr>
      </w:pPr>
      <w:r w:rsidRPr="00EA6E49">
        <w:rPr>
          <w:rFonts w:ascii="ＭＳ 明朝" w:hAnsi="ＭＳ 明朝" w:cstheme="minorBidi" w:hint="eastAsia"/>
          <w:snapToGrid/>
          <w:color w:val="000000" w:themeColor="text1"/>
          <w:kern w:val="24"/>
        </w:rPr>
        <w:t xml:space="preserve">　</w:t>
      </w:r>
      <w:r w:rsidRPr="003A40C7">
        <w:rPr>
          <w:rFonts w:ascii="ＭＳ 明朝" w:hAnsi="ＭＳ 明朝" w:cstheme="minorBidi" w:hint="eastAsia"/>
          <w:snapToGrid/>
          <w:color w:val="000000" w:themeColor="text1"/>
          <w:kern w:val="24"/>
          <w:sz w:val="20"/>
        </w:rPr>
        <w:t>一般財源に</w:t>
      </w:r>
      <w:r w:rsidR="003A3AC7">
        <w:rPr>
          <w:rFonts w:ascii="ＭＳ 明朝" w:hAnsi="ＭＳ 明朝" w:cstheme="minorBidi" w:hint="eastAsia"/>
          <w:snapToGrid/>
          <w:color w:val="000000" w:themeColor="text1"/>
          <w:kern w:val="24"/>
          <w:sz w:val="20"/>
        </w:rPr>
        <w:t>は、いろいろな種類があり、府民の皆さんの負担の形も異なります。</w:t>
      </w:r>
      <w:r w:rsidRPr="003A40C7">
        <w:rPr>
          <w:rFonts w:ascii="ＭＳ 明朝" w:hAnsi="ＭＳ 明朝" w:cstheme="minorBidi" w:hint="eastAsia"/>
          <w:snapToGrid/>
          <w:color w:val="000000" w:themeColor="text1"/>
          <w:kern w:val="24"/>
          <w:sz w:val="20"/>
        </w:rPr>
        <w:t>その中で、広く府民の皆さんに負担していただいているのが府税であり、その主要な税目が法人二税（法人府民税及び法人事業税）、地方消費税及び個人府民税です。これらの税目について、一世帯あたり、一人あたり、あるいは一法人あたりの負担額を平均値として算定してみると以下のような状況です。</w:t>
      </w:r>
    </w:p>
    <w:p w:rsidR="00261CA1" w:rsidRPr="00261CA1" w:rsidRDefault="00261CA1" w:rsidP="00261CA1">
      <w:pPr>
        <w:widowControl/>
        <w:jc w:val="left"/>
        <w:rPr>
          <w:rFonts w:ascii="ＭＳ Ｐゴシック" w:eastAsia="ＭＳ Ｐゴシック" w:hAnsi="ＭＳ Ｐゴシック" w:cs="ＭＳ Ｐゴシック"/>
          <w:b/>
          <w:snapToGrid/>
          <w:kern w:val="0"/>
          <w:sz w:val="22"/>
          <w:szCs w:val="22"/>
        </w:rPr>
      </w:pPr>
      <w:r w:rsidRPr="00261CA1">
        <w:rPr>
          <w:rFonts w:ascii="ＭＳ ゴシック" w:eastAsia="ＭＳ ゴシック" w:hAnsi="ＭＳ ゴシック" w:cstheme="minorBidi" w:hint="eastAsia"/>
          <w:b/>
          <w:snapToGrid/>
          <w:kern w:val="24"/>
        </w:rPr>
        <w:lastRenderedPageBreak/>
        <w:t>◇</w:t>
      </w:r>
      <w:r w:rsidRPr="00261CA1">
        <w:rPr>
          <w:rFonts w:ascii="ＭＳ ゴシック" w:eastAsia="ＭＳ ゴシック" w:hAnsi="ＭＳ ゴシック" w:cstheme="minorBidi" w:hint="eastAsia"/>
          <w:b/>
          <w:snapToGrid/>
          <w:kern w:val="24"/>
          <w:szCs w:val="22"/>
        </w:rPr>
        <w:t>法人府民税</w:t>
      </w:r>
    </w:p>
    <w:p w:rsidR="00261CA1" w:rsidRPr="00261CA1" w:rsidRDefault="00261CA1" w:rsidP="00261CA1">
      <w:pPr>
        <w:widowControl/>
        <w:spacing w:line="240" w:lineRule="exact"/>
        <w:ind w:leftChars="202" w:left="424"/>
        <w:jc w:val="left"/>
        <w:rPr>
          <w:rFonts w:ascii="ＭＳ 明朝" w:hAnsi="ＭＳ 明朝" w:cstheme="minorBidi"/>
          <w:snapToGrid/>
          <w:kern w:val="24"/>
          <w:sz w:val="18"/>
          <w:szCs w:val="16"/>
        </w:rPr>
      </w:pPr>
      <w:r w:rsidRPr="00261CA1">
        <w:rPr>
          <w:rFonts w:asciiTheme="minorEastAsia" w:eastAsiaTheme="minorEastAsia" w:hAnsiTheme="minorEastAsia" w:cstheme="minorBidi"/>
          <w:snapToGrid/>
          <w:kern w:val="24"/>
        </w:rPr>
        <w:t>総額</w:t>
      </w:r>
      <w:r w:rsidRPr="00261CA1">
        <w:rPr>
          <w:rFonts w:asciiTheme="minorEastAsia" w:eastAsiaTheme="minorEastAsia" w:hAnsiTheme="minorEastAsia" w:cstheme="minorBidi" w:hint="eastAsia"/>
          <w:snapToGrid/>
          <w:kern w:val="24"/>
        </w:rPr>
        <w:t xml:space="preserve"> 787</w:t>
      </w:r>
      <w:r w:rsidRPr="00261CA1">
        <w:rPr>
          <w:rFonts w:asciiTheme="minorEastAsia" w:eastAsiaTheme="minorEastAsia" w:hAnsiTheme="minorEastAsia" w:cstheme="minorBidi"/>
          <w:snapToGrid/>
          <w:kern w:val="24"/>
        </w:rPr>
        <w:t xml:space="preserve">億円  </w:t>
      </w:r>
      <w:r w:rsidRPr="00261CA1">
        <w:rPr>
          <w:rFonts w:asciiTheme="minorEastAsia" w:eastAsiaTheme="minorEastAsia" w:hAnsiTheme="minorEastAsia" w:cstheme="minorBidi" w:hint="eastAsia"/>
          <w:snapToGrid/>
          <w:kern w:val="24"/>
        </w:rPr>
        <w:t xml:space="preserve">  </w:t>
      </w:r>
      <w:r w:rsidRPr="00261CA1">
        <w:rPr>
          <w:rFonts w:ascii="ＭＳ 明朝" w:hAnsi="ＭＳ 明朝" w:cs="ＭＳ 明朝" w:hint="eastAsia"/>
          <w:snapToGrid/>
          <w:kern w:val="24"/>
          <w:sz w:val="18"/>
          <w:szCs w:val="16"/>
        </w:rPr>
        <w:t>○</w:t>
      </w:r>
      <w:r w:rsidRPr="00261CA1">
        <w:rPr>
          <w:rFonts w:ascii="ＭＳ 明朝" w:hAnsi="ＭＳ 明朝" w:cstheme="minorBidi"/>
          <w:snapToGrid/>
          <w:kern w:val="24"/>
          <w:sz w:val="18"/>
          <w:szCs w:val="16"/>
        </w:rPr>
        <w:t xml:space="preserve">均等割　  </w:t>
      </w:r>
      <w:r w:rsidRPr="00261CA1">
        <w:rPr>
          <w:rFonts w:ascii="ＭＳ 明朝" w:hAnsi="ＭＳ 明朝" w:cstheme="minorBidi" w:hint="eastAsia"/>
          <w:snapToGrid/>
          <w:kern w:val="24"/>
          <w:sz w:val="18"/>
          <w:szCs w:val="16"/>
        </w:rPr>
        <w:t>166</w:t>
      </w:r>
      <w:r w:rsidRPr="00261CA1">
        <w:rPr>
          <w:rFonts w:ascii="ＭＳ 明朝" w:hAnsi="ＭＳ 明朝" w:cstheme="minorBidi"/>
          <w:snapToGrid/>
          <w:kern w:val="24"/>
          <w:sz w:val="18"/>
          <w:szCs w:val="16"/>
        </w:rPr>
        <w:t xml:space="preserve">億円／対象 </w:t>
      </w:r>
      <w:r w:rsidRPr="00261CA1">
        <w:rPr>
          <w:rFonts w:ascii="ＭＳ 明朝" w:hAnsi="ＭＳ 明朝" w:cstheme="minorBidi" w:hint="eastAsia"/>
          <w:snapToGrid/>
          <w:kern w:val="24"/>
          <w:sz w:val="18"/>
          <w:szCs w:val="16"/>
        </w:rPr>
        <w:t>24.5</w:t>
      </w:r>
      <w:r w:rsidRPr="00261CA1">
        <w:rPr>
          <w:rFonts w:ascii="ＭＳ 明朝" w:hAnsi="ＭＳ 明朝" w:cstheme="minorBidi"/>
          <w:snapToGrid/>
          <w:kern w:val="24"/>
          <w:sz w:val="18"/>
          <w:szCs w:val="16"/>
        </w:rPr>
        <w:t xml:space="preserve">万法人 </w:t>
      </w:r>
      <w:r w:rsidRPr="00261CA1">
        <w:rPr>
          <w:rFonts w:ascii="ＭＳ 明朝" w:hAnsi="ＭＳ 明朝" w:cs="ＭＳ 明朝" w:hint="eastAsia"/>
          <w:snapToGrid/>
          <w:kern w:val="24"/>
          <w:sz w:val="18"/>
          <w:szCs w:val="16"/>
        </w:rPr>
        <w:t>⇒</w:t>
      </w:r>
      <w:r w:rsidRPr="00261CA1">
        <w:rPr>
          <w:rFonts w:ascii="ＭＳ 明朝" w:hAnsi="ＭＳ 明朝" w:cstheme="minorBidi"/>
          <w:snapToGrid/>
          <w:kern w:val="24"/>
          <w:sz w:val="18"/>
          <w:szCs w:val="16"/>
        </w:rPr>
        <w:t xml:space="preserve">　一法人あたり 　</w:t>
      </w:r>
      <w:r w:rsidRPr="00261CA1">
        <w:rPr>
          <w:rFonts w:ascii="ＭＳ 明朝" w:hAnsi="ＭＳ 明朝" w:cstheme="minorBidi" w:hint="eastAsia"/>
          <w:snapToGrid/>
          <w:kern w:val="24"/>
          <w:sz w:val="18"/>
          <w:szCs w:val="16"/>
        </w:rPr>
        <w:t>6.8</w:t>
      </w:r>
      <w:r w:rsidRPr="00261CA1">
        <w:rPr>
          <w:rFonts w:ascii="ＭＳ 明朝" w:hAnsi="ＭＳ 明朝" w:cstheme="minorBidi"/>
          <w:snapToGrid/>
          <w:kern w:val="24"/>
          <w:sz w:val="18"/>
          <w:szCs w:val="16"/>
        </w:rPr>
        <w:t>万円</w:t>
      </w:r>
    </w:p>
    <w:p w:rsidR="00261CA1" w:rsidRPr="00261CA1" w:rsidRDefault="00261CA1" w:rsidP="00261CA1">
      <w:pPr>
        <w:widowControl/>
        <w:spacing w:line="240" w:lineRule="exact"/>
        <w:ind w:firstLineChars="1202" w:firstLine="2164"/>
        <w:jc w:val="left"/>
        <w:rPr>
          <w:rFonts w:asciiTheme="minorEastAsia" w:eastAsiaTheme="minorEastAsia" w:hAnsiTheme="minorEastAsia" w:cstheme="minorBidi"/>
          <w:snapToGrid/>
          <w:kern w:val="24"/>
          <w:sz w:val="18"/>
        </w:rPr>
      </w:pPr>
      <w:r w:rsidRPr="00261CA1">
        <w:rPr>
          <w:rFonts w:ascii="ＭＳ 明朝" w:hAnsi="ＭＳ 明朝" w:cs="ＭＳ 明朝" w:hint="eastAsia"/>
          <w:snapToGrid/>
          <w:kern w:val="24"/>
          <w:sz w:val="18"/>
          <w:szCs w:val="16"/>
        </w:rPr>
        <w:t>○</w:t>
      </w:r>
      <w:r w:rsidRPr="00261CA1">
        <w:rPr>
          <w:rFonts w:ascii="ＭＳ 明朝" w:hAnsi="ＭＳ 明朝" w:cstheme="minorBidi"/>
          <w:snapToGrid/>
          <w:kern w:val="24"/>
          <w:sz w:val="18"/>
          <w:szCs w:val="16"/>
        </w:rPr>
        <w:t xml:space="preserve">法人税割　</w:t>
      </w:r>
      <w:r w:rsidRPr="00261CA1">
        <w:rPr>
          <w:rFonts w:ascii="ＭＳ 明朝" w:hAnsi="ＭＳ 明朝" w:cstheme="minorBidi" w:hint="eastAsia"/>
          <w:snapToGrid/>
          <w:kern w:val="24"/>
          <w:sz w:val="18"/>
          <w:szCs w:val="16"/>
        </w:rPr>
        <w:t>621</w:t>
      </w:r>
      <w:r w:rsidRPr="00261CA1">
        <w:rPr>
          <w:rFonts w:ascii="ＭＳ 明朝" w:hAnsi="ＭＳ 明朝" w:cstheme="minorBidi"/>
          <w:snapToGrid/>
          <w:kern w:val="24"/>
          <w:sz w:val="18"/>
          <w:szCs w:val="16"/>
        </w:rPr>
        <w:t xml:space="preserve">億円／対象  </w:t>
      </w:r>
      <w:bookmarkStart w:id="0" w:name="_GoBack"/>
      <w:bookmarkEnd w:id="0"/>
      <w:r w:rsidRPr="00261CA1">
        <w:rPr>
          <w:rFonts w:ascii="ＭＳ 明朝" w:hAnsi="ＭＳ 明朝" w:cstheme="minorBidi" w:hint="eastAsia"/>
          <w:snapToGrid/>
          <w:kern w:val="24"/>
          <w:sz w:val="18"/>
          <w:szCs w:val="16"/>
        </w:rPr>
        <w:t>9.7</w:t>
      </w:r>
      <w:r w:rsidRPr="00261CA1">
        <w:rPr>
          <w:rFonts w:ascii="ＭＳ 明朝" w:hAnsi="ＭＳ 明朝" w:cstheme="minorBidi"/>
          <w:snapToGrid/>
          <w:kern w:val="24"/>
          <w:sz w:val="18"/>
          <w:szCs w:val="16"/>
        </w:rPr>
        <w:t xml:space="preserve">万法人 </w:t>
      </w:r>
      <w:r w:rsidRPr="00261CA1">
        <w:rPr>
          <w:rFonts w:ascii="ＭＳ 明朝" w:hAnsi="ＭＳ 明朝" w:cs="ＭＳ 明朝" w:hint="eastAsia"/>
          <w:snapToGrid/>
          <w:kern w:val="24"/>
          <w:sz w:val="18"/>
          <w:szCs w:val="16"/>
        </w:rPr>
        <w:t>⇒</w:t>
      </w:r>
      <w:r w:rsidRPr="00261CA1">
        <w:rPr>
          <w:rFonts w:ascii="ＭＳ 明朝" w:hAnsi="ＭＳ 明朝" w:cstheme="minorBidi"/>
          <w:snapToGrid/>
          <w:kern w:val="24"/>
          <w:sz w:val="18"/>
          <w:szCs w:val="16"/>
        </w:rPr>
        <w:t xml:space="preserve">　一法人あたり　</w:t>
      </w:r>
      <w:r w:rsidRPr="00261CA1">
        <w:rPr>
          <w:rFonts w:ascii="ＭＳ 明朝" w:hAnsi="ＭＳ 明朝" w:cstheme="minorBidi" w:hint="eastAsia"/>
          <w:snapToGrid/>
          <w:kern w:val="24"/>
          <w:sz w:val="18"/>
          <w:szCs w:val="16"/>
        </w:rPr>
        <w:t>64.0</w:t>
      </w:r>
      <w:r w:rsidRPr="00261CA1">
        <w:rPr>
          <w:rFonts w:ascii="ＭＳ 明朝" w:hAnsi="ＭＳ 明朝" w:cstheme="minorBidi"/>
          <w:snapToGrid/>
          <w:kern w:val="24"/>
          <w:sz w:val="18"/>
          <w:szCs w:val="16"/>
        </w:rPr>
        <w:t>万円</w:t>
      </w:r>
    </w:p>
    <w:p w:rsidR="00261CA1" w:rsidRPr="004955F1" w:rsidRDefault="00261CA1" w:rsidP="00595129">
      <w:pPr>
        <w:spacing w:afterLines="50" w:after="180" w:line="240" w:lineRule="exact"/>
        <w:ind w:leftChars="200" w:left="420" w:firstLineChars="100" w:firstLine="140"/>
        <w:rPr>
          <w:rFonts w:ascii="ＭＳ 明朝" w:hAnsi="ＭＳ 明朝" w:cstheme="minorBidi"/>
          <w:kern w:val="24"/>
          <w:sz w:val="14"/>
          <w:szCs w:val="14"/>
        </w:rPr>
      </w:pPr>
      <w:r w:rsidRPr="00097B17">
        <w:rPr>
          <w:rFonts w:ascii="ＭＳ 明朝" w:hAnsi="ＭＳ 明朝" w:cstheme="minorBidi" w:hint="eastAsia"/>
          <w:kern w:val="24"/>
          <w:sz w:val="14"/>
          <w:szCs w:val="14"/>
        </w:rPr>
        <w:t>税額は、「均等割」については資本金等の額に応じて2万円～160万円、「法人税割」については、平成26年9月30日以前に開始する事業年度分は法人税額の5％又は6％、平成26年10月1日から令和元年9月30</w:t>
      </w:r>
      <w:r w:rsidR="00652E65" w:rsidRPr="00097B17">
        <w:rPr>
          <w:rFonts w:ascii="ＭＳ 明朝" w:hAnsi="ＭＳ 明朝" w:cstheme="minorBidi" w:hint="eastAsia"/>
          <w:kern w:val="24"/>
          <w:sz w:val="14"/>
          <w:szCs w:val="14"/>
        </w:rPr>
        <w:t>日までに開始する事業年度分は</w:t>
      </w:r>
      <w:r w:rsidRPr="00097B17">
        <w:rPr>
          <w:rFonts w:ascii="ＭＳ 明朝" w:hAnsi="ＭＳ 明朝" w:cstheme="minorBidi" w:hint="eastAsia"/>
          <w:kern w:val="24"/>
          <w:sz w:val="14"/>
          <w:szCs w:val="14"/>
        </w:rPr>
        <w:t>3.2％又は4.2％、令和元年10月1日以後に開始する事業年度分は1％又は2％です。</w:t>
      </w:r>
    </w:p>
    <w:p w:rsidR="00261CA1" w:rsidRPr="00261CA1" w:rsidRDefault="00261CA1" w:rsidP="004955F1">
      <w:pPr>
        <w:jc w:val="left"/>
        <w:rPr>
          <w:b/>
          <w:sz w:val="22"/>
          <w:szCs w:val="22"/>
        </w:rPr>
      </w:pPr>
      <w:r w:rsidRPr="00261CA1">
        <w:rPr>
          <w:rFonts w:ascii="ＭＳ ゴシック" w:eastAsia="ＭＳ ゴシック" w:hAnsi="ＭＳ ゴシック" w:cstheme="minorBidi" w:hint="eastAsia"/>
          <w:b/>
          <w:snapToGrid/>
          <w:kern w:val="24"/>
        </w:rPr>
        <w:t>◇</w:t>
      </w:r>
      <w:r w:rsidRPr="00261CA1">
        <w:rPr>
          <w:rFonts w:ascii="ＭＳ ゴシック" w:eastAsia="ＭＳ ゴシック" w:hAnsi="ＭＳ ゴシック" w:cstheme="minorBidi" w:hint="eastAsia"/>
          <w:b/>
          <w:snapToGrid/>
          <w:kern w:val="24"/>
          <w:szCs w:val="22"/>
        </w:rPr>
        <w:t>法人事業税</w:t>
      </w:r>
    </w:p>
    <w:p w:rsidR="00261CA1" w:rsidRPr="00261CA1" w:rsidRDefault="00261CA1" w:rsidP="00261CA1">
      <w:pPr>
        <w:widowControl/>
        <w:spacing w:line="240" w:lineRule="exact"/>
        <w:ind w:leftChars="202" w:left="424"/>
        <w:jc w:val="left"/>
        <w:rPr>
          <w:rFonts w:ascii="ＭＳ 明朝" w:hAnsi="ＭＳ 明朝" w:cstheme="minorBidi"/>
          <w:snapToGrid/>
          <w:kern w:val="24"/>
          <w:sz w:val="18"/>
          <w:szCs w:val="16"/>
        </w:rPr>
      </w:pPr>
      <w:r w:rsidRPr="00261CA1">
        <w:rPr>
          <w:rFonts w:hint="eastAsia"/>
        </w:rPr>
        <w:t>総額</w:t>
      </w:r>
      <w:r w:rsidRPr="00261CA1">
        <w:rPr>
          <w:rFonts w:asciiTheme="minorEastAsia" w:eastAsiaTheme="minorEastAsia" w:hAnsiTheme="minorEastAsia" w:hint="eastAsia"/>
        </w:rPr>
        <w:t xml:space="preserve"> 3,603</w:t>
      </w:r>
      <w:r w:rsidRPr="00261CA1">
        <w:rPr>
          <w:rFonts w:hint="eastAsia"/>
        </w:rPr>
        <w:t>億円</w:t>
      </w:r>
      <w:r w:rsidRPr="00261CA1">
        <w:rPr>
          <w:rFonts w:hint="eastAsia"/>
          <w:sz w:val="18"/>
        </w:rPr>
        <w:t xml:space="preserve">  </w:t>
      </w:r>
      <w:r w:rsidRPr="00261CA1">
        <w:rPr>
          <w:rFonts w:ascii="ＭＳ 明朝" w:hAnsi="ＭＳ 明朝" w:cs="ＭＳ 明朝" w:hint="eastAsia"/>
          <w:snapToGrid/>
          <w:kern w:val="24"/>
          <w:sz w:val="18"/>
          <w:szCs w:val="16"/>
        </w:rPr>
        <w:t>○外形標準課税　 1,552億円／対象0.8万法人　⇒  一法人あたり 1,968.4万円</w:t>
      </w:r>
    </w:p>
    <w:p w:rsidR="00261CA1" w:rsidRPr="00261CA1" w:rsidRDefault="00261CA1" w:rsidP="00261CA1">
      <w:pPr>
        <w:widowControl/>
        <w:spacing w:line="240" w:lineRule="exact"/>
        <w:ind w:firstLineChars="1181" w:firstLine="2126"/>
        <w:jc w:val="left"/>
        <w:rPr>
          <w:rFonts w:asciiTheme="minorEastAsia" w:eastAsiaTheme="minorEastAsia" w:hAnsiTheme="minorEastAsia" w:cstheme="minorBidi"/>
          <w:snapToGrid/>
          <w:kern w:val="24"/>
          <w:sz w:val="18"/>
        </w:rPr>
      </w:pPr>
      <w:r w:rsidRPr="00261CA1">
        <w:rPr>
          <w:rFonts w:ascii="ＭＳ 明朝" w:hAnsi="ＭＳ 明朝" w:cs="ＭＳ 明朝" w:hint="eastAsia"/>
          <w:snapToGrid/>
          <w:kern w:val="24"/>
          <w:sz w:val="18"/>
          <w:szCs w:val="16"/>
        </w:rPr>
        <w:t>○所得（収入）割 2,051億円／対象9.7万法人　⇒</w:t>
      </w:r>
      <w:r w:rsidR="0084141A">
        <w:rPr>
          <w:rFonts w:ascii="ＭＳ 明朝" w:hAnsi="ＭＳ 明朝" w:cs="ＭＳ 明朝" w:hint="eastAsia"/>
          <w:snapToGrid/>
          <w:kern w:val="24"/>
          <w:sz w:val="18"/>
          <w:szCs w:val="16"/>
        </w:rPr>
        <w:t xml:space="preserve">  </w:t>
      </w:r>
      <w:r w:rsidRPr="00261CA1">
        <w:rPr>
          <w:rFonts w:ascii="ＭＳ 明朝" w:hAnsi="ＭＳ 明朝" w:cs="ＭＳ 明朝" w:hint="eastAsia"/>
          <w:snapToGrid/>
          <w:kern w:val="24"/>
          <w:sz w:val="18"/>
          <w:szCs w:val="16"/>
        </w:rPr>
        <w:t>一法人あたり</w:t>
      </w:r>
      <w:r w:rsidR="0084141A">
        <w:rPr>
          <w:rFonts w:ascii="ＭＳ 明朝" w:hAnsi="ＭＳ 明朝" w:cs="ＭＳ 明朝" w:hint="eastAsia"/>
          <w:snapToGrid/>
          <w:kern w:val="24"/>
          <w:sz w:val="18"/>
          <w:szCs w:val="16"/>
        </w:rPr>
        <w:t xml:space="preserve"> </w:t>
      </w:r>
      <w:r w:rsidRPr="00261CA1">
        <w:rPr>
          <w:rFonts w:ascii="ＭＳ 明朝" w:hAnsi="ＭＳ 明朝" w:cs="ＭＳ 明朝" w:hint="eastAsia"/>
          <w:snapToGrid/>
          <w:kern w:val="24"/>
          <w:sz w:val="18"/>
          <w:szCs w:val="16"/>
        </w:rPr>
        <w:t xml:space="preserve">　211.3万円</w:t>
      </w:r>
    </w:p>
    <w:p w:rsidR="004955F1" w:rsidRPr="004955F1" w:rsidRDefault="00261CA1" w:rsidP="00731D30">
      <w:pPr>
        <w:widowControl/>
        <w:spacing w:afterLines="50" w:after="180" w:line="240" w:lineRule="exact"/>
        <w:ind w:leftChars="200" w:left="420" w:firstLineChars="100" w:firstLine="140"/>
        <w:rPr>
          <w:rFonts w:ascii="ＭＳ 明朝" w:hAnsi="ＭＳ 明朝" w:cstheme="minorBidi"/>
          <w:snapToGrid/>
          <w:kern w:val="24"/>
          <w:sz w:val="14"/>
          <w:szCs w:val="14"/>
        </w:rPr>
      </w:pPr>
      <w:r w:rsidRPr="004955F1">
        <w:rPr>
          <w:rFonts w:ascii="ＭＳ 明朝" w:hAnsi="ＭＳ 明朝" w:cstheme="minorBidi" w:hint="eastAsia"/>
          <w:snapToGrid/>
          <w:kern w:val="24"/>
          <w:sz w:val="14"/>
          <w:szCs w:val="14"/>
        </w:rPr>
        <w:t>外形標準課税は、資本金又は出資金の額が１億円を超える法人が対象となり、所得のほか、付加価値額（報酬給与額等）、資本金等の額に対して、一定の割合で税額が決定します。所得（収入）割は、平成20年10月1日から平成26年9月30日までの間に開始する事業年度分は所得の1.69～5.78％、平成26年10月1日から平成27年3月31日までの間に開始する事業年度分は所得の2.39～7.18％、平成27年4月1日から平成28年3月31日までの間に開始する事業年度分は1.755～7.18％、平成28年4月1日から令和元年9月30日までの間に開始する事業年度分は0.395～7.18％、令和元年10月1日以後に開始する事業年度分は0.495～7.48％が税額となります。なお、電気・ガス供給業、保険業を行う法人の場合は、所得ではなく収入の額に応じて税額を算定し、上記期間でそれぞれ</w:t>
      </w:r>
      <w:r w:rsidRPr="004955F1">
        <w:rPr>
          <w:rFonts w:ascii="ＭＳ 明朝" w:hAnsi="ＭＳ 明朝" w:cstheme="minorBidi"/>
          <w:snapToGrid/>
          <w:kern w:val="24"/>
          <w:sz w:val="14"/>
          <w:szCs w:val="14"/>
        </w:rPr>
        <w:t>0.7</w:t>
      </w:r>
      <w:r w:rsidRPr="004955F1">
        <w:rPr>
          <w:rFonts w:ascii="ＭＳ 明朝" w:hAnsi="ＭＳ 明朝" w:cstheme="minorBidi" w:hint="eastAsia"/>
          <w:snapToGrid/>
          <w:kern w:val="24"/>
          <w:sz w:val="14"/>
          <w:szCs w:val="14"/>
        </w:rPr>
        <w:t>～</w:t>
      </w:r>
      <w:r w:rsidRPr="004955F1">
        <w:rPr>
          <w:rFonts w:ascii="ＭＳ 明朝" w:hAnsi="ＭＳ 明朝" w:cstheme="minorBidi"/>
          <w:snapToGrid/>
          <w:kern w:val="24"/>
          <w:sz w:val="14"/>
          <w:szCs w:val="14"/>
        </w:rPr>
        <w:t>0.765</w:t>
      </w:r>
      <w:r w:rsidRPr="004955F1">
        <w:rPr>
          <w:rFonts w:ascii="ＭＳ 明朝" w:hAnsi="ＭＳ 明朝" w:cstheme="minorBidi" w:hint="eastAsia"/>
          <w:snapToGrid/>
          <w:kern w:val="24"/>
          <w:sz w:val="14"/>
          <w:szCs w:val="14"/>
        </w:rPr>
        <w:t>％、</w:t>
      </w:r>
      <w:r w:rsidRPr="004955F1">
        <w:rPr>
          <w:rFonts w:ascii="ＭＳ 明朝" w:hAnsi="ＭＳ 明朝" w:cstheme="minorBidi"/>
          <w:snapToGrid/>
          <w:kern w:val="24"/>
          <w:sz w:val="14"/>
          <w:szCs w:val="14"/>
        </w:rPr>
        <w:t>0.9</w:t>
      </w:r>
      <w:r w:rsidRPr="004955F1">
        <w:rPr>
          <w:rFonts w:ascii="ＭＳ 明朝" w:hAnsi="ＭＳ 明朝" w:cstheme="minorBidi" w:hint="eastAsia"/>
          <w:snapToGrid/>
          <w:kern w:val="24"/>
          <w:sz w:val="14"/>
          <w:szCs w:val="14"/>
        </w:rPr>
        <w:t>～</w:t>
      </w:r>
      <w:r w:rsidRPr="004955F1">
        <w:rPr>
          <w:rFonts w:ascii="ＭＳ 明朝" w:hAnsi="ＭＳ 明朝" w:cstheme="minorBidi"/>
          <w:snapToGrid/>
          <w:kern w:val="24"/>
          <w:sz w:val="14"/>
          <w:szCs w:val="14"/>
        </w:rPr>
        <w:t>0.965</w:t>
      </w:r>
      <w:r w:rsidRPr="004955F1">
        <w:rPr>
          <w:rFonts w:ascii="ＭＳ 明朝" w:hAnsi="ＭＳ 明朝" w:cstheme="minorBidi" w:hint="eastAsia"/>
          <w:snapToGrid/>
          <w:kern w:val="24"/>
          <w:sz w:val="14"/>
          <w:szCs w:val="14"/>
        </w:rPr>
        <w:t>％、</w:t>
      </w:r>
      <w:r w:rsidRPr="004955F1">
        <w:rPr>
          <w:rFonts w:ascii="ＭＳ 明朝" w:hAnsi="ＭＳ 明朝" w:cstheme="minorBidi"/>
          <w:snapToGrid/>
          <w:kern w:val="24"/>
          <w:sz w:val="14"/>
          <w:szCs w:val="14"/>
        </w:rPr>
        <w:t>0.9</w:t>
      </w:r>
      <w:r w:rsidRPr="004955F1">
        <w:rPr>
          <w:rFonts w:ascii="ＭＳ 明朝" w:hAnsi="ＭＳ 明朝" w:cstheme="minorBidi" w:hint="eastAsia"/>
          <w:snapToGrid/>
          <w:kern w:val="24"/>
          <w:sz w:val="14"/>
          <w:szCs w:val="14"/>
        </w:rPr>
        <w:t>～</w:t>
      </w:r>
      <w:r w:rsidRPr="004955F1">
        <w:rPr>
          <w:rFonts w:ascii="ＭＳ 明朝" w:hAnsi="ＭＳ 明朝" w:cstheme="minorBidi"/>
          <w:snapToGrid/>
          <w:kern w:val="24"/>
          <w:sz w:val="14"/>
          <w:szCs w:val="14"/>
        </w:rPr>
        <w:t>0.965</w:t>
      </w:r>
      <w:r w:rsidRPr="004955F1">
        <w:rPr>
          <w:rFonts w:ascii="ＭＳ 明朝" w:hAnsi="ＭＳ 明朝" w:cstheme="minorBidi" w:hint="eastAsia"/>
          <w:snapToGrid/>
          <w:kern w:val="24"/>
          <w:sz w:val="14"/>
          <w:szCs w:val="14"/>
        </w:rPr>
        <w:t>％、</w:t>
      </w:r>
      <w:r w:rsidRPr="004955F1">
        <w:rPr>
          <w:rFonts w:ascii="ＭＳ 明朝" w:hAnsi="ＭＳ 明朝" w:cstheme="minorBidi"/>
          <w:snapToGrid/>
          <w:kern w:val="24"/>
          <w:sz w:val="14"/>
          <w:szCs w:val="14"/>
        </w:rPr>
        <w:t>0.9</w:t>
      </w:r>
      <w:r w:rsidRPr="004955F1">
        <w:rPr>
          <w:rFonts w:ascii="ＭＳ 明朝" w:hAnsi="ＭＳ 明朝" w:cstheme="minorBidi" w:hint="eastAsia"/>
          <w:snapToGrid/>
          <w:kern w:val="24"/>
          <w:sz w:val="14"/>
          <w:szCs w:val="14"/>
        </w:rPr>
        <w:t>～</w:t>
      </w:r>
      <w:r w:rsidRPr="004955F1">
        <w:rPr>
          <w:rFonts w:ascii="ＭＳ 明朝" w:hAnsi="ＭＳ 明朝" w:cstheme="minorBidi"/>
          <w:snapToGrid/>
          <w:kern w:val="24"/>
          <w:sz w:val="14"/>
          <w:szCs w:val="14"/>
        </w:rPr>
        <w:t>0.965</w:t>
      </w:r>
      <w:r w:rsidRPr="004955F1">
        <w:rPr>
          <w:rFonts w:ascii="ＭＳ 明朝" w:hAnsi="ＭＳ 明朝" w:cstheme="minorBidi" w:hint="eastAsia"/>
          <w:snapToGrid/>
          <w:kern w:val="24"/>
          <w:sz w:val="14"/>
          <w:szCs w:val="14"/>
        </w:rPr>
        <w:t>％、1</w:t>
      </w:r>
      <w:r w:rsidRPr="004955F1">
        <w:rPr>
          <w:rFonts w:ascii="ＭＳ 明朝" w:hAnsi="ＭＳ 明朝" w:cstheme="minorBidi"/>
          <w:snapToGrid/>
          <w:kern w:val="24"/>
          <w:sz w:val="14"/>
          <w:szCs w:val="14"/>
        </w:rPr>
        <w:t>.0</w:t>
      </w:r>
      <w:r w:rsidRPr="004955F1">
        <w:rPr>
          <w:rFonts w:ascii="ＭＳ 明朝" w:hAnsi="ＭＳ 明朝" w:cstheme="minorBidi" w:hint="eastAsia"/>
          <w:snapToGrid/>
          <w:kern w:val="24"/>
          <w:sz w:val="14"/>
          <w:szCs w:val="14"/>
        </w:rPr>
        <w:t>～1</w:t>
      </w:r>
      <w:r w:rsidRPr="004955F1">
        <w:rPr>
          <w:rFonts w:ascii="ＭＳ 明朝" w:hAnsi="ＭＳ 明朝" w:cstheme="minorBidi"/>
          <w:snapToGrid/>
          <w:kern w:val="24"/>
          <w:sz w:val="14"/>
          <w:szCs w:val="14"/>
        </w:rPr>
        <w:t>.065</w:t>
      </w:r>
      <w:r w:rsidRPr="004955F1">
        <w:rPr>
          <w:rFonts w:ascii="ＭＳ 明朝" w:hAnsi="ＭＳ 明朝" w:cstheme="minorBidi" w:hint="eastAsia"/>
          <w:snapToGrid/>
          <w:kern w:val="24"/>
          <w:sz w:val="14"/>
          <w:szCs w:val="14"/>
        </w:rPr>
        <w:t>％が税額となります。</w:t>
      </w:r>
    </w:p>
    <w:p w:rsidR="00261CA1" w:rsidRPr="00261CA1" w:rsidRDefault="00261CA1" w:rsidP="00261CA1">
      <w:pPr>
        <w:widowControl/>
        <w:jc w:val="left"/>
        <w:rPr>
          <w:rFonts w:ascii="ＭＳ Ｐゴシック" w:eastAsia="ＭＳ Ｐゴシック" w:hAnsi="ＭＳ Ｐゴシック" w:cs="ＭＳ Ｐゴシック"/>
          <w:b/>
          <w:snapToGrid/>
          <w:kern w:val="0"/>
          <w:sz w:val="24"/>
          <w:szCs w:val="24"/>
        </w:rPr>
      </w:pPr>
      <w:r w:rsidRPr="00261CA1">
        <w:rPr>
          <w:rFonts w:ascii="ＭＳ ゴシック" w:eastAsia="ＭＳ ゴシック" w:hAnsi="ＭＳ ゴシック" w:cstheme="minorBidi" w:hint="eastAsia"/>
          <w:b/>
          <w:snapToGrid/>
          <w:kern w:val="24"/>
        </w:rPr>
        <w:t>◇</w:t>
      </w:r>
      <w:r w:rsidRPr="00261CA1">
        <w:rPr>
          <w:rFonts w:ascii="ＭＳ ゴシック" w:eastAsia="ＭＳ ゴシック" w:hAnsi="ＭＳ ゴシック" w:cstheme="minorBidi" w:hint="eastAsia"/>
          <w:b/>
          <w:snapToGrid/>
          <w:kern w:val="24"/>
          <w:szCs w:val="24"/>
        </w:rPr>
        <w:t>地方消費税</w:t>
      </w:r>
    </w:p>
    <w:p w:rsidR="00261CA1" w:rsidRPr="00261CA1" w:rsidRDefault="00261CA1" w:rsidP="00261CA1">
      <w:pPr>
        <w:widowControl/>
        <w:spacing w:line="240" w:lineRule="exact"/>
        <w:ind w:leftChars="202" w:left="424"/>
        <w:jc w:val="left"/>
        <w:rPr>
          <w:rFonts w:ascii="ＭＳ 明朝" w:hAnsi="ＭＳ 明朝" w:cstheme="minorBidi"/>
          <w:snapToGrid/>
          <w:kern w:val="24"/>
          <w:sz w:val="18"/>
          <w:szCs w:val="16"/>
        </w:rPr>
      </w:pPr>
      <w:r w:rsidRPr="00261CA1">
        <w:rPr>
          <w:rFonts w:asciiTheme="minorHAnsi" w:hAnsiTheme="minorHAnsi" w:cstheme="minorBidi"/>
          <w:snapToGrid/>
          <w:kern w:val="24"/>
        </w:rPr>
        <w:t>総額</w:t>
      </w:r>
      <w:r w:rsidRPr="00261CA1">
        <w:rPr>
          <w:rFonts w:asciiTheme="minorEastAsia" w:eastAsiaTheme="minorEastAsia" w:hAnsiTheme="minorEastAsia" w:cstheme="minorBidi" w:hint="eastAsia"/>
          <w:snapToGrid/>
          <w:kern w:val="24"/>
        </w:rPr>
        <w:t xml:space="preserve"> </w:t>
      </w:r>
      <w:r w:rsidRPr="00261CA1">
        <w:rPr>
          <w:rFonts w:asciiTheme="minorEastAsia" w:eastAsiaTheme="minorEastAsia" w:hAnsiTheme="minorEastAsia" w:hint="eastAsia"/>
        </w:rPr>
        <w:t>3,501</w:t>
      </w:r>
      <w:r w:rsidRPr="00261CA1">
        <w:rPr>
          <w:rFonts w:asciiTheme="minorHAnsi" w:hAnsiTheme="minorHAnsi" w:cstheme="minorBidi"/>
          <w:snapToGrid/>
          <w:kern w:val="24"/>
        </w:rPr>
        <w:t>億円</w:t>
      </w:r>
      <w:r w:rsidRPr="00261CA1">
        <w:rPr>
          <w:rFonts w:asciiTheme="minorHAnsi" w:hAnsiTheme="minorHAnsi" w:cstheme="minorBidi" w:hint="eastAsia"/>
          <w:snapToGrid/>
          <w:kern w:val="24"/>
          <w:sz w:val="18"/>
        </w:rPr>
        <w:t xml:space="preserve">  </w:t>
      </w:r>
      <w:r w:rsidRPr="00261CA1">
        <w:rPr>
          <w:rFonts w:ascii="ＭＳ 明朝" w:hAnsi="ＭＳ 明朝" w:cs="ＭＳ 明朝" w:hint="eastAsia"/>
          <w:snapToGrid/>
          <w:kern w:val="24"/>
          <w:sz w:val="18"/>
          <w:szCs w:val="16"/>
        </w:rPr>
        <w:t>○総額　3,501億円／対象世帯数　406万世帯　⇒　一世帯あたり　8.6万円</w:t>
      </w:r>
    </w:p>
    <w:p w:rsidR="00261CA1" w:rsidRPr="004955F1" w:rsidRDefault="00261CA1" w:rsidP="00731D30">
      <w:pPr>
        <w:widowControl/>
        <w:spacing w:afterLines="50" w:after="180" w:line="240" w:lineRule="exact"/>
        <w:ind w:leftChars="200" w:left="420" w:firstLineChars="100" w:firstLine="140"/>
        <w:textAlignment w:val="baseline"/>
        <w:rPr>
          <w:rFonts w:asciiTheme="minorHAnsi" w:hAnsiTheme="minorHAnsi" w:cstheme="minorBidi"/>
          <w:snapToGrid/>
          <w:kern w:val="24"/>
          <w:sz w:val="16"/>
        </w:rPr>
      </w:pPr>
      <w:r w:rsidRPr="00097B17">
        <w:rPr>
          <w:rFonts w:asciiTheme="minorEastAsia" w:eastAsiaTheme="minorEastAsia" w:hAnsiTheme="minorEastAsia" w:cstheme="minorBidi" w:hint="eastAsia"/>
          <w:snapToGrid/>
          <w:kern w:val="24"/>
          <w:sz w:val="14"/>
        </w:rPr>
        <w:t>消費税率8％のうち、地方消費税は1.7％です。なお、令和元年10月1日からは消費税率が10％に引き上げられる予定で、消費税率10％のうち、地方消費税は2.2％（軽減税率分は8％のうち、1.76％）</w:t>
      </w:r>
      <w:r w:rsidRPr="00097B17">
        <w:rPr>
          <w:rFonts w:asciiTheme="minorHAnsi" w:hAnsiTheme="minorHAnsi" w:cstheme="minorBidi" w:hint="eastAsia"/>
          <w:snapToGrid/>
          <w:kern w:val="24"/>
          <w:sz w:val="14"/>
        </w:rPr>
        <w:t>となります。平成</w:t>
      </w:r>
      <w:r w:rsidRPr="00097B17">
        <w:rPr>
          <w:rFonts w:asciiTheme="minorEastAsia" w:eastAsiaTheme="minorEastAsia" w:hAnsiTheme="minorEastAsia" w:cstheme="minorBidi" w:hint="eastAsia"/>
          <w:snapToGrid/>
          <w:kern w:val="24"/>
          <w:sz w:val="14"/>
        </w:rPr>
        <w:t>30</w:t>
      </w:r>
      <w:r w:rsidRPr="00097B17">
        <w:rPr>
          <w:rFonts w:asciiTheme="minorHAnsi" w:hAnsiTheme="minorHAnsi" w:cstheme="minorBidi" w:hint="eastAsia"/>
          <w:snapToGrid/>
          <w:kern w:val="24"/>
          <w:sz w:val="14"/>
        </w:rPr>
        <w:t>年度から地方消費税清算特別会計を設置して、府民の皆さんの消費に相当する税額（最終消費地と税収の最終的な帰属地とを一致させるために、一旦各都道府県に払い込まれた税収を、各都道府県間において「消費に相当する額」に応じて清算した額）を計上しています。</w:t>
      </w:r>
    </w:p>
    <w:p w:rsidR="00261CA1" w:rsidRPr="00261CA1" w:rsidRDefault="00261CA1" w:rsidP="004955F1">
      <w:pPr>
        <w:widowControl/>
        <w:jc w:val="left"/>
        <w:rPr>
          <w:rFonts w:ascii="ＭＳ 明朝" w:hAnsi="ＭＳ 明朝" w:cstheme="minorBidi"/>
          <w:snapToGrid/>
          <w:kern w:val="24"/>
          <w:sz w:val="22"/>
          <w:szCs w:val="22"/>
        </w:rPr>
      </w:pPr>
      <w:r w:rsidRPr="00261CA1">
        <w:rPr>
          <w:rFonts w:ascii="ＭＳ ゴシック" w:eastAsia="ＭＳ ゴシック" w:hAnsi="ＭＳ ゴシック" w:cstheme="minorBidi" w:hint="eastAsia"/>
          <w:b/>
          <w:snapToGrid/>
          <w:kern w:val="24"/>
        </w:rPr>
        <w:t>◇</w:t>
      </w:r>
      <w:r w:rsidRPr="00261CA1">
        <w:rPr>
          <w:rFonts w:ascii="ＭＳ ゴシック" w:eastAsia="ＭＳ ゴシック" w:hAnsi="ＭＳ ゴシック" w:cstheme="minorBidi" w:hint="eastAsia"/>
          <w:b/>
          <w:snapToGrid/>
          <w:kern w:val="24"/>
          <w:szCs w:val="22"/>
        </w:rPr>
        <w:t>個人府民税</w:t>
      </w:r>
      <w:r w:rsidRPr="00261CA1">
        <w:rPr>
          <w:rFonts w:ascii="ＭＳ ゴシック" w:eastAsia="ＭＳ ゴシック" w:hAnsi="ＭＳ ゴシック" w:cstheme="minorBidi" w:hint="eastAsia"/>
          <w:b/>
          <w:snapToGrid/>
          <w:kern w:val="24"/>
          <w:sz w:val="18"/>
          <w:szCs w:val="22"/>
        </w:rPr>
        <w:t>（</w:t>
      </w:r>
      <w:r w:rsidR="00AE70B8" w:rsidRPr="00261CA1">
        <w:rPr>
          <w:rFonts w:ascii="ＭＳ ゴシック" w:eastAsia="ＭＳ ゴシック" w:hAnsi="ＭＳ ゴシック" w:cstheme="minorBidi" w:hint="eastAsia"/>
          <w:b/>
          <w:snapToGrid/>
          <w:kern w:val="24"/>
          <w:sz w:val="18"/>
          <w:szCs w:val="22"/>
        </w:rPr>
        <w:t>均等割・所得割</w:t>
      </w:r>
      <w:r w:rsidRPr="00261CA1">
        <w:rPr>
          <w:rFonts w:ascii="ＭＳ ゴシック" w:eastAsia="ＭＳ ゴシック" w:hAnsi="ＭＳ ゴシック" w:cstheme="minorBidi" w:hint="eastAsia"/>
          <w:b/>
          <w:snapToGrid/>
          <w:kern w:val="24"/>
          <w:sz w:val="18"/>
          <w:szCs w:val="22"/>
        </w:rPr>
        <w:t>）</w:t>
      </w:r>
    </w:p>
    <w:p w:rsidR="00261CA1" w:rsidRPr="00261CA1" w:rsidRDefault="00261CA1" w:rsidP="00261CA1">
      <w:pPr>
        <w:widowControl/>
        <w:spacing w:line="240" w:lineRule="exact"/>
        <w:ind w:leftChars="202" w:left="424"/>
        <w:jc w:val="left"/>
        <w:rPr>
          <w:rFonts w:ascii="ＭＳ 明朝" w:hAnsi="ＭＳ 明朝" w:cstheme="minorBidi"/>
          <w:snapToGrid/>
          <w:kern w:val="24"/>
          <w:sz w:val="18"/>
          <w:szCs w:val="16"/>
        </w:rPr>
      </w:pPr>
      <w:r w:rsidRPr="00261CA1">
        <w:rPr>
          <w:rFonts w:asciiTheme="minorEastAsia" w:eastAsiaTheme="minorEastAsia" w:hAnsiTheme="minorEastAsia" w:cstheme="minorBidi"/>
          <w:snapToGrid/>
          <w:kern w:val="24"/>
        </w:rPr>
        <w:t>総額</w:t>
      </w:r>
      <w:r w:rsidRPr="00261CA1">
        <w:rPr>
          <w:rFonts w:asciiTheme="minorEastAsia" w:eastAsiaTheme="minorEastAsia" w:hAnsiTheme="minorEastAsia" w:cstheme="minorBidi" w:hint="eastAsia"/>
          <w:snapToGrid/>
          <w:kern w:val="24"/>
        </w:rPr>
        <w:t xml:space="preserve"> 2,656</w:t>
      </w:r>
      <w:r w:rsidRPr="00261CA1">
        <w:rPr>
          <w:rFonts w:asciiTheme="minorEastAsia" w:eastAsiaTheme="minorEastAsia" w:hAnsiTheme="minorEastAsia" w:cstheme="minorBidi"/>
          <w:snapToGrid/>
          <w:kern w:val="24"/>
        </w:rPr>
        <w:t>億円</w:t>
      </w:r>
      <w:r w:rsidRPr="00261CA1">
        <w:rPr>
          <w:rFonts w:asciiTheme="minorEastAsia" w:eastAsiaTheme="minorEastAsia" w:hAnsiTheme="minorEastAsia" w:cstheme="minorBidi" w:hint="eastAsia"/>
          <w:snapToGrid/>
          <w:kern w:val="24"/>
          <w:sz w:val="18"/>
        </w:rPr>
        <w:t xml:space="preserve">　</w:t>
      </w:r>
      <w:r w:rsidRPr="00261CA1">
        <w:rPr>
          <w:rFonts w:ascii="ＭＳ 明朝" w:hAnsi="ＭＳ 明朝" w:cs="ＭＳ 明朝" w:hint="eastAsia"/>
          <w:snapToGrid/>
          <w:kern w:val="24"/>
          <w:sz w:val="18"/>
          <w:szCs w:val="16"/>
        </w:rPr>
        <w:t>○総額2,656億円／　対象人口　881万人　⇒　　　　人口一人あたり　3.0万円</w:t>
      </w:r>
    </w:p>
    <w:p w:rsidR="00261CA1" w:rsidRPr="00261CA1" w:rsidRDefault="00261CA1" w:rsidP="00261CA1">
      <w:pPr>
        <w:widowControl/>
        <w:spacing w:line="240" w:lineRule="exact"/>
        <w:ind w:firstLineChars="1181" w:firstLine="2126"/>
        <w:jc w:val="left"/>
        <w:textAlignment w:val="baseline"/>
        <w:rPr>
          <w:rFonts w:asciiTheme="minorEastAsia" w:eastAsiaTheme="minorEastAsia" w:hAnsiTheme="minorEastAsia" w:cstheme="minorBidi"/>
          <w:snapToGrid/>
          <w:kern w:val="24"/>
          <w:sz w:val="18"/>
        </w:rPr>
      </w:pPr>
      <w:r w:rsidRPr="00261CA1">
        <w:rPr>
          <w:rFonts w:ascii="ＭＳ 明朝" w:hAnsi="ＭＳ 明朝" w:cs="ＭＳ 明朝" w:hint="eastAsia"/>
          <w:snapToGrid/>
          <w:kern w:val="24"/>
          <w:sz w:val="18"/>
          <w:szCs w:val="16"/>
        </w:rPr>
        <w:t>○　　〃　 　   ／納税義務者　408万人　⇒　納税義務者一人あたり　6.5万円</w:t>
      </w:r>
    </w:p>
    <w:p w:rsidR="00261CA1" w:rsidRPr="00261CA1" w:rsidRDefault="00261CA1" w:rsidP="00261CA1">
      <w:pPr>
        <w:widowControl/>
        <w:spacing w:line="240" w:lineRule="exact"/>
        <w:ind w:leftChars="200" w:left="420" w:firstLineChars="100" w:firstLine="160"/>
        <w:jc w:val="left"/>
        <w:rPr>
          <w:rFonts w:asciiTheme="minorEastAsia" w:eastAsiaTheme="minorEastAsia" w:hAnsiTheme="minorEastAsia" w:cs="ＭＳ Ｐゴシック"/>
          <w:snapToGrid/>
          <w:kern w:val="0"/>
          <w:sz w:val="16"/>
          <w:szCs w:val="17"/>
        </w:rPr>
      </w:pPr>
      <w:r w:rsidRPr="00261CA1">
        <w:rPr>
          <w:rFonts w:asciiTheme="minorEastAsia" w:eastAsiaTheme="minorEastAsia" w:hAnsiTheme="minorEastAsia" w:cstheme="minorBidi" w:hint="eastAsia"/>
          <w:snapToGrid/>
          <w:kern w:val="24"/>
          <w:sz w:val="16"/>
          <w:szCs w:val="17"/>
        </w:rPr>
        <w:t>個人府民税</w:t>
      </w:r>
      <w:r w:rsidR="00CF73DE" w:rsidRPr="00AE70B8">
        <w:rPr>
          <w:rFonts w:asciiTheme="minorEastAsia" w:eastAsiaTheme="minorEastAsia" w:hAnsiTheme="minorEastAsia" w:cstheme="minorBidi" w:hint="eastAsia"/>
          <w:snapToGrid/>
          <w:kern w:val="24"/>
          <w:sz w:val="16"/>
          <w:szCs w:val="17"/>
        </w:rPr>
        <w:t>の中</w:t>
      </w:r>
      <w:r w:rsidRPr="00AE70B8">
        <w:rPr>
          <w:rFonts w:asciiTheme="minorEastAsia" w:eastAsiaTheme="minorEastAsia" w:hAnsiTheme="minorEastAsia" w:cstheme="minorBidi" w:hint="eastAsia"/>
          <w:snapToGrid/>
          <w:kern w:val="24"/>
          <w:sz w:val="16"/>
          <w:szCs w:val="17"/>
        </w:rPr>
        <w:t>に</w:t>
      </w:r>
      <w:r w:rsidRPr="00261CA1">
        <w:rPr>
          <w:rFonts w:asciiTheme="minorEastAsia" w:eastAsiaTheme="minorEastAsia" w:hAnsiTheme="minorEastAsia" w:cstheme="minorBidi" w:hint="eastAsia"/>
          <w:snapToGrid/>
          <w:kern w:val="24"/>
          <w:sz w:val="16"/>
          <w:szCs w:val="17"/>
        </w:rPr>
        <w:t>は所得金額にかかわらず定額で課税される「均等割」と、前年の所得金額に応じて課税される｢所得割」があり、いずれも、一定の所得以下の方は非課税になります。</w:t>
      </w:r>
    </w:p>
    <w:p w:rsidR="00261CA1" w:rsidRPr="00097B17" w:rsidRDefault="00261CA1" w:rsidP="00261CA1">
      <w:pPr>
        <w:widowControl/>
        <w:tabs>
          <w:tab w:val="left" w:pos="1325"/>
        </w:tabs>
        <w:spacing w:line="240" w:lineRule="exact"/>
        <w:ind w:firstLineChars="300" w:firstLine="420"/>
        <w:jc w:val="left"/>
        <w:rPr>
          <w:rFonts w:asciiTheme="minorEastAsia" w:eastAsiaTheme="minorEastAsia" w:hAnsiTheme="minorEastAsia" w:cstheme="minorBidi"/>
          <w:snapToGrid/>
          <w:kern w:val="24"/>
          <w:sz w:val="14"/>
          <w:szCs w:val="17"/>
        </w:rPr>
      </w:pPr>
      <w:r w:rsidRPr="00097B17">
        <w:rPr>
          <w:rFonts w:asciiTheme="minorEastAsia" w:eastAsiaTheme="minorEastAsia" w:hAnsiTheme="minorEastAsia" w:cstheme="minorBidi" w:hint="eastAsia"/>
          <w:snapToGrid/>
          <w:kern w:val="24"/>
          <w:sz w:val="14"/>
          <w:szCs w:val="17"/>
        </w:rPr>
        <w:t>●均等割　年1,800円／人</w:t>
      </w:r>
    </w:p>
    <w:p w:rsidR="00731D30" w:rsidRDefault="00261CA1" w:rsidP="00731D30">
      <w:pPr>
        <w:widowControl/>
        <w:spacing w:line="240" w:lineRule="exact"/>
        <w:ind w:rightChars="66" w:right="139" w:firstLineChars="400" w:firstLine="560"/>
        <w:jc w:val="distribute"/>
        <w:rPr>
          <w:rFonts w:asciiTheme="minorEastAsia" w:eastAsiaTheme="minorEastAsia" w:hAnsiTheme="minorEastAsia" w:cstheme="minorBidi"/>
          <w:snapToGrid/>
          <w:kern w:val="24"/>
          <w:sz w:val="14"/>
          <w:szCs w:val="17"/>
        </w:rPr>
      </w:pPr>
      <w:r w:rsidRPr="00097B17">
        <w:rPr>
          <w:rFonts w:asciiTheme="minorEastAsia" w:eastAsiaTheme="minorEastAsia" w:hAnsiTheme="minorEastAsia" w:cstheme="minorBidi" w:hint="eastAsia"/>
          <w:snapToGrid/>
          <w:kern w:val="24"/>
          <w:sz w:val="14"/>
          <w:szCs w:val="17"/>
        </w:rPr>
        <w:t>・東日本大震災からの復興に関し地方公共団体が実施する防災のための施策に必要な財源の確保に係る地方税の臨時特例に関する法律に基づき、</w:t>
      </w:r>
    </w:p>
    <w:p w:rsidR="00261CA1" w:rsidRPr="00097B17" w:rsidRDefault="00731D30" w:rsidP="00731D30">
      <w:pPr>
        <w:widowControl/>
        <w:spacing w:line="240" w:lineRule="exact"/>
        <w:ind w:rightChars="66" w:right="139" w:firstLineChars="400" w:firstLine="560"/>
        <w:jc w:val="distribute"/>
        <w:rPr>
          <w:rFonts w:asciiTheme="minorEastAsia" w:eastAsiaTheme="minorEastAsia" w:hAnsiTheme="minorEastAsia" w:cstheme="minorBidi"/>
          <w:snapToGrid/>
          <w:kern w:val="24"/>
          <w:sz w:val="14"/>
          <w:szCs w:val="17"/>
        </w:rPr>
      </w:pPr>
      <w:r>
        <w:rPr>
          <w:rFonts w:asciiTheme="minorEastAsia" w:eastAsiaTheme="minorEastAsia" w:hAnsiTheme="minorEastAsia" w:cstheme="minorBidi" w:hint="eastAsia"/>
          <w:snapToGrid/>
          <w:kern w:val="24"/>
          <w:sz w:val="14"/>
          <w:szCs w:val="17"/>
        </w:rPr>
        <w:t xml:space="preserve">　</w:t>
      </w:r>
      <w:r w:rsidR="00261CA1" w:rsidRPr="00097B17">
        <w:rPr>
          <w:rFonts w:asciiTheme="minorEastAsia" w:eastAsiaTheme="minorEastAsia" w:hAnsiTheme="minorEastAsia" w:cstheme="minorBidi" w:hint="eastAsia"/>
          <w:snapToGrid/>
          <w:kern w:val="24"/>
          <w:sz w:val="14"/>
          <w:szCs w:val="17"/>
        </w:rPr>
        <w:t>平成26年度から令和5年度までの間、臨時の措置として均等割の税率（年額1,000円）に500円が加算されています。</w:t>
      </w:r>
    </w:p>
    <w:p w:rsidR="00261CA1" w:rsidRPr="00097B17" w:rsidRDefault="00261CA1" w:rsidP="00731D30">
      <w:pPr>
        <w:widowControl/>
        <w:spacing w:line="240" w:lineRule="exact"/>
        <w:ind w:rightChars="66" w:right="139" w:firstLineChars="400" w:firstLine="560"/>
        <w:jc w:val="distribute"/>
        <w:rPr>
          <w:rFonts w:asciiTheme="minorEastAsia" w:eastAsiaTheme="minorEastAsia" w:hAnsiTheme="minorEastAsia" w:cstheme="minorBidi"/>
          <w:snapToGrid/>
          <w:kern w:val="24"/>
          <w:sz w:val="14"/>
          <w:szCs w:val="17"/>
        </w:rPr>
      </w:pPr>
      <w:r w:rsidRPr="00097B17">
        <w:rPr>
          <w:rFonts w:asciiTheme="minorEastAsia" w:eastAsiaTheme="minorEastAsia" w:hAnsiTheme="minorEastAsia" w:cstheme="minorBidi" w:hint="eastAsia"/>
          <w:snapToGrid/>
          <w:kern w:val="24"/>
          <w:sz w:val="14"/>
          <w:szCs w:val="17"/>
        </w:rPr>
        <w:t>・新たな森林保全対策を、緊急かつ集中的に実施するため、平成28年度から令和元年度までの4年間、均等割の税率に300円が加算されます。</w:t>
      </w:r>
    </w:p>
    <w:p w:rsidR="00261CA1" w:rsidRPr="00097B17" w:rsidRDefault="00261CA1" w:rsidP="00261CA1">
      <w:pPr>
        <w:widowControl/>
        <w:tabs>
          <w:tab w:val="left" w:pos="1325"/>
        </w:tabs>
        <w:spacing w:line="240" w:lineRule="exact"/>
        <w:ind w:firstLineChars="300" w:firstLine="420"/>
        <w:jc w:val="left"/>
        <w:rPr>
          <w:rFonts w:asciiTheme="minorEastAsia" w:eastAsiaTheme="minorEastAsia" w:hAnsiTheme="minorEastAsia" w:cstheme="minorBidi"/>
          <w:snapToGrid/>
          <w:kern w:val="24"/>
          <w:sz w:val="14"/>
          <w:szCs w:val="17"/>
        </w:rPr>
      </w:pPr>
      <w:r w:rsidRPr="00097B17">
        <w:rPr>
          <w:rFonts w:asciiTheme="minorEastAsia" w:eastAsiaTheme="minorEastAsia" w:hAnsiTheme="minorEastAsia" w:cstheme="minorBidi" w:hint="eastAsia"/>
          <w:snapToGrid/>
          <w:kern w:val="24"/>
          <w:sz w:val="14"/>
          <w:szCs w:val="17"/>
        </w:rPr>
        <w:t>●所得割　（前年所得金額－所得控除額）×税率４％－調整控除額－税額控除額</w:t>
      </w:r>
    </w:p>
    <w:p w:rsidR="00261CA1" w:rsidRPr="00097B17" w:rsidRDefault="00261CA1" w:rsidP="004955F1">
      <w:pPr>
        <w:tabs>
          <w:tab w:val="left" w:pos="1843"/>
          <w:tab w:val="left" w:pos="1985"/>
          <w:tab w:val="left" w:pos="2127"/>
        </w:tabs>
        <w:adjustRightInd w:val="0"/>
        <w:snapToGrid w:val="0"/>
        <w:spacing w:afterLines="50" w:after="180" w:line="240" w:lineRule="exact"/>
        <w:ind w:firstLineChars="400" w:firstLine="560"/>
        <w:rPr>
          <w:rFonts w:asciiTheme="minorEastAsia" w:eastAsiaTheme="minorEastAsia" w:hAnsiTheme="minorEastAsia" w:cstheme="minorBidi"/>
          <w:snapToGrid/>
          <w:kern w:val="24"/>
          <w:sz w:val="14"/>
          <w:szCs w:val="17"/>
        </w:rPr>
      </w:pPr>
      <w:r w:rsidRPr="00097B17">
        <w:rPr>
          <w:rFonts w:asciiTheme="minorEastAsia" w:eastAsiaTheme="minorEastAsia" w:hAnsiTheme="minorEastAsia" w:cstheme="minorBidi" w:hint="eastAsia"/>
          <w:snapToGrid/>
          <w:kern w:val="24"/>
          <w:sz w:val="14"/>
          <w:szCs w:val="17"/>
        </w:rPr>
        <w:t>・指定都市に住所を有する場合にあっては２％となります。</w:t>
      </w:r>
    </w:p>
    <w:p w:rsidR="004955F1" w:rsidRDefault="006F15C0" w:rsidP="004955F1">
      <w:pPr>
        <w:adjustRightInd w:val="0"/>
        <w:snapToGrid w:val="0"/>
        <w:spacing w:line="240" w:lineRule="exact"/>
        <w:ind w:firstLineChars="100" w:firstLine="140"/>
        <w:rPr>
          <w:sz w:val="14"/>
        </w:rPr>
      </w:pPr>
      <w:r w:rsidRPr="00097B17">
        <w:rPr>
          <w:rFonts w:hint="eastAsia"/>
          <w:sz w:val="14"/>
        </w:rPr>
        <w:t>※</w:t>
      </w:r>
      <w:r w:rsidR="00261CA1" w:rsidRPr="00097B17">
        <w:rPr>
          <w:rFonts w:hint="eastAsia"/>
          <w:sz w:val="14"/>
        </w:rPr>
        <w:t>税額や人数、法人数は概数表記であり、負担額の平均値は別に計算しています。税額は令和元年度当初予算、府内の人口は平成</w:t>
      </w:r>
      <w:r w:rsidR="00261CA1" w:rsidRPr="00097B17">
        <w:rPr>
          <w:rFonts w:asciiTheme="minorEastAsia" w:eastAsiaTheme="minorEastAsia" w:hAnsiTheme="minorEastAsia" w:hint="eastAsia"/>
          <w:sz w:val="14"/>
        </w:rPr>
        <w:t>31年4月1</w:t>
      </w:r>
      <w:r w:rsidR="00261CA1" w:rsidRPr="00097B17">
        <w:rPr>
          <w:rFonts w:hint="eastAsia"/>
          <w:sz w:val="14"/>
        </w:rPr>
        <w:t>日現在、</w:t>
      </w:r>
    </w:p>
    <w:p w:rsidR="00261CA1" w:rsidRPr="00097B17" w:rsidRDefault="00261CA1" w:rsidP="004955F1">
      <w:pPr>
        <w:adjustRightInd w:val="0"/>
        <w:snapToGrid w:val="0"/>
        <w:spacing w:line="240" w:lineRule="exact"/>
        <w:ind w:firstLineChars="200" w:firstLine="280"/>
        <w:rPr>
          <w:sz w:val="14"/>
        </w:rPr>
      </w:pPr>
      <w:r w:rsidRPr="00097B17">
        <w:rPr>
          <w:rFonts w:hint="eastAsia"/>
          <w:sz w:val="14"/>
        </w:rPr>
        <w:t>納税義務者数は平成</w:t>
      </w:r>
      <w:r w:rsidRPr="00097B17">
        <w:rPr>
          <w:rFonts w:asciiTheme="minorEastAsia" w:eastAsiaTheme="minorEastAsia" w:hAnsiTheme="minorEastAsia" w:hint="eastAsia"/>
          <w:sz w:val="14"/>
        </w:rPr>
        <w:t>30</w:t>
      </w:r>
      <w:r w:rsidRPr="00097B17">
        <w:rPr>
          <w:rFonts w:hint="eastAsia"/>
          <w:sz w:val="14"/>
        </w:rPr>
        <w:t>年度市町村民税課税状況等調による対象者、法人数は平成</w:t>
      </w:r>
      <w:r w:rsidRPr="00097B17">
        <w:rPr>
          <w:rFonts w:asciiTheme="minorEastAsia" w:eastAsiaTheme="minorEastAsia" w:hAnsiTheme="minorEastAsia" w:hint="eastAsia"/>
          <w:sz w:val="14"/>
        </w:rPr>
        <w:t>29</w:t>
      </w:r>
      <w:r w:rsidRPr="00097B17">
        <w:rPr>
          <w:rFonts w:hint="eastAsia"/>
          <w:sz w:val="14"/>
        </w:rPr>
        <w:t>年度末の数値です。</w:t>
      </w:r>
    </w:p>
    <w:p w:rsidR="00652E65" w:rsidRDefault="00652E65" w:rsidP="00652E65">
      <w:pPr>
        <w:adjustRightInd w:val="0"/>
        <w:snapToGrid w:val="0"/>
        <w:spacing w:line="240" w:lineRule="exact"/>
        <w:ind w:firstLineChars="200" w:firstLine="320"/>
        <w:rPr>
          <w:sz w:val="16"/>
        </w:rPr>
      </w:pPr>
    </w:p>
    <w:p w:rsidR="00097B17" w:rsidRDefault="00097B17" w:rsidP="00652E65">
      <w:pPr>
        <w:adjustRightInd w:val="0"/>
        <w:snapToGrid w:val="0"/>
        <w:spacing w:line="240" w:lineRule="exact"/>
        <w:ind w:firstLineChars="200" w:firstLine="320"/>
        <w:rPr>
          <w:sz w:val="16"/>
        </w:rPr>
      </w:pPr>
    </w:p>
    <w:p w:rsidR="003B374E" w:rsidRPr="00942B65" w:rsidRDefault="002E19E6" w:rsidP="002E19E6">
      <w:pPr>
        <w:adjustRightInd w:val="0"/>
        <w:snapToGrid w:val="0"/>
        <w:spacing w:line="240" w:lineRule="exact"/>
        <w:jc w:val="center"/>
        <w:rPr>
          <w:rFonts w:asciiTheme="majorEastAsia" w:eastAsiaTheme="majorEastAsia" w:hAnsiTheme="majorEastAsia"/>
          <w:b/>
        </w:rPr>
      </w:pPr>
      <w:r w:rsidRPr="00942B65">
        <w:rPr>
          <w:rFonts w:asciiTheme="majorEastAsia" w:eastAsiaTheme="majorEastAsia" w:hAnsiTheme="majorEastAsia" w:hint="eastAsia"/>
          <w:b/>
        </w:rPr>
        <w:t>【参考】府</w:t>
      </w:r>
      <w:r w:rsidR="00942B65">
        <w:rPr>
          <w:rFonts w:asciiTheme="majorEastAsia" w:eastAsiaTheme="majorEastAsia" w:hAnsiTheme="majorEastAsia" w:hint="eastAsia"/>
          <w:b/>
        </w:rPr>
        <w:t xml:space="preserve"> </w:t>
      </w:r>
      <w:r w:rsidRPr="00942B65">
        <w:rPr>
          <w:rFonts w:asciiTheme="majorEastAsia" w:eastAsiaTheme="majorEastAsia" w:hAnsiTheme="majorEastAsia" w:hint="eastAsia"/>
          <w:b/>
        </w:rPr>
        <w:t>民</w:t>
      </w:r>
      <w:r w:rsidR="00942B65">
        <w:rPr>
          <w:rFonts w:asciiTheme="majorEastAsia" w:eastAsiaTheme="majorEastAsia" w:hAnsiTheme="majorEastAsia" w:hint="eastAsia"/>
          <w:b/>
        </w:rPr>
        <w:t xml:space="preserve"> </w:t>
      </w:r>
      <w:r w:rsidRPr="00942B65">
        <w:rPr>
          <w:rFonts w:asciiTheme="majorEastAsia" w:eastAsiaTheme="majorEastAsia" w:hAnsiTheme="majorEastAsia" w:hint="eastAsia"/>
          <w:b/>
        </w:rPr>
        <w:t>所</w:t>
      </w:r>
      <w:r w:rsidR="00942B65">
        <w:rPr>
          <w:rFonts w:asciiTheme="majorEastAsia" w:eastAsiaTheme="majorEastAsia" w:hAnsiTheme="majorEastAsia" w:hint="eastAsia"/>
          <w:b/>
        </w:rPr>
        <w:t xml:space="preserve"> </w:t>
      </w:r>
      <w:r w:rsidRPr="00942B65">
        <w:rPr>
          <w:rFonts w:asciiTheme="majorEastAsia" w:eastAsiaTheme="majorEastAsia" w:hAnsiTheme="majorEastAsia" w:hint="eastAsia"/>
          <w:b/>
        </w:rPr>
        <w:t>得</w:t>
      </w:r>
      <w:r w:rsidR="00942B65">
        <w:rPr>
          <w:rFonts w:asciiTheme="majorEastAsia" w:eastAsiaTheme="majorEastAsia" w:hAnsiTheme="majorEastAsia" w:hint="eastAsia"/>
          <w:b/>
        </w:rPr>
        <w:t xml:space="preserve"> </w:t>
      </w:r>
      <w:r w:rsidRPr="00942B65">
        <w:rPr>
          <w:rFonts w:asciiTheme="majorEastAsia" w:eastAsiaTheme="majorEastAsia" w:hAnsiTheme="majorEastAsia" w:hint="eastAsia"/>
          <w:b/>
        </w:rPr>
        <w:t>と</w:t>
      </w:r>
      <w:r w:rsidR="00942B65">
        <w:rPr>
          <w:rFonts w:asciiTheme="majorEastAsia" w:eastAsiaTheme="majorEastAsia" w:hAnsiTheme="majorEastAsia" w:hint="eastAsia"/>
          <w:b/>
        </w:rPr>
        <w:t xml:space="preserve"> </w:t>
      </w:r>
      <w:r w:rsidRPr="00942B65">
        <w:rPr>
          <w:rFonts w:asciiTheme="majorEastAsia" w:eastAsiaTheme="majorEastAsia" w:hAnsiTheme="majorEastAsia" w:hint="eastAsia"/>
          <w:b/>
        </w:rPr>
        <w:t>府</w:t>
      </w:r>
      <w:r w:rsidR="00942B65">
        <w:rPr>
          <w:rFonts w:asciiTheme="majorEastAsia" w:eastAsiaTheme="majorEastAsia" w:hAnsiTheme="majorEastAsia" w:hint="eastAsia"/>
          <w:b/>
        </w:rPr>
        <w:t xml:space="preserve"> </w:t>
      </w:r>
      <w:r w:rsidRPr="00942B65">
        <w:rPr>
          <w:rFonts w:asciiTheme="majorEastAsia" w:eastAsiaTheme="majorEastAsia" w:hAnsiTheme="majorEastAsia" w:hint="eastAsia"/>
          <w:b/>
        </w:rPr>
        <w:t>税</w:t>
      </w:r>
      <w:r w:rsidR="00942B65">
        <w:rPr>
          <w:rFonts w:asciiTheme="majorEastAsia" w:eastAsiaTheme="majorEastAsia" w:hAnsiTheme="majorEastAsia" w:hint="eastAsia"/>
          <w:b/>
        </w:rPr>
        <w:t xml:space="preserve"> </w:t>
      </w:r>
      <w:r w:rsidRPr="00942B65">
        <w:rPr>
          <w:rFonts w:asciiTheme="majorEastAsia" w:eastAsiaTheme="majorEastAsia" w:hAnsiTheme="majorEastAsia" w:hint="eastAsia"/>
          <w:b/>
        </w:rPr>
        <w:t>負</w:t>
      </w:r>
      <w:r w:rsidR="00942B65">
        <w:rPr>
          <w:rFonts w:asciiTheme="majorEastAsia" w:eastAsiaTheme="majorEastAsia" w:hAnsiTheme="majorEastAsia" w:hint="eastAsia"/>
          <w:b/>
        </w:rPr>
        <w:t xml:space="preserve"> </w:t>
      </w:r>
      <w:r w:rsidRPr="00942B65">
        <w:rPr>
          <w:rFonts w:asciiTheme="majorEastAsia" w:eastAsiaTheme="majorEastAsia" w:hAnsiTheme="majorEastAsia" w:hint="eastAsia"/>
          <w:b/>
        </w:rPr>
        <w:t>担</w:t>
      </w:r>
      <w:r w:rsidR="00942B65">
        <w:rPr>
          <w:rFonts w:asciiTheme="majorEastAsia" w:eastAsiaTheme="majorEastAsia" w:hAnsiTheme="majorEastAsia" w:hint="eastAsia"/>
          <w:b/>
        </w:rPr>
        <w:t xml:space="preserve"> </w:t>
      </w:r>
      <w:r w:rsidRPr="00942B65">
        <w:rPr>
          <w:rFonts w:asciiTheme="majorEastAsia" w:eastAsiaTheme="majorEastAsia" w:hAnsiTheme="majorEastAsia" w:hint="eastAsia"/>
          <w:b/>
        </w:rPr>
        <w:t>の</w:t>
      </w:r>
      <w:r w:rsidR="00942B65">
        <w:rPr>
          <w:rFonts w:asciiTheme="majorEastAsia" w:eastAsiaTheme="majorEastAsia" w:hAnsiTheme="majorEastAsia" w:hint="eastAsia"/>
          <w:b/>
        </w:rPr>
        <w:t xml:space="preserve"> </w:t>
      </w:r>
      <w:r w:rsidRPr="00942B65">
        <w:rPr>
          <w:rFonts w:asciiTheme="majorEastAsia" w:eastAsiaTheme="majorEastAsia" w:hAnsiTheme="majorEastAsia" w:hint="eastAsia"/>
          <w:b/>
        </w:rPr>
        <w:t>状</w:t>
      </w:r>
      <w:r w:rsidR="00942B65">
        <w:rPr>
          <w:rFonts w:asciiTheme="majorEastAsia" w:eastAsiaTheme="majorEastAsia" w:hAnsiTheme="majorEastAsia" w:hint="eastAsia"/>
          <w:b/>
        </w:rPr>
        <w:t xml:space="preserve"> </w:t>
      </w:r>
      <w:r w:rsidRPr="00942B65">
        <w:rPr>
          <w:rFonts w:asciiTheme="majorEastAsia" w:eastAsiaTheme="majorEastAsia" w:hAnsiTheme="majorEastAsia" w:hint="eastAsia"/>
          <w:b/>
        </w:rPr>
        <w:t>況</w:t>
      </w:r>
    </w:p>
    <w:p w:rsidR="003B374E" w:rsidRPr="00DD7ACE" w:rsidRDefault="0093372C" w:rsidP="002E19E6">
      <w:pPr>
        <w:jc w:val="center"/>
      </w:pPr>
      <w:r w:rsidRPr="0093372C">
        <w:rPr>
          <w:noProof/>
        </w:rPr>
        <w:drawing>
          <wp:inline distT="0" distB="0" distL="0" distR="0">
            <wp:extent cx="6191885" cy="257214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885" cy="2572145"/>
                    </a:xfrm>
                    <a:prstGeom prst="rect">
                      <a:avLst/>
                    </a:prstGeom>
                    <a:noFill/>
                    <a:ln>
                      <a:noFill/>
                    </a:ln>
                  </pic:spPr>
                </pic:pic>
              </a:graphicData>
            </a:graphic>
          </wp:inline>
        </w:drawing>
      </w:r>
    </w:p>
    <w:sectPr w:rsidR="003B374E" w:rsidRPr="00DD7ACE" w:rsidSect="004B18BE">
      <w:footerReference w:type="default" r:id="rId11"/>
      <w:pgSz w:w="11906" w:h="16838"/>
      <w:pgMar w:top="1134" w:right="1021" w:bottom="851" w:left="1134" w:header="851" w:footer="567" w:gutter="0"/>
      <w:pgNumType w:fmt="numberInDash" w:start="1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7E9" w:rsidRDefault="007877E9" w:rsidP="007101F2">
      <w:r>
        <w:separator/>
      </w:r>
    </w:p>
  </w:endnote>
  <w:endnote w:type="continuationSeparator" w:id="0">
    <w:p w:rsidR="007877E9" w:rsidRDefault="007877E9" w:rsidP="0071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467650"/>
      <w:docPartObj>
        <w:docPartGallery w:val="Page Numbers (Bottom of Page)"/>
        <w:docPartUnique/>
      </w:docPartObj>
    </w:sdtPr>
    <w:sdtEndPr/>
    <w:sdtContent>
      <w:p w:rsidR="00C47C2F" w:rsidRDefault="00C47C2F">
        <w:pPr>
          <w:pStyle w:val="a5"/>
          <w:jc w:val="center"/>
        </w:pPr>
        <w:r>
          <w:fldChar w:fldCharType="begin"/>
        </w:r>
        <w:r>
          <w:instrText>PAGE   \* MERGEFORMAT</w:instrText>
        </w:r>
        <w:r>
          <w:fldChar w:fldCharType="separate"/>
        </w:r>
        <w:r w:rsidR="00595129" w:rsidRPr="00595129">
          <w:rPr>
            <w:noProof/>
            <w:lang w:val="ja-JP"/>
          </w:rPr>
          <w:t>-</w:t>
        </w:r>
        <w:r w:rsidR="00595129">
          <w:rPr>
            <w:noProof/>
          </w:rPr>
          <w:t xml:space="preserve"> 18 -</w:t>
        </w:r>
        <w:r>
          <w:fldChar w:fldCharType="end"/>
        </w:r>
      </w:p>
    </w:sdtContent>
  </w:sdt>
  <w:p w:rsidR="00C47C2F" w:rsidRDefault="00C47C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7E9" w:rsidRDefault="007877E9" w:rsidP="007101F2">
      <w:r>
        <w:separator/>
      </w:r>
    </w:p>
  </w:footnote>
  <w:footnote w:type="continuationSeparator" w:id="0">
    <w:p w:rsidR="007877E9" w:rsidRDefault="007877E9" w:rsidP="0071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05DA4"/>
    <w:multiLevelType w:val="hybridMultilevel"/>
    <w:tmpl w:val="36D2900E"/>
    <w:lvl w:ilvl="0" w:tplc="FD0C60E8">
      <w:start w:val="1"/>
      <w:numFmt w:val="bullet"/>
      <w:lvlText w:val=""/>
      <w:lvlJc w:val="left"/>
      <w:pPr>
        <w:tabs>
          <w:tab w:val="num" w:pos="720"/>
        </w:tabs>
        <w:ind w:left="720" w:hanging="360"/>
      </w:pPr>
      <w:rPr>
        <w:rFonts w:ascii="Wingdings" w:hAnsi="Wingdings" w:hint="default"/>
      </w:rPr>
    </w:lvl>
    <w:lvl w:ilvl="1" w:tplc="1C986B5A">
      <w:start w:val="1"/>
      <w:numFmt w:val="bullet"/>
      <w:lvlText w:val=""/>
      <w:lvlJc w:val="left"/>
      <w:pPr>
        <w:tabs>
          <w:tab w:val="num" w:pos="1440"/>
        </w:tabs>
        <w:ind w:left="1440" w:hanging="360"/>
      </w:pPr>
      <w:rPr>
        <w:rFonts w:ascii="Wingdings" w:hAnsi="Wingdings" w:hint="default"/>
      </w:rPr>
    </w:lvl>
    <w:lvl w:ilvl="2" w:tplc="E3A82974" w:tentative="1">
      <w:start w:val="1"/>
      <w:numFmt w:val="bullet"/>
      <w:lvlText w:val=""/>
      <w:lvlJc w:val="left"/>
      <w:pPr>
        <w:tabs>
          <w:tab w:val="num" w:pos="2160"/>
        </w:tabs>
        <w:ind w:left="2160" w:hanging="360"/>
      </w:pPr>
      <w:rPr>
        <w:rFonts w:ascii="Wingdings" w:hAnsi="Wingdings" w:hint="default"/>
      </w:rPr>
    </w:lvl>
    <w:lvl w:ilvl="3" w:tplc="980EDBE4" w:tentative="1">
      <w:start w:val="1"/>
      <w:numFmt w:val="bullet"/>
      <w:lvlText w:val=""/>
      <w:lvlJc w:val="left"/>
      <w:pPr>
        <w:tabs>
          <w:tab w:val="num" w:pos="2880"/>
        </w:tabs>
        <w:ind w:left="2880" w:hanging="360"/>
      </w:pPr>
      <w:rPr>
        <w:rFonts w:ascii="Wingdings" w:hAnsi="Wingdings" w:hint="default"/>
      </w:rPr>
    </w:lvl>
    <w:lvl w:ilvl="4" w:tplc="56D6CD50" w:tentative="1">
      <w:start w:val="1"/>
      <w:numFmt w:val="bullet"/>
      <w:lvlText w:val=""/>
      <w:lvlJc w:val="left"/>
      <w:pPr>
        <w:tabs>
          <w:tab w:val="num" w:pos="3600"/>
        </w:tabs>
        <w:ind w:left="3600" w:hanging="360"/>
      </w:pPr>
      <w:rPr>
        <w:rFonts w:ascii="Wingdings" w:hAnsi="Wingdings" w:hint="default"/>
      </w:rPr>
    </w:lvl>
    <w:lvl w:ilvl="5" w:tplc="07D85112" w:tentative="1">
      <w:start w:val="1"/>
      <w:numFmt w:val="bullet"/>
      <w:lvlText w:val=""/>
      <w:lvlJc w:val="left"/>
      <w:pPr>
        <w:tabs>
          <w:tab w:val="num" w:pos="4320"/>
        </w:tabs>
        <w:ind w:left="4320" w:hanging="360"/>
      </w:pPr>
      <w:rPr>
        <w:rFonts w:ascii="Wingdings" w:hAnsi="Wingdings" w:hint="default"/>
      </w:rPr>
    </w:lvl>
    <w:lvl w:ilvl="6" w:tplc="A7AAB01C" w:tentative="1">
      <w:start w:val="1"/>
      <w:numFmt w:val="bullet"/>
      <w:lvlText w:val=""/>
      <w:lvlJc w:val="left"/>
      <w:pPr>
        <w:tabs>
          <w:tab w:val="num" w:pos="5040"/>
        </w:tabs>
        <w:ind w:left="5040" w:hanging="360"/>
      </w:pPr>
      <w:rPr>
        <w:rFonts w:ascii="Wingdings" w:hAnsi="Wingdings" w:hint="default"/>
      </w:rPr>
    </w:lvl>
    <w:lvl w:ilvl="7" w:tplc="BF78F316" w:tentative="1">
      <w:start w:val="1"/>
      <w:numFmt w:val="bullet"/>
      <w:lvlText w:val=""/>
      <w:lvlJc w:val="left"/>
      <w:pPr>
        <w:tabs>
          <w:tab w:val="num" w:pos="5760"/>
        </w:tabs>
        <w:ind w:left="5760" w:hanging="360"/>
      </w:pPr>
      <w:rPr>
        <w:rFonts w:ascii="Wingdings" w:hAnsi="Wingdings" w:hint="default"/>
      </w:rPr>
    </w:lvl>
    <w:lvl w:ilvl="8" w:tplc="37BEC8A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CF1DDC"/>
    <w:multiLevelType w:val="hybridMultilevel"/>
    <w:tmpl w:val="60DAEBD8"/>
    <w:lvl w:ilvl="0" w:tplc="810C1BAA">
      <w:start w:val="1"/>
      <w:numFmt w:val="bullet"/>
      <w:lvlText w:val=""/>
      <w:lvlJc w:val="left"/>
      <w:pPr>
        <w:tabs>
          <w:tab w:val="num" w:pos="720"/>
        </w:tabs>
        <w:ind w:left="720" w:hanging="360"/>
      </w:pPr>
      <w:rPr>
        <w:rFonts w:ascii="Wingdings" w:hAnsi="Wingdings" w:hint="default"/>
      </w:rPr>
    </w:lvl>
    <w:lvl w:ilvl="1" w:tplc="A21EDF86">
      <w:start w:val="1"/>
      <w:numFmt w:val="bullet"/>
      <w:lvlText w:val=""/>
      <w:lvlJc w:val="left"/>
      <w:pPr>
        <w:tabs>
          <w:tab w:val="num" w:pos="1440"/>
        </w:tabs>
        <w:ind w:left="1440" w:hanging="360"/>
      </w:pPr>
      <w:rPr>
        <w:rFonts w:ascii="Wingdings" w:hAnsi="Wingdings" w:hint="default"/>
      </w:rPr>
    </w:lvl>
    <w:lvl w:ilvl="2" w:tplc="D4C2ABE8" w:tentative="1">
      <w:start w:val="1"/>
      <w:numFmt w:val="bullet"/>
      <w:lvlText w:val=""/>
      <w:lvlJc w:val="left"/>
      <w:pPr>
        <w:tabs>
          <w:tab w:val="num" w:pos="2160"/>
        </w:tabs>
        <w:ind w:left="2160" w:hanging="360"/>
      </w:pPr>
      <w:rPr>
        <w:rFonts w:ascii="Wingdings" w:hAnsi="Wingdings" w:hint="default"/>
      </w:rPr>
    </w:lvl>
    <w:lvl w:ilvl="3" w:tplc="91FE6AA6" w:tentative="1">
      <w:start w:val="1"/>
      <w:numFmt w:val="bullet"/>
      <w:lvlText w:val=""/>
      <w:lvlJc w:val="left"/>
      <w:pPr>
        <w:tabs>
          <w:tab w:val="num" w:pos="2880"/>
        </w:tabs>
        <w:ind w:left="2880" w:hanging="360"/>
      </w:pPr>
      <w:rPr>
        <w:rFonts w:ascii="Wingdings" w:hAnsi="Wingdings" w:hint="default"/>
      </w:rPr>
    </w:lvl>
    <w:lvl w:ilvl="4" w:tplc="DC9A9A68" w:tentative="1">
      <w:start w:val="1"/>
      <w:numFmt w:val="bullet"/>
      <w:lvlText w:val=""/>
      <w:lvlJc w:val="left"/>
      <w:pPr>
        <w:tabs>
          <w:tab w:val="num" w:pos="3600"/>
        </w:tabs>
        <w:ind w:left="3600" w:hanging="360"/>
      </w:pPr>
      <w:rPr>
        <w:rFonts w:ascii="Wingdings" w:hAnsi="Wingdings" w:hint="default"/>
      </w:rPr>
    </w:lvl>
    <w:lvl w:ilvl="5" w:tplc="F8B872FC" w:tentative="1">
      <w:start w:val="1"/>
      <w:numFmt w:val="bullet"/>
      <w:lvlText w:val=""/>
      <w:lvlJc w:val="left"/>
      <w:pPr>
        <w:tabs>
          <w:tab w:val="num" w:pos="4320"/>
        </w:tabs>
        <w:ind w:left="4320" w:hanging="360"/>
      </w:pPr>
      <w:rPr>
        <w:rFonts w:ascii="Wingdings" w:hAnsi="Wingdings" w:hint="default"/>
      </w:rPr>
    </w:lvl>
    <w:lvl w:ilvl="6" w:tplc="B88ECC64" w:tentative="1">
      <w:start w:val="1"/>
      <w:numFmt w:val="bullet"/>
      <w:lvlText w:val=""/>
      <w:lvlJc w:val="left"/>
      <w:pPr>
        <w:tabs>
          <w:tab w:val="num" w:pos="5040"/>
        </w:tabs>
        <w:ind w:left="5040" w:hanging="360"/>
      </w:pPr>
      <w:rPr>
        <w:rFonts w:ascii="Wingdings" w:hAnsi="Wingdings" w:hint="default"/>
      </w:rPr>
    </w:lvl>
    <w:lvl w:ilvl="7" w:tplc="8DC084AC" w:tentative="1">
      <w:start w:val="1"/>
      <w:numFmt w:val="bullet"/>
      <w:lvlText w:val=""/>
      <w:lvlJc w:val="left"/>
      <w:pPr>
        <w:tabs>
          <w:tab w:val="num" w:pos="5760"/>
        </w:tabs>
        <w:ind w:left="5760" w:hanging="360"/>
      </w:pPr>
      <w:rPr>
        <w:rFonts w:ascii="Wingdings" w:hAnsi="Wingdings" w:hint="default"/>
      </w:rPr>
    </w:lvl>
    <w:lvl w:ilvl="8" w:tplc="5A143D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5E7913"/>
    <w:multiLevelType w:val="hybridMultilevel"/>
    <w:tmpl w:val="C8D4236A"/>
    <w:lvl w:ilvl="0" w:tplc="712880CE">
      <w:start w:val="1"/>
      <w:numFmt w:val="decimalEnclosedCircle"/>
      <w:suff w:val="nothing"/>
      <w:lvlText w:val="%1"/>
      <w:lvlJc w:val="left"/>
      <w:pPr>
        <w:ind w:left="360" w:hanging="360"/>
      </w:pPr>
      <w:rPr>
        <w:rFonts w:ascii="Meiryo UI" w:eastAsia="Meiryo UI" w:hAnsi="Meiryo UI" w:cs="Meiryo UI" w:hint="eastAsia"/>
        <w:color w:val="000000" w:themeColor="text1"/>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7E0D6F"/>
    <w:multiLevelType w:val="hybridMultilevel"/>
    <w:tmpl w:val="2DA44240"/>
    <w:lvl w:ilvl="0" w:tplc="16CAC2A6">
      <w:start w:val="1"/>
      <w:numFmt w:val="bullet"/>
      <w:lvlText w:val=""/>
      <w:lvlJc w:val="left"/>
      <w:pPr>
        <w:tabs>
          <w:tab w:val="num" w:pos="720"/>
        </w:tabs>
        <w:ind w:left="720" w:hanging="360"/>
      </w:pPr>
      <w:rPr>
        <w:rFonts w:ascii="Wingdings" w:hAnsi="Wingdings" w:hint="default"/>
      </w:rPr>
    </w:lvl>
    <w:lvl w:ilvl="1" w:tplc="E0B06804">
      <w:start w:val="1"/>
      <w:numFmt w:val="bullet"/>
      <w:lvlText w:val=""/>
      <w:lvlJc w:val="left"/>
      <w:pPr>
        <w:tabs>
          <w:tab w:val="num" w:pos="1440"/>
        </w:tabs>
        <w:ind w:left="1440" w:hanging="360"/>
      </w:pPr>
      <w:rPr>
        <w:rFonts w:ascii="Wingdings" w:hAnsi="Wingdings" w:hint="default"/>
      </w:rPr>
    </w:lvl>
    <w:lvl w:ilvl="2" w:tplc="BBAEB550" w:tentative="1">
      <w:start w:val="1"/>
      <w:numFmt w:val="bullet"/>
      <w:lvlText w:val=""/>
      <w:lvlJc w:val="left"/>
      <w:pPr>
        <w:tabs>
          <w:tab w:val="num" w:pos="2160"/>
        </w:tabs>
        <w:ind w:left="2160" w:hanging="360"/>
      </w:pPr>
      <w:rPr>
        <w:rFonts w:ascii="Wingdings" w:hAnsi="Wingdings" w:hint="default"/>
      </w:rPr>
    </w:lvl>
    <w:lvl w:ilvl="3" w:tplc="57C8F59E" w:tentative="1">
      <w:start w:val="1"/>
      <w:numFmt w:val="bullet"/>
      <w:lvlText w:val=""/>
      <w:lvlJc w:val="left"/>
      <w:pPr>
        <w:tabs>
          <w:tab w:val="num" w:pos="2880"/>
        </w:tabs>
        <w:ind w:left="2880" w:hanging="360"/>
      </w:pPr>
      <w:rPr>
        <w:rFonts w:ascii="Wingdings" w:hAnsi="Wingdings" w:hint="default"/>
      </w:rPr>
    </w:lvl>
    <w:lvl w:ilvl="4" w:tplc="67ACA4E8" w:tentative="1">
      <w:start w:val="1"/>
      <w:numFmt w:val="bullet"/>
      <w:lvlText w:val=""/>
      <w:lvlJc w:val="left"/>
      <w:pPr>
        <w:tabs>
          <w:tab w:val="num" w:pos="3600"/>
        </w:tabs>
        <w:ind w:left="3600" w:hanging="360"/>
      </w:pPr>
      <w:rPr>
        <w:rFonts w:ascii="Wingdings" w:hAnsi="Wingdings" w:hint="default"/>
      </w:rPr>
    </w:lvl>
    <w:lvl w:ilvl="5" w:tplc="C9A0A3EA" w:tentative="1">
      <w:start w:val="1"/>
      <w:numFmt w:val="bullet"/>
      <w:lvlText w:val=""/>
      <w:lvlJc w:val="left"/>
      <w:pPr>
        <w:tabs>
          <w:tab w:val="num" w:pos="4320"/>
        </w:tabs>
        <w:ind w:left="4320" w:hanging="360"/>
      </w:pPr>
      <w:rPr>
        <w:rFonts w:ascii="Wingdings" w:hAnsi="Wingdings" w:hint="default"/>
      </w:rPr>
    </w:lvl>
    <w:lvl w:ilvl="6" w:tplc="CCC40CBC" w:tentative="1">
      <w:start w:val="1"/>
      <w:numFmt w:val="bullet"/>
      <w:lvlText w:val=""/>
      <w:lvlJc w:val="left"/>
      <w:pPr>
        <w:tabs>
          <w:tab w:val="num" w:pos="5040"/>
        </w:tabs>
        <w:ind w:left="5040" w:hanging="360"/>
      </w:pPr>
      <w:rPr>
        <w:rFonts w:ascii="Wingdings" w:hAnsi="Wingdings" w:hint="default"/>
      </w:rPr>
    </w:lvl>
    <w:lvl w:ilvl="7" w:tplc="C6DA23A4" w:tentative="1">
      <w:start w:val="1"/>
      <w:numFmt w:val="bullet"/>
      <w:lvlText w:val=""/>
      <w:lvlJc w:val="left"/>
      <w:pPr>
        <w:tabs>
          <w:tab w:val="num" w:pos="5760"/>
        </w:tabs>
        <w:ind w:left="5760" w:hanging="360"/>
      </w:pPr>
      <w:rPr>
        <w:rFonts w:ascii="Wingdings" w:hAnsi="Wingdings" w:hint="default"/>
      </w:rPr>
    </w:lvl>
    <w:lvl w:ilvl="8" w:tplc="BF163A8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3F6219"/>
    <w:multiLevelType w:val="hybridMultilevel"/>
    <w:tmpl w:val="51A20882"/>
    <w:lvl w:ilvl="0" w:tplc="C3A41712">
      <w:start w:val="1"/>
      <w:numFmt w:val="bullet"/>
      <w:lvlText w:val=""/>
      <w:lvlJc w:val="left"/>
      <w:pPr>
        <w:tabs>
          <w:tab w:val="num" w:pos="720"/>
        </w:tabs>
        <w:ind w:left="720" w:hanging="360"/>
      </w:pPr>
      <w:rPr>
        <w:rFonts w:ascii="Wingdings" w:hAnsi="Wingdings" w:hint="default"/>
      </w:rPr>
    </w:lvl>
    <w:lvl w:ilvl="1" w:tplc="839C9C4C">
      <w:start w:val="1"/>
      <w:numFmt w:val="bullet"/>
      <w:lvlText w:val=""/>
      <w:lvlJc w:val="left"/>
      <w:pPr>
        <w:tabs>
          <w:tab w:val="num" w:pos="1440"/>
        </w:tabs>
        <w:ind w:left="1440" w:hanging="360"/>
      </w:pPr>
      <w:rPr>
        <w:rFonts w:ascii="Wingdings" w:hAnsi="Wingdings" w:hint="default"/>
      </w:rPr>
    </w:lvl>
    <w:lvl w:ilvl="2" w:tplc="A99438E8" w:tentative="1">
      <w:start w:val="1"/>
      <w:numFmt w:val="bullet"/>
      <w:lvlText w:val=""/>
      <w:lvlJc w:val="left"/>
      <w:pPr>
        <w:tabs>
          <w:tab w:val="num" w:pos="2160"/>
        </w:tabs>
        <w:ind w:left="2160" w:hanging="360"/>
      </w:pPr>
      <w:rPr>
        <w:rFonts w:ascii="Wingdings" w:hAnsi="Wingdings" w:hint="default"/>
      </w:rPr>
    </w:lvl>
    <w:lvl w:ilvl="3" w:tplc="A46AE792" w:tentative="1">
      <w:start w:val="1"/>
      <w:numFmt w:val="bullet"/>
      <w:lvlText w:val=""/>
      <w:lvlJc w:val="left"/>
      <w:pPr>
        <w:tabs>
          <w:tab w:val="num" w:pos="2880"/>
        </w:tabs>
        <w:ind w:left="2880" w:hanging="360"/>
      </w:pPr>
      <w:rPr>
        <w:rFonts w:ascii="Wingdings" w:hAnsi="Wingdings" w:hint="default"/>
      </w:rPr>
    </w:lvl>
    <w:lvl w:ilvl="4" w:tplc="723031DC" w:tentative="1">
      <w:start w:val="1"/>
      <w:numFmt w:val="bullet"/>
      <w:lvlText w:val=""/>
      <w:lvlJc w:val="left"/>
      <w:pPr>
        <w:tabs>
          <w:tab w:val="num" w:pos="3600"/>
        </w:tabs>
        <w:ind w:left="3600" w:hanging="360"/>
      </w:pPr>
      <w:rPr>
        <w:rFonts w:ascii="Wingdings" w:hAnsi="Wingdings" w:hint="default"/>
      </w:rPr>
    </w:lvl>
    <w:lvl w:ilvl="5" w:tplc="4F1EAEF2" w:tentative="1">
      <w:start w:val="1"/>
      <w:numFmt w:val="bullet"/>
      <w:lvlText w:val=""/>
      <w:lvlJc w:val="left"/>
      <w:pPr>
        <w:tabs>
          <w:tab w:val="num" w:pos="4320"/>
        </w:tabs>
        <w:ind w:left="4320" w:hanging="360"/>
      </w:pPr>
      <w:rPr>
        <w:rFonts w:ascii="Wingdings" w:hAnsi="Wingdings" w:hint="default"/>
      </w:rPr>
    </w:lvl>
    <w:lvl w:ilvl="6" w:tplc="FEE432EE" w:tentative="1">
      <w:start w:val="1"/>
      <w:numFmt w:val="bullet"/>
      <w:lvlText w:val=""/>
      <w:lvlJc w:val="left"/>
      <w:pPr>
        <w:tabs>
          <w:tab w:val="num" w:pos="5040"/>
        </w:tabs>
        <w:ind w:left="5040" w:hanging="360"/>
      </w:pPr>
      <w:rPr>
        <w:rFonts w:ascii="Wingdings" w:hAnsi="Wingdings" w:hint="default"/>
      </w:rPr>
    </w:lvl>
    <w:lvl w:ilvl="7" w:tplc="65D40A04" w:tentative="1">
      <w:start w:val="1"/>
      <w:numFmt w:val="bullet"/>
      <w:lvlText w:val=""/>
      <w:lvlJc w:val="left"/>
      <w:pPr>
        <w:tabs>
          <w:tab w:val="num" w:pos="5760"/>
        </w:tabs>
        <w:ind w:left="5760" w:hanging="360"/>
      </w:pPr>
      <w:rPr>
        <w:rFonts w:ascii="Wingdings" w:hAnsi="Wingdings" w:hint="default"/>
      </w:rPr>
    </w:lvl>
    <w:lvl w:ilvl="8" w:tplc="9206615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790C39"/>
    <w:multiLevelType w:val="hybridMultilevel"/>
    <w:tmpl w:val="47CA7F60"/>
    <w:lvl w:ilvl="0" w:tplc="2D6E5FF2">
      <w:start w:val="1"/>
      <w:numFmt w:val="decimalEnclosedCircle"/>
      <w:lvlText w:val="%1"/>
      <w:lvlJc w:val="left"/>
      <w:pPr>
        <w:ind w:left="360" w:hanging="360"/>
      </w:pPr>
      <w:rPr>
        <w:rFonts w:ascii="Meiryo UI" w:eastAsia="Meiryo UI" w:hAnsi="Meiryo UI" w:cs="Meiryo UI"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D74C2C"/>
    <w:multiLevelType w:val="hybridMultilevel"/>
    <w:tmpl w:val="DE2CCC70"/>
    <w:lvl w:ilvl="0" w:tplc="94480EF6">
      <w:start w:val="1"/>
      <w:numFmt w:val="bullet"/>
      <w:lvlText w:val=""/>
      <w:lvlJc w:val="left"/>
      <w:pPr>
        <w:tabs>
          <w:tab w:val="num" w:pos="720"/>
        </w:tabs>
        <w:ind w:left="720" w:hanging="360"/>
      </w:pPr>
      <w:rPr>
        <w:rFonts w:ascii="Wingdings" w:hAnsi="Wingdings" w:hint="default"/>
      </w:rPr>
    </w:lvl>
    <w:lvl w:ilvl="1" w:tplc="4E3A8590">
      <w:start w:val="1"/>
      <w:numFmt w:val="bullet"/>
      <w:lvlText w:val=""/>
      <w:lvlJc w:val="left"/>
      <w:pPr>
        <w:tabs>
          <w:tab w:val="num" w:pos="1440"/>
        </w:tabs>
        <w:ind w:left="1440" w:hanging="360"/>
      </w:pPr>
      <w:rPr>
        <w:rFonts w:ascii="Wingdings" w:hAnsi="Wingdings" w:hint="default"/>
      </w:rPr>
    </w:lvl>
    <w:lvl w:ilvl="2" w:tplc="88D6F900" w:tentative="1">
      <w:start w:val="1"/>
      <w:numFmt w:val="bullet"/>
      <w:lvlText w:val=""/>
      <w:lvlJc w:val="left"/>
      <w:pPr>
        <w:tabs>
          <w:tab w:val="num" w:pos="2160"/>
        </w:tabs>
        <w:ind w:left="2160" w:hanging="360"/>
      </w:pPr>
      <w:rPr>
        <w:rFonts w:ascii="Wingdings" w:hAnsi="Wingdings" w:hint="default"/>
      </w:rPr>
    </w:lvl>
    <w:lvl w:ilvl="3" w:tplc="2BBA0AEA" w:tentative="1">
      <w:start w:val="1"/>
      <w:numFmt w:val="bullet"/>
      <w:lvlText w:val=""/>
      <w:lvlJc w:val="left"/>
      <w:pPr>
        <w:tabs>
          <w:tab w:val="num" w:pos="2880"/>
        </w:tabs>
        <w:ind w:left="2880" w:hanging="360"/>
      </w:pPr>
      <w:rPr>
        <w:rFonts w:ascii="Wingdings" w:hAnsi="Wingdings" w:hint="default"/>
      </w:rPr>
    </w:lvl>
    <w:lvl w:ilvl="4" w:tplc="19EA82AA" w:tentative="1">
      <w:start w:val="1"/>
      <w:numFmt w:val="bullet"/>
      <w:lvlText w:val=""/>
      <w:lvlJc w:val="left"/>
      <w:pPr>
        <w:tabs>
          <w:tab w:val="num" w:pos="3600"/>
        </w:tabs>
        <w:ind w:left="3600" w:hanging="360"/>
      </w:pPr>
      <w:rPr>
        <w:rFonts w:ascii="Wingdings" w:hAnsi="Wingdings" w:hint="default"/>
      </w:rPr>
    </w:lvl>
    <w:lvl w:ilvl="5" w:tplc="4FB8A4F4" w:tentative="1">
      <w:start w:val="1"/>
      <w:numFmt w:val="bullet"/>
      <w:lvlText w:val=""/>
      <w:lvlJc w:val="left"/>
      <w:pPr>
        <w:tabs>
          <w:tab w:val="num" w:pos="4320"/>
        </w:tabs>
        <w:ind w:left="4320" w:hanging="360"/>
      </w:pPr>
      <w:rPr>
        <w:rFonts w:ascii="Wingdings" w:hAnsi="Wingdings" w:hint="default"/>
      </w:rPr>
    </w:lvl>
    <w:lvl w:ilvl="6" w:tplc="9738D590" w:tentative="1">
      <w:start w:val="1"/>
      <w:numFmt w:val="bullet"/>
      <w:lvlText w:val=""/>
      <w:lvlJc w:val="left"/>
      <w:pPr>
        <w:tabs>
          <w:tab w:val="num" w:pos="5040"/>
        </w:tabs>
        <w:ind w:left="5040" w:hanging="360"/>
      </w:pPr>
      <w:rPr>
        <w:rFonts w:ascii="Wingdings" w:hAnsi="Wingdings" w:hint="default"/>
      </w:rPr>
    </w:lvl>
    <w:lvl w:ilvl="7" w:tplc="70247CC4" w:tentative="1">
      <w:start w:val="1"/>
      <w:numFmt w:val="bullet"/>
      <w:lvlText w:val=""/>
      <w:lvlJc w:val="left"/>
      <w:pPr>
        <w:tabs>
          <w:tab w:val="num" w:pos="5760"/>
        </w:tabs>
        <w:ind w:left="5760" w:hanging="360"/>
      </w:pPr>
      <w:rPr>
        <w:rFonts w:ascii="Wingdings" w:hAnsi="Wingdings" w:hint="default"/>
      </w:rPr>
    </w:lvl>
    <w:lvl w:ilvl="8" w:tplc="F134E7F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343C7F"/>
    <w:multiLevelType w:val="hybridMultilevel"/>
    <w:tmpl w:val="3120EEF6"/>
    <w:lvl w:ilvl="0" w:tplc="E152C758">
      <w:start w:val="1"/>
      <w:numFmt w:val="bullet"/>
      <w:lvlText w:val=""/>
      <w:lvlJc w:val="left"/>
      <w:pPr>
        <w:tabs>
          <w:tab w:val="num" w:pos="720"/>
        </w:tabs>
        <w:ind w:left="720" w:hanging="360"/>
      </w:pPr>
      <w:rPr>
        <w:rFonts w:ascii="Wingdings" w:hAnsi="Wingdings" w:hint="default"/>
      </w:rPr>
    </w:lvl>
    <w:lvl w:ilvl="1" w:tplc="1EDE7816">
      <w:start w:val="1"/>
      <w:numFmt w:val="bullet"/>
      <w:lvlText w:val=""/>
      <w:lvlJc w:val="left"/>
      <w:pPr>
        <w:tabs>
          <w:tab w:val="num" w:pos="1440"/>
        </w:tabs>
        <w:ind w:left="1440" w:hanging="360"/>
      </w:pPr>
      <w:rPr>
        <w:rFonts w:ascii="Wingdings" w:hAnsi="Wingdings" w:hint="default"/>
      </w:rPr>
    </w:lvl>
    <w:lvl w:ilvl="2" w:tplc="4FC4A6D8" w:tentative="1">
      <w:start w:val="1"/>
      <w:numFmt w:val="bullet"/>
      <w:lvlText w:val=""/>
      <w:lvlJc w:val="left"/>
      <w:pPr>
        <w:tabs>
          <w:tab w:val="num" w:pos="2160"/>
        </w:tabs>
        <w:ind w:left="2160" w:hanging="360"/>
      </w:pPr>
      <w:rPr>
        <w:rFonts w:ascii="Wingdings" w:hAnsi="Wingdings" w:hint="default"/>
      </w:rPr>
    </w:lvl>
    <w:lvl w:ilvl="3" w:tplc="4DD691D0" w:tentative="1">
      <w:start w:val="1"/>
      <w:numFmt w:val="bullet"/>
      <w:lvlText w:val=""/>
      <w:lvlJc w:val="left"/>
      <w:pPr>
        <w:tabs>
          <w:tab w:val="num" w:pos="2880"/>
        </w:tabs>
        <w:ind w:left="2880" w:hanging="360"/>
      </w:pPr>
      <w:rPr>
        <w:rFonts w:ascii="Wingdings" w:hAnsi="Wingdings" w:hint="default"/>
      </w:rPr>
    </w:lvl>
    <w:lvl w:ilvl="4" w:tplc="6504E690" w:tentative="1">
      <w:start w:val="1"/>
      <w:numFmt w:val="bullet"/>
      <w:lvlText w:val=""/>
      <w:lvlJc w:val="left"/>
      <w:pPr>
        <w:tabs>
          <w:tab w:val="num" w:pos="3600"/>
        </w:tabs>
        <w:ind w:left="3600" w:hanging="360"/>
      </w:pPr>
      <w:rPr>
        <w:rFonts w:ascii="Wingdings" w:hAnsi="Wingdings" w:hint="default"/>
      </w:rPr>
    </w:lvl>
    <w:lvl w:ilvl="5" w:tplc="E98A07FE" w:tentative="1">
      <w:start w:val="1"/>
      <w:numFmt w:val="bullet"/>
      <w:lvlText w:val=""/>
      <w:lvlJc w:val="left"/>
      <w:pPr>
        <w:tabs>
          <w:tab w:val="num" w:pos="4320"/>
        </w:tabs>
        <w:ind w:left="4320" w:hanging="360"/>
      </w:pPr>
      <w:rPr>
        <w:rFonts w:ascii="Wingdings" w:hAnsi="Wingdings" w:hint="default"/>
      </w:rPr>
    </w:lvl>
    <w:lvl w:ilvl="6" w:tplc="F1CA972A" w:tentative="1">
      <w:start w:val="1"/>
      <w:numFmt w:val="bullet"/>
      <w:lvlText w:val=""/>
      <w:lvlJc w:val="left"/>
      <w:pPr>
        <w:tabs>
          <w:tab w:val="num" w:pos="5040"/>
        </w:tabs>
        <w:ind w:left="5040" w:hanging="360"/>
      </w:pPr>
      <w:rPr>
        <w:rFonts w:ascii="Wingdings" w:hAnsi="Wingdings" w:hint="default"/>
      </w:rPr>
    </w:lvl>
    <w:lvl w:ilvl="7" w:tplc="A8F687CC" w:tentative="1">
      <w:start w:val="1"/>
      <w:numFmt w:val="bullet"/>
      <w:lvlText w:val=""/>
      <w:lvlJc w:val="left"/>
      <w:pPr>
        <w:tabs>
          <w:tab w:val="num" w:pos="5760"/>
        </w:tabs>
        <w:ind w:left="5760" w:hanging="360"/>
      </w:pPr>
      <w:rPr>
        <w:rFonts w:ascii="Wingdings" w:hAnsi="Wingdings" w:hint="default"/>
      </w:rPr>
    </w:lvl>
    <w:lvl w:ilvl="8" w:tplc="365012F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1B3DA2"/>
    <w:multiLevelType w:val="hybridMultilevel"/>
    <w:tmpl w:val="69D45A68"/>
    <w:lvl w:ilvl="0" w:tplc="C870261A">
      <w:start w:val="1"/>
      <w:numFmt w:val="bullet"/>
      <w:lvlText w:val=""/>
      <w:lvlJc w:val="left"/>
      <w:pPr>
        <w:tabs>
          <w:tab w:val="num" w:pos="720"/>
        </w:tabs>
        <w:ind w:left="720" w:hanging="360"/>
      </w:pPr>
      <w:rPr>
        <w:rFonts w:ascii="Wingdings" w:hAnsi="Wingdings" w:hint="default"/>
      </w:rPr>
    </w:lvl>
    <w:lvl w:ilvl="1" w:tplc="3C0E6CAA">
      <w:start w:val="1"/>
      <w:numFmt w:val="bullet"/>
      <w:lvlText w:val=""/>
      <w:lvlJc w:val="left"/>
      <w:pPr>
        <w:tabs>
          <w:tab w:val="num" w:pos="1440"/>
        </w:tabs>
        <w:ind w:left="1440" w:hanging="360"/>
      </w:pPr>
      <w:rPr>
        <w:rFonts w:ascii="Wingdings" w:hAnsi="Wingdings" w:hint="default"/>
      </w:rPr>
    </w:lvl>
    <w:lvl w:ilvl="2" w:tplc="28BAD466" w:tentative="1">
      <w:start w:val="1"/>
      <w:numFmt w:val="bullet"/>
      <w:lvlText w:val=""/>
      <w:lvlJc w:val="left"/>
      <w:pPr>
        <w:tabs>
          <w:tab w:val="num" w:pos="2160"/>
        </w:tabs>
        <w:ind w:left="2160" w:hanging="360"/>
      </w:pPr>
      <w:rPr>
        <w:rFonts w:ascii="Wingdings" w:hAnsi="Wingdings" w:hint="default"/>
      </w:rPr>
    </w:lvl>
    <w:lvl w:ilvl="3" w:tplc="DB8AF1FE" w:tentative="1">
      <w:start w:val="1"/>
      <w:numFmt w:val="bullet"/>
      <w:lvlText w:val=""/>
      <w:lvlJc w:val="left"/>
      <w:pPr>
        <w:tabs>
          <w:tab w:val="num" w:pos="2880"/>
        </w:tabs>
        <w:ind w:left="2880" w:hanging="360"/>
      </w:pPr>
      <w:rPr>
        <w:rFonts w:ascii="Wingdings" w:hAnsi="Wingdings" w:hint="default"/>
      </w:rPr>
    </w:lvl>
    <w:lvl w:ilvl="4" w:tplc="3920D752" w:tentative="1">
      <w:start w:val="1"/>
      <w:numFmt w:val="bullet"/>
      <w:lvlText w:val=""/>
      <w:lvlJc w:val="left"/>
      <w:pPr>
        <w:tabs>
          <w:tab w:val="num" w:pos="3600"/>
        </w:tabs>
        <w:ind w:left="3600" w:hanging="360"/>
      </w:pPr>
      <w:rPr>
        <w:rFonts w:ascii="Wingdings" w:hAnsi="Wingdings" w:hint="default"/>
      </w:rPr>
    </w:lvl>
    <w:lvl w:ilvl="5" w:tplc="E8E642CC" w:tentative="1">
      <w:start w:val="1"/>
      <w:numFmt w:val="bullet"/>
      <w:lvlText w:val=""/>
      <w:lvlJc w:val="left"/>
      <w:pPr>
        <w:tabs>
          <w:tab w:val="num" w:pos="4320"/>
        </w:tabs>
        <w:ind w:left="4320" w:hanging="360"/>
      </w:pPr>
      <w:rPr>
        <w:rFonts w:ascii="Wingdings" w:hAnsi="Wingdings" w:hint="default"/>
      </w:rPr>
    </w:lvl>
    <w:lvl w:ilvl="6" w:tplc="E3E8C7DC" w:tentative="1">
      <w:start w:val="1"/>
      <w:numFmt w:val="bullet"/>
      <w:lvlText w:val=""/>
      <w:lvlJc w:val="left"/>
      <w:pPr>
        <w:tabs>
          <w:tab w:val="num" w:pos="5040"/>
        </w:tabs>
        <w:ind w:left="5040" w:hanging="360"/>
      </w:pPr>
      <w:rPr>
        <w:rFonts w:ascii="Wingdings" w:hAnsi="Wingdings" w:hint="default"/>
      </w:rPr>
    </w:lvl>
    <w:lvl w:ilvl="7" w:tplc="FB686EEC" w:tentative="1">
      <w:start w:val="1"/>
      <w:numFmt w:val="bullet"/>
      <w:lvlText w:val=""/>
      <w:lvlJc w:val="left"/>
      <w:pPr>
        <w:tabs>
          <w:tab w:val="num" w:pos="5760"/>
        </w:tabs>
        <w:ind w:left="5760" w:hanging="360"/>
      </w:pPr>
      <w:rPr>
        <w:rFonts w:ascii="Wingdings" w:hAnsi="Wingdings" w:hint="default"/>
      </w:rPr>
    </w:lvl>
    <w:lvl w:ilvl="8" w:tplc="CC50C4D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3"/>
  </w:num>
  <w:num w:numId="6">
    <w:abstractNumId w:val="8"/>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1F2"/>
    <w:rsid w:val="00005159"/>
    <w:rsid w:val="00006468"/>
    <w:rsid w:val="00015B73"/>
    <w:rsid w:val="00020161"/>
    <w:rsid w:val="00032286"/>
    <w:rsid w:val="00036506"/>
    <w:rsid w:val="000407C4"/>
    <w:rsid w:val="000510CC"/>
    <w:rsid w:val="0005553A"/>
    <w:rsid w:val="00062950"/>
    <w:rsid w:val="00066A69"/>
    <w:rsid w:val="000759AD"/>
    <w:rsid w:val="000769A3"/>
    <w:rsid w:val="00077B3F"/>
    <w:rsid w:val="00093610"/>
    <w:rsid w:val="00096670"/>
    <w:rsid w:val="00097B17"/>
    <w:rsid w:val="000A59B7"/>
    <w:rsid w:val="000A6002"/>
    <w:rsid w:val="000A60A3"/>
    <w:rsid w:val="000A7A2C"/>
    <w:rsid w:val="000B261B"/>
    <w:rsid w:val="000B2D28"/>
    <w:rsid w:val="000B759C"/>
    <w:rsid w:val="000C4E05"/>
    <w:rsid w:val="000C51C2"/>
    <w:rsid w:val="000C6256"/>
    <w:rsid w:val="000C6772"/>
    <w:rsid w:val="000D09B7"/>
    <w:rsid w:val="000D60EA"/>
    <w:rsid w:val="000D7335"/>
    <w:rsid w:val="000E3335"/>
    <w:rsid w:val="000E7C5F"/>
    <w:rsid w:val="000E7C89"/>
    <w:rsid w:val="000E7E26"/>
    <w:rsid w:val="000F4C3F"/>
    <w:rsid w:val="000F52C6"/>
    <w:rsid w:val="00100410"/>
    <w:rsid w:val="00102EE4"/>
    <w:rsid w:val="001036E7"/>
    <w:rsid w:val="001107DE"/>
    <w:rsid w:val="001112B9"/>
    <w:rsid w:val="001237D9"/>
    <w:rsid w:val="00133D48"/>
    <w:rsid w:val="00137435"/>
    <w:rsid w:val="001429DD"/>
    <w:rsid w:val="001455EC"/>
    <w:rsid w:val="0015453E"/>
    <w:rsid w:val="001602E1"/>
    <w:rsid w:val="00163122"/>
    <w:rsid w:val="0016444F"/>
    <w:rsid w:val="00165A29"/>
    <w:rsid w:val="001739BD"/>
    <w:rsid w:val="001759C1"/>
    <w:rsid w:val="001763F5"/>
    <w:rsid w:val="00196EB3"/>
    <w:rsid w:val="001970AA"/>
    <w:rsid w:val="001A387B"/>
    <w:rsid w:val="001B2F3D"/>
    <w:rsid w:val="001C66CC"/>
    <w:rsid w:val="001D011B"/>
    <w:rsid w:val="001D3260"/>
    <w:rsid w:val="001D375A"/>
    <w:rsid w:val="001D6BA3"/>
    <w:rsid w:val="001D7808"/>
    <w:rsid w:val="001E4E24"/>
    <w:rsid w:val="001E6098"/>
    <w:rsid w:val="001F3010"/>
    <w:rsid w:val="001F41B8"/>
    <w:rsid w:val="001F5319"/>
    <w:rsid w:val="001F55A4"/>
    <w:rsid w:val="00205F08"/>
    <w:rsid w:val="0021723D"/>
    <w:rsid w:val="00223E57"/>
    <w:rsid w:val="00224858"/>
    <w:rsid w:val="00224C46"/>
    <w:rsid w:val="00224F34"/>
    <w:rsid w:val="00225E92"/>
    <w:rsid w:val="002446BC"/>
    <w:rsid w:val="002459C7"/>
    <w:rsid w:val="0025148E"/>
    <w:rsid w:val="00251CFD"/>
    <w:rsid w:val="00257381"/>
    <w:rsid w:val="00261CA1"/>
    <w:rsid w:val="002722D1"/>
    <w:rsid w:val="0027386D"/>
    <w:rsid w:val="002761BD"/>
    <w:rsid w:val="00280019"/>
    <w:rsid w:val="00284196"/>
    <w:rsid w:val="00287835"/>
    <w:rsid w:val="00290FB5"/>
    <w:rsid w:val="002911D1"/>
    <w:rsid w:val="00292601"/>
    <w:rsid w:val="002973C0"/>
    <w:rsid w:val="002A67D4"/>
    <w:rsid w:val="002B2EFF"/>
    <w:rsid w:val="002B6A6D"/>
    <w:rsid w:val="002B74FD"/>
    <w:rsid w:val="002C0D39"/>
    <w:rsid w:val="002C123A"/>
    <w:rsid w:val="002C6661"/>
    <w:rsid w:val="002C7ABE"/>
    <w:rsid w:val="002D1ED7"/>
    <w:rsid w:val="002D7594"/>
    <w:rsid w:val="002E19E6"/>
    <w:rsid w:val="002E630D"/>
    <w:rsid w:val="002F23D5"/>
    <w:rsid w:val="002F32BB"/>
    <w:rsid w:val="002F4586"/>
    <w:rsid w:val="0030486F"/>
    <w:rsid w:val="003065FA"/>
    <w:rsid w:val="00307DFD"/>
    <w:rsid w:val="0031130C"/>
    <w:rsid w:val="00312438"/>
    <w:rsid w:val="0032383C"/>
    <w:rsid w:val="00326AF3"/>
    <w:rsid w:val="00332CD9"/>
    <w:rsid w:val="003337DC"/>
    <w:rsid w:val="00371263"/>
    <w:rsid w:val="00382A73"/>
    <w:rsid w:val="00384BA2"/>
    <w:rsid w:val="003864A8"/>
    <w:rsid w:val="0039224C"/>
    <w:rsid w:val="003934F9"/>
    <w:rsid w:val="003945FF"/>
    <w:rsid w:val="003964BC"/>
    <w:rsid w:val="003A0FD0"/>
    <w:rsid w:val="003A3AC7"/>
    <w:rsid w:val="003A40C7"/>
    <w:rsid w:val="003A686D"/>
    <w:rsid w:val="003B0C68"/>
    <w:rsid w:val="003B15C5"/>
    <w:rsid w:val="003B1770"/>
    <w:rsid w:val="003B374E"/>
    <w:rsid w:val="003C0832"/>
    <w:rsid w:val="003C490B"/>
    <w:rsid w:val="003E33BA"/>
    <w:rsid w:val="003F2941"/>
    <w:rsid w:val="003F63C8"/>
    <w:rsid w:val="003F6C27"/>
    <w:rsid w:val="0040594E"/>
    <w:rsid w:val="00405DEE"/>
    <w:rsid w:val="00417A8E"/>
    <w:rsid w:val="004232D1"/>
    <w:rsid w:val="00427757"/>
    <w:rsid w:val="004311CB"/>
    <w:rsid w:val="004400F7"/>
    <w:rsid w:val="004441FA"/>
    <w:rsid w:val="00444537"/>
    <w:rsid w:val="00476062"/>
    <w:rsid w:val="0048182E"/>
    <w:rsid w:val="00487717"/>
    <w:rsid w:val="004955F1"/>
    <w:rsid w:val="004A0D61"/>
    <w:rsid w:val="004A1F1E"/>
    <w:rsid w:val="004A3820"/>
    <w:rsid w:val="004B18BE"/>
    <w:rsid w:val="004B76B2"/>
    <w:rsid w:val="004C3ED5"/>
    <w:rsid w:val="004C40C5"/>
    <w:rsid w:val="004C5D23"/>
    <w:rsid w:val="004D050B"/>
    <w:rsid w:val="004D2FA8"/>
    <w:rsid w:val="004D2FC9"/>
    <w:rsid w:val="004D3071"/>
    <w:rsid w:val="004D549C"/>
    <w:rsid w:val="004D7A13"/>
    <w:rsid w:val="004D7F9A"/>
    <w:rsid w:val="004E17F2"/>
    <w:rsid w:val="004F025D"/>
    <w:rsid w:val="005020A7"/>
    <w:rsid w:val="0050717D"/>
    <w:rsid w:val="00507593"/>
    <w:rsid w:val="00507F6B"/>
    <w:rsid w:val="005135F6"/>
    <w:rsid w:val="005233F7"/>
    <w:rsid w:val="00524990"/>
    <w:rsid w:val="0052712E"/>
    <w:rsid w:val="00530DA6"/>
    <w:rsid w:val="00531524"/>
    <w:rsid w:val="00532CCC"/>
    <w:rsid w:val="005332A3"/>
    <w:rsid w:val="00534818"/>
    <w:rsid w:val="005409CA"/>
    <w:rsid w:val="005445FC"/>
    <w:rsid w:val="005628A9"/>
    <w:rsid w:val="00584AB2"/>
    <w:rsid w:val="00586EC6"/>
    <w:rsid w:val="00595129"/>
    <w:rsid w:val="005A3D11"/>
    <w:rsid w:val="005A45DE"/>
    <w:rsid w:val="005B23C4"/>
    <w:rsid w:val="005B3F95"/>
    <w:rsid w:val="005B752D"/>
    <w:rsid w:val="005B7FC0"/>
    <w:rsid w:val="005D09B1"/>
    <w:rsid w:val="005D0DC4"/>
    <w:rsid w:val="005D1DE4"/>
    <w:rsid w:val="005E1E68"/>
    <w:rsid w:val="005E446D"/>
    <w:rsid w:val="005F01E2"/>
    <w:rsid w:val="005F0F2F"/>
    <w:rsid w:val="00602C59"/>
    <w:rsid w:val="006151AB"/>
    <w:rsid w:val="00616272"/>
    <w:rsid w:val="0062008D"/>
    <w:rsid w:val="0062622B"/>
    <w:rsid w:val="0062782C"/>
    <w:rsid w:val="006359C1"/>
    <w:rsid w:val="00645C85"/>
    <w:rsid w:val="00647262"/>
    <w:rsid w:val="00647ED9"/>
    <w:rsid w:val="0065034B"/>
    <w:rsid w:val="0065043D"/>
    <w:rsid w:val="00651648"/>
    <w:rsid w:val="00652E65"/>
    <w:rsid w:val="00663F09"/>
    <w:rsid w:val="0066459B"/>
    <w:rsid w:val="00664C4B"/>
    <w:rsid w:val="00667A37"/>
    <w:rsid w:val="0067272E"/>
    <w:rsid w:val="006736A7"/>
    <w:rsid w:val="006A15F8"/>
    <w:rsid w:val="006A5818"/>
    <w:rsid w:val="006B316F"/>
    <w:rsid w:val="006C03CA"/>
    <w:rsid w:val="006C2247"/>
    <w:rsid w:val="006C4050"/>
    <w:rsid w:val="006C4E65"/>
    <w:rsid w:val="006C7E04"/>
    <w:rsid w:val="006D685F"/>
    <w:rsid w:val="006E68C9"/>
    <w:rsid w:val="006F15C0"/>
    <w:rsid w:val="006F2269"/>
    <w:rsid w:val="006F5A1B"/>
    <w:rsid w:val="006F5B7B"/>
    <w:rsid w:val="006F6291"/>
    <w:rsid w:val="006F6913"/>
    <w:rsid w:val="00701993"/>
    <w:rsid w:val="00707EC5"/>
    <w:rsid w:val="00710070"/>
    <w:rsid w:val="007101F2"/>
    <w:rsid w:val="00731D30"/>
    <w:rsid w:val="00734CD0"/>
    <w:rsid w:val="0073527D"/>
    <w:rsid w:val="00735967"/>
    <w:rsid w:val="00737CF8"/>
    <w:rsid w:val="0074363B"/>
    <w:rsid w:val="007478CE"/>
    <w:rsid w:val="00750915"/>
    <w:rsid w:val="00750B36"/>
    <w:rsid w:val="00752348"/>
    <w:rsid w:val="00757EBE"/>
    <w:rsid w:val="007672EE"/>
    <w:rsid w:val="00780DB7"/>
    <w:rsid w:val="007877E9"/>
    <w:rsid w:val="00787D66"/>
    <w:rsid w:val="007A32BD"/>
    <w:rsid w:val="007A3BF6"/>
    <w:rsid w:val="007A43AC"/>
    <w:rsid w:val="007A4825"/>
    <w:rsid w:val="007A586C"/>
    <w:rsid w:val="007B4DA9"/>
    <w:rsid w:val="007B508D"/>
    <w:rsid w:val="007B5C84"/>
    <w:rsid w:val="007C4E61"/>
    <w:rsid w:val="007D3D18"/>
    <w:rsid w:val="007E08A0"/>
    <w:rsid w:val="007E7859"/>
    <w:rsid w:val="007F3D85"/>
    <w:rsid w:val="007F6246"/>
    <w:rsid w:val="007F7875"/>
    <w:rsid w:val="00802FDD"/>
    <w:rsid w:val="0083207C"/>
    <w:rsid w:val="008368B7"/>
    <w:rsid w:val="00837726"/>
    <w:rsid w:val="00840D29"/>
    <w:rsid w:val="0084141A"/>
    <w:rsid w:val="0085200E"/>
    <w:rsid w:val="008562C8"/>
    <w:rsid w:val="00857251"/>
    <w:rsid w:val="00864D0C"/>
    <w:rsid w:val="00865A0F"/>
    <w:rsid w:val="008756D2"/>
    <w:rsid w:val="00875AB5"/>
    <w:rsid w:val="00880DDF"/>
    <w:rsid w:val="00881274"/>
    <w:rsid w:val="00891552"/>
    <w:rsid w:val="008A6AE8"/>
    <w:rsid w:val="008B4715"/>
    <w:rsid w:val="008B5075"/>
    <w:rsid w:val="008C1BA1"/>
    <w:rsid w:val="008E3A8F"/>
    <w:rsid w:val="009038DD"/>
    <w:rsid w:val="009074E1"/>
    <w:rsid w:val="0091051F"/>
    <w:rsid w:val="00913F41"/>
    <w:rsid w:val="009159C3"/>
    <w:rsid w:val="009171DF"/>
    <w:rsid w:val="009223E7"/>
    <w:rsid w:val="00931369"/>
    <w:rsid w:val="0093277D"/>
    <w:rsid w:val="0093372C"/>
    <w:rsid w:val="009351E2"/>
    <w:rsid w:val="00935B87"/>
    <w:rsid w:val="00936246"/>
    <w:rsid w:val="009416B0"/>
    <w:rsid w:val="00942B65"/>
    <w:rsid w:val="00945D01"/>
    <w:rsid w:val="00952C83"/>
    <w:rsid w:val="00961001"/>
    <w:rsid w:val="009620C0"/>
    <w:rsid w:val="00963BE9"/>
    <w:rsid w:val="00964B2D"/>
    <w:rsid w:val="00965763"/>
    <w:rsid w:val="00987601"/>
    <w:rsid w:val="009A002A"/>
    <w:rsid w:val="009A7CF4"/>
    <w:rsid w:val="009B2FA1"/>
    <w:rsid w:val="009B7C5D"/>
    <w:rsid w:val="009C0BDE"/>
    <w:rsid w:val="009D1D98"/>
    <w:rsid w:val="009D4BCC"/>
    <w:rsid w:val="009D518E"/>
    <w:rsid w:val="009E255A"/>
    <w:rsid w:val="009E514F"/>
    <w:rsid w:val="009F1BCC"/>
    <w:rsid w:val="009F279F"/>
    <w:rsid w:val="009F793D"/>
    <w:rsid w:val="00A00AE8"/>
    <w:rsid w:val="00A028FB"/>
    <w:rsid w:val="00A06C1C"/>
    <w:rsid w:val="00A07346"/>
    <w:rsid w:val="00A07CA1"/>
    <w:rsid w:val="00A1067D"/>
    <w:rsid w:val="00A11878"/>
    <w:rsid w:val="00A153BC"/>
    <w:rsid w:val="00A1609B"/>
    <w:rsid w:val="00A66908"/>
    <w:rsid w:val="00A76F86"/>
    <w:rsid w:val="00A80D1E"/>
    <w:rsid w:val="00A86BAE"/>
    <w:rsid w:val="00A94C73"/>
    <w:rsid w:val="00A95816"/>
    <w:rsid w:val="00A959D2"/>
    <w:rsid w:val="00AA0194"/>
    <w:rsid w:val="00AA211B"/>
    <w:rsid w:val="00AB68A6"/>
    <w:rsid w:val="00AB6B53"/>
    <w:rsid w:val="00AB6D54"/>
    <w:rsid w:val="00AC2C9D"/>
    <w:rsid w:val="00AD3029"/>
    <w:rsid w:val="00AD5B09"/>
    <w:rsid w:val="00AD60C7"/>
    <w:rsid w:val="00AE0F1A"/>
    <w:rsid w:val="00AE2FF5"/>
    <w:rsid w:val="00AE5216"/>
    <w:rsid w:val="00AE70B8"/>
    <w:rsid w:val="00AE7C1D"/>
    <w:rsid w:val="00AF467D"/>
    <w:rsid w:val="00B025C2"/>
    <w:rsid w:val="00B06185"/>
    <w:rsid w:val="00B1018A"/>
    <w:rsid w:val="00B12003"/>
    <w:rsid w:val="00B23786"/>
    <w:rsid w:val="00B25767"/>
    <w:rsid w:val="00B32934"/>
    <w:rsid w:val="00B40FC9"/>
    <w:rsid w:val="00B42F25"/>
    <w:rsid w:val="00B5517F"/>
    <w:rsid w:val="00B635B4"/>
    <w:rsid w:val="00B679DD"/>
    <w:rsid w:val="00B85E6D"/>
    <w:rsid w:val="00BA5C57"/>
    <w:rsid w:val="00BB0E1B"/>
    <w:rsid w:val="00BB2417"/>
    <w:rsid w:val="00BB744D"/>
    <w:rsid w:val="00BD41C5"/>
    <w:rsid w:val="00BD5D0E"/>
    <w:rsid w:val="00BE4057"/>
    <w:rsid w:val="00BF01C9"/>
    <w:rsid w:val="00BF25B1"/>
    <w:rsid w:val="00BF5DBD"/>
    <w:rsid w:val="00BF6086"/>
    <w:rsid w:val="00C05ABA"/>
    <w:rsid w:val="00C0653A"/>
    <w:rsid w:val="00C067E2"/>
    <w:rsid w:val="00C13A47"/>
    <w:rsid w:val="00C238B4"/>
    <w:rsid w:val="00C24EEE"/>
    <w:rsid w:val="00C3072C"/>
    <w:rsid w:val="00C417E5"/>
    <w:rsid w:val="00C47C2F"/>
    <w:rsid w:val="00C622D8"/>
    <w:rsid w:val="00C676C8"/>
    <w:rsid w:val="00C74075"/>
    <w:rsid w:val="00C75045"/>
    <w:rsid w:val="00C76A41"/>
    <w:rsid w:val="00C821E2"/>
    <w:rsid w:val="00C90081"/>
    <w:rsid w:val="00C917E1"/>
    <w:rsid w:val="00C922CA"/>
    <w:rsid w:val="00C94083"/>
    <w:rsid w:val="00CA15D9"/>
    <w:rsid w:val="00CB0F9D"/>
    <w:rsid w:val="00CB71B8"/>
    <w:rsid w:val="00CC0453"/>
    <w:rsid w:val="00CC1353"/>
    <w:rsid w:val="00CC50AA"/>
    <w:rsid w:val="00CD516F"/>
    <w:rsid w:val="00CD52D8"/>
    <w:rsid w:val="00CD7B54"/>
    <w:rsid w:val="00CE368F"/>
    <w:rsid w:val="00CE433F"/>
    <w:rsid w:val="00CE6FD3"/>
    <w:rsid w:val="00CF73DE"/>
    <w:rsid w:val="00D02B69"/>
    <w:rsid w:val="00D0502B"/>
    <w:rsid w:val="00D069E9"/>
    <w:rsid w:val="00D136E9"/>
    <w:rsid w:val="00D32960"/>
    <w:rsid w:val="00D36E76"/>
    <w:rsid w:val="00D459E1"/>
    <w:rsid w:val="00D517A7"/>
    <w:rsid w:val="00D574BA"/>
    <w:rsid w:val="00D6231C"/>
    <w:rsid w:val="00D71DB9"/>
    <w:rsid w:val="00D721AB"/>
    <w:rsid w:val="00D8309D"/>
    <w:rsid w:val="00D91D3B"/>
    <w:rsid w:val="00D927BA"/>
    <w:rsid w:val="00D931AA"/>
    <w:rsid w:val="00D96E61"/>
    <w:rsid w:val="00DA2116"/>
    <w:rsid w:val="00DA33AF"/>
    <w:rsid w:val="00DA7287"/>
    <w:rsid w:val="00DB23F6"/>
    <w:rsid w:val="00DB463F"/>
    <w:rsid w:val="00DC343F"/>
    <w:rsid w:val="00DC5DE4"/>
    <w:rsid w:val="00DC6674"/>
    <w:rsid w:val="00DD0729"/>
    <w:rsid w:val="00DD7ACE"/>
    <w:rsid w:val="00DE0036"/>
    <w:rsid w:val="00DE32F6"/>
    <w:rsid w:val="00DE4B23"/>
    <w:rsid w:val="00DF3E95"/>
    <w:rsid w:val="00DF541F"/>
    <w:rsid w:val="00DF5F0B"/>
    <w:rsid w:val="00DF6C11"/>
    <w:rsid w:val="00E02E09"/>
    <w:rsid w:val="00E03B4B"/>
    <w:rsid w:val="00E15474"/>
    <w:rsid w:val="00E17507"/>
    <w:rsid w:val="00E21AC6"/>
    <w:rsid w:val="00E33CD8"/>
    <w:rsid w:val="00E33DFC"/>
    <w:rsid w:val="00E367B4"/>
    <w:rsid w:val="00E37221"/>
    <w:rsid w:val="00E445EC"/>
    <w:rsid w:val="00E45E9D"/>
    <w:rsid w:val="00E46623"/>
    <w:rsid w:val="00E473C9"/>
    <w:rsid w:val="00E47E55"/>
    <w:rsid w:val="00E54A89"/>
    <w:rsid w:val="00E566C2"/>
    <w:rsid w:val="00E5777F"/>
    <w:rsid w:val="00E67240"/>
    <w:rsid w:val="00E70949"/>
    <w:rsid w:val="00E9109E"/>
    <w:rsid w:val="00E916BF"/>
    <w:rsid w:val="00EA50BB"/>
    <w:rsid w:val="00EA6E49"/>
    <w:rsid w:val="00EB73E2"/>
    <w:rsid w:val="00EC0C01"/>
    <w:rsid w:val="00EC6059"/>
    <w:rsid w:val="00ED020F"/>
    <w:rsid w:val="00ED059D"/>
    <w:rsid w:val="00ED504D"/>
    <w:rsid w:val="00EE0F7C"/>
    <w:rsid w:val="00EE177E"/>
    <w:rsid w:val="00F12E64"/>
    <w:rsid w:val="00F13390"/>
    <w:rsid w:val="00F17F52"/>
    <w:rsid w:val="00F23B0F"/>
    <w:rsid w:val="00F3272C"/>
    <w:rsid w:val="00F36984"/>
    <w:rsid w:val="00F372E3"/>
    <w:rsid w:val="00F45AFB"/>
    <w:rsid w:val="00F5120B"/>
    <w:rsid w:val="00F53DE8"/>
    <w:rsid w:val="00F560FC"/>
    <w:rsid w:val="00F614F9"/>
    <w:rsid w:val="00F637B9"/>
    <w:rsid w:val="00F65458"/>
    <w:rsid w:val="00F733FF"/>
    <w:rsid w:val="00F737AE"/>
    <w:rsid w:val="00F758ED"/>
    <w:rsid w:val="00F84A9F"/>
    <w:rsid w:val="00F853AC"/>
    <w:rsid w:val="00F87167"/>
    <w:rsid w:val="00F93C32"/>
    <w:rsid w:val="00FA33D3"/>
    <w:rsid w:val="00FA5D5F"/>
    <w:rsid w:val="00FA6304"/>
    <w:rsid w:val="00FB3AC6"/>
    <w:rsid w:val="00FD09D9"/>
    <w:rsid w:val="00FD657E"/>
    <w:rsid w:val="00FE22BD"/>
    <w:rsid w:val="00FE5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568CCF3"/>
  <w15:docId w15:val="{BDEF020D-A5D8-48E9-B6C9-0FF17250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1F2"/>
    <w:pPr>
      <w:widowControl w:val="0"/>
      <w:jc w:val="both"/>
    </w:pPr>
    <w:rPr>
      <w:rFonts w:ascii="Century" w:eastAsia="ＭＳ 明朝" w:hAnsi="Century" w:cs="Times New Roman"/>
      <w:snapToGrid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1F2"/>
    <w:pPr>
      <w:tabs>
        <w:tab w:val="center" w:pos="4252"/>
        <w:tab w:val="right" w:pos="8504"/>
      </w:tabs>
      <w:snapToGrid w:val="0"/>
    </w:pPr>
    <w:rPr>
      <w:rFonts w:asciiTheme="minorHAnsi" w:eastAsiaTheme="minorEastAsia" w:hAnsiTheme="minorHAnsi" w:cstheme="minorBidi"/>
      <w:snapToGrid/>
      <w:szCs w:val="22"/>
    </w:rPr>
  </w:style>
  <w:style w:type="character" w:customStyle="1" w:styleId="a4">
    <w:name w:val="ヘッダー (文字)"/>
    <w:basedOn w:val="a0"/>
    <w:link w:val="a3"/>
    <w:uiPriority w:val="99"/>
    <w:rsid w:val="007101F2"/>
  </w:style>
  <w:style w:type="paragraph" w:styleId="a5">
    <w:name w:val="footer"/>
    <w:basedOn w:val="a"/>
    <w:link w:val="a6"/>
    <w:uiPriority w:val="99"/>
    <w:unhideWhenUsed/>
    <w:rsid w:val="007101F2"/>
    <w:pPr>
      <w:tabs>
        <w:tab w:val="center" w:pos="4252"/>
        <w:tab w:val="right" w:pos="8504"/>
      </w:tabs>
      <w:snapToGrid w:val="0"/>
    </w:pPr>
    <w:rPr>
      <w:rFonts w:asciiTheme="minorHAnsi" w:eastAsiaTheme="minorEastAsia" w:hAnsiTheme="minorHAnsi" w:cstheme="minorBidi"/>
      <w:snapToGrid/>
      <w:szCs w:val="22"/>
    </w:rPr>
  </w:style>
  <w:style w:type="character" w:customStyle="1" w:styleId="a6">
    <w:name w:val="フッター (文字)"/>
    <w:basedOn w:val="a0"/>
    <w:link w:val="a5"/>
    <w:uiPriority w:val="99"/>
    <w:rsid w:val="007101F2"/>
  </w:style>
  <w:style w:type="paragraph" w:styleId="Web">
    <w:name w:val="Normal (Web)"/>
    <w:basedOn w:val="a"/>
    <w:uiPriority w:val="99"/>
    <w:unhideWhenUsed/>
    <w:rsid w:val="000D7335"/>
    <w:pPr>
      <w:widowControl/>
      <w:spacing w:before="100" w:beforeAutospacing="1" w:after="100" w:afterAutospacing="1"/>
      <w:jc w:val="left"/>
    </w:pPr>
    <w:rPr>
      <w:rFonts w:ascii="ＭＳ Ｐゴシック" w:eastAsia="ＭＳ Ｐゴシック" w:hAnsi="ＭＳ Ｐゴシック" w:cs="ＭＳ Ｐゴシック"/>
      <w:snapToGrid/>
      <w:kern w:val="0"/>
      <w:sz w:val="24"/>
      <w:szCs w:val="24"/>
    </w:rPr>
  </w:style>
  <w:style w:type="paragraph" w:styleId="a7">
    <w:name w:val="Balloon Text"/>
    <w:basedOn w:val="a"/>
    <w:link w:val="a8"/>
    <w:uiPriority w:val="99"/>
    <w:semiHidden/>
    <w:unhideWhenUsed/>
    <w:rsid w:val="000D73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7335"/>
    <w:rPr>
      <w:rFonts w:asciiTheme="majorHAnsi" w:eastAsiaTheme="majorEastAsia" w:hAnsiTheme="majorHAnsi" w:cstheme="majorBidi"/>
      <w:snapToGrid w:val="0"/>
      <w:sz w:val="18"/>
      <w:szCs w:val="18"/>
    </w:rPr>
  </w:style>
  <w:style w:type="paragraph" w:styleId="a9">
    <w:name w:val="List Paragraph"/>
    <w:basedOn w:val="a"/>
    <w:uiPriority w:val="34"/>
    <w:qFormat/>
    <w:rsid w:val="00382A73"/>
    <w:pPr>
      <w:widowControl/>
      <w:ind w:leftChars="400" w:left="840"/>
      <w:jc w:val="left"/>
    </w:pPr>
    <w:rPr>
      <w:rFonts w:ascii="ＭＳ Ｐゴシック" w:eastAsia="ＭＳ Ｐゴシック" w:hAnsi="ＭＳ Ｐゴシック" w:cs="ＭＳ Ｐゴシック"/>
      <w:snapToGrid/>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26257">
      <w:bodyDiv w:val="1"/>
      <w:marLeft w:val="0"/>
      <w:marRight w:val="0"/>
      <w:marTop w:val="0"/>
      <w:marBottom w:val="0"/>
      <w:divBdr>
        <w:top w:val="none" w:sz="0" w:space="0" w:color="auto"/>
        <w:left w:val="none" w:sz="0" w:space="0" w:color="auto"/>
        <w:bottom w:val="none" w:sz="0" w:space="0" w:color="auto"/>
        <w:right w:val="none" w:sz="0" w:space="0" w:color="auto"/>
      </w:divBdr>
    </w:div>
    <w:div w:id="259533496">
      <w:bodyDiv w:val="1"/>
      <w:marLeft w:val="0"/>
      <w:marRight w:val="0"/>
      <w:marTop w:val="0"/>
      <w:marBottom w:val="0"/>
      <w:divBdr>
        <w:top w:val="none" w:sz="0" w:space="0" w:color="auto"/>
        <w:left w:val="none" w:sz="0" w:space="0" w:color="auto"/>
        <w:bottom w:val="none" w:sz="0" w:space="0" w:color="auto"/>
        <w:right w:val="none" w:sz="0" w:space="0" w:color="auto"/>
      </w:divBdr>
    </w:div>
    <w:div w:id="300574671">
      <w:bodyDiv w:val="1"/>
      <w:marLeft w:val="0"/>
      <w:marRight w:val="0"/>
      <w:marTop w:val="0"/>
      <w:marBottom w:val="0"/>
      <w:divBdr>
        <w:top w:val="none" w:sz="0" w:space="0" w:color="auto"/>
        <w:left w:val="none" w:sz="0" w:space="0" w:color="auto"/>
        <w:bottom w:val="none" w:sz="0" w:space="0" w:color="auto"/>
        <w:right w:val="none" w:sz="0" w:space="0" w:color="auto"/>
      </w:divBdr>
    </w:div>
    <w:div w:id="420681715">
      <w:bodyDiv w:val="1"/>
      <w:marLeft w:val="0"/>
      <w:marRight w:val="0"/>
      <w:marTop w:val="0"/>
      <w:marBottom w:val="0"/>
      <w:divBdr>
        <w:top w:val="none" w:sz="0" w:space="0" w:color="auto"/>
        <w:left w:val="none" w:sz="0" w:space="0" w:color="auto"/>
        <w:bottom w:val="none" w:sz="0" w:space="0" w:color="auto"/>
        <w:right w:val="none" w:sz="0" w:space="0" w:color="auto"/>
      </w:divBdr>
      <w:divsChild>
        <w:div w:id="565997314">
          <w:marLeft w:val="720"/>
          <w:marRight w:val="0"/>
          <w:marTop w:val="120"/>
          <w:marBottom w:val="0"/>
          <w:divBdr>
            <w:top w:val="none" w:sz="0" w:space="0" w:color="auto"/>
            <w:left w:val="none" w:sz="0" w:space="0" w:color="auto"/>
            <w:bottom w:val="none" w:sz="0" w:space="0" w:color="auto"/>
            <w:right w:val="none" w:sz="0" w:space="0" w:color="auto"/>
          </w:divBdr>
        </w:div>
        <w:div w:id="1468666108">
          <w:marLeft w:val="720"/>
          <w:marRight w:val="0"/>
          <w:marTop w:val="120"/>
          <w:marBottom w:val="0"/>
          <w:divBdr>
            <w:top w:val="none" w:sz="0" w:space="0" w:color="auto"/>
            <w:left w:val="none" w:sz="0" w:space="0" w:color="auto"/>
            <w:bottom w:val="none" w:sz="0" w:space="0" w:color="auto"/>
            <w:right w:val="none" w:sz="0" w:space="0" w:color="auto"/>
          </w:divBdr>
        </w:div>
        <w:div w:id="1834485101">
          <w:marLeft w:val="720"/>
          <w:marRight w:val="0"/>
          <w:marTop w:val="120"/>
          <w:marBottom w:val="0"/>
          <w:divBdr>
            <w:top w:val="none" w:sz="0" w:space="0" w:color="auto"/>
            <w:left w:val="none" w:sz="0" w:space="0" w:color="auto"/>
            <w:bottom w:val="none" w:sz="0" w:space="0" w:color="auto"/>
            <w:right w:val="none" w:sz="0" w:space="0" w:color="auto"/>
          </w:divBdr>
        </w:div>
      </w:divsChild>
    </w:div>
    <w:div w:id="533620335">
      <w:bodyDiv w:val="1"/>
      <w:marLeft w:val="0"/>
      <w:marRight w:val="0"/>
      <w:marTop w:val="0"/>
      <w:marBottom w:val="0"/>
      <w:divBdr>
        <w:top w:val="none" w:sz="0" w:space="0" w:color="auto"/>
        <w:left w:val="none" w:sz="0" w:space="0" w:color="auto"/>
        <w:bottom w:val="none" w:sz="0" w:space="0" w:color="auto"/>
        <w:right w:val="none" w:sz="0" w:space="0" w:color="auto"/>
      </w:divBdr>
    </w:div>
    <w:div w:id="823592813">
      <w:bodyDiv w:val="1"/>
      <w:marLeft w:val="0"/>
      <w:marRight w:val="0"/>
      <w:marTop w:val="0"/>
      <w:marBottom w:val="0"/>
      <w:divBdr>
        <w:top w:val="none" w:sz="0" w:space="0" w:color="auto"/>
        <w:left w:val="none" w:sz="0" w:space="0" w:color="auto"/>
        <w:bottom w:val="none" w:sz="0" w:space="0" w:color="auto"/>
        <w:right w:val="none" w:sz="0" w:space="0" w:color="auto"/>
      </w:divBdr>
    </w:div>
    <w:div w:id="870530934">
      <w:bodyDiv w:val="1"/>
      <w:marLeft w:val="0"/>
      <w:marRight w:val="0"/>
      <w:marTop w:val="0"/>
      <w:marBottom w:val="0"/>
      <w:divBdr>
        <w:top w:val="none" w:sz="0" w:space="0" w:color="auto"/>
        <w:left w:val="none" w:sz="0" w:space="0" w:color="auto"/>
        <w:bottom w:val="none" w:sz="0" w:space="0" w:color="auto"/>
        <w:right w:val="none" w:sz="0" w:space="0" w:color="auto"/>
      </w:divBdr>
    </w:div>
    <w:div w:id="1113861682">
      <w:bodyDiv w:val="1"/>
      <w:marLeft w:val="0"/>
      <w:marRight w:val="0"/>
      <w:marTop w:val="0"/>
      <w:marBottom w:val="0"/>
      <w:divBdr>
        <w:top w:val="none" w:sz="0" w:space="0" w:color="auto"/>
        <w:left w:val="none" w:sz="0" w:space="0" w:color="auto"/>
        <w:bottom w:val="none" w:sz="0" w:space="0" w:color="auto"/>
        <w:right w:val="none" w:sz="0" w:space="0" w:color="auto"/>
      </w:divBdr>
    </w:div>
    <w:div w:id="1139808145">
      <w:bodyDiv w:val="1"/>
      <w:marLeft w:val="0"/>
      <w:marRight w:val="0"/>
      <w:marTop w:val="0"/>
      <w:marBottom w:val="0"/>
      <w:divBdr>
        <w:top w:val="none" w:sz="0" w:space="0" w:color="auto"/>
        <w:left w:val="none" w:sz="0" w:space="0" w:color="auto"/>
        <w:bottom w:val="none" w:sz="0" w:space="0" w:color="auto"/>
        <w:right w:val="none" w:sz="0" w:space="0" w:color="auto"/>
      </w:divBdr>
    </w:div>
    <w:div w:id="1142117035">
      <w:bodyDiv w:val="1"/>
      <w:marLeft w:val="0"/>
      <w:marRight w:val="0"/>
      <w:marTop w:val="0"/>
      <w:marBottom w:val="0"/>
      <w:divBdr>
        <w:top w:val="none" w:sz="0" w:space="0" w:color="auto"/>
        <w:left w:val="none" w:sz="0" w:space="0" w:color="auto"/>
        <w:bottom w:val="none" w:sz="0" w:space="0" w:color="auto"/>
        <w:right w:val="none" w:sz="0" w:space="0" w:color="auto"/>
      </w:divBdr>
    </w:div>
    <w:div w:id="1209680809">
      <w:bodyDiv w:val="1"/>
      <w:marLeft w:val="0"/>
      <w:marRight w:val="0"/>
      <w:marTop w:val="0"/>
      <w:marBottom w:val="0"/>
      <w:divBdr>
        <w:top w:val="none" w:sz="0" w:space="0" w:color="auto"/>
        <w:left w:val="none" w:sz="0" w:space="0" w:color="auto"/>
        <w:bottom w:val="none" w:sz="0" w:space="0" w:color="auto"/>
        <w:right w:val="none" w:sz="0" w:space="0" w:color="auto"/>
      </w:divBdr>
    </w:div>
    <w:div w:id="1264798929">
      <w:bodyDiv w:val="1"/>
      <w:marLeft w:val="0"/>
      <w:marRight w:val="0"/>
      <w:marTop w:val="0"/>
      <w:marBottom w:val="0"/>
      <w:divBdr>
        <w:top w:val="none" w:sz="0" w:space="0" w:color="auto"/>
        <w:left w:val="none" w:sz="0" w:space="0" w:color="auto"/>
        <w:bottom w:val="none" w:sz="0" w:space="0" w:color="auto"/>
        <w:right w:val="none" w:sz="0" w:space="0" w:color="auto"/>
      </w:divBdr>
    </w:div>
    <w:div w:id="1279753171">
      <w:bodyDiv w:val="1"/>
      <w:marLeft w:val="0"/>
      <w:marRight w:val="0"/>
      <w:marTop w:val="0"/>
      <w:marBottom w:val="0"/>
      <w:divBdr>
        <w:top w:val="none" w:sz="0" w:space="0" w:color="auto"/>
        <w:left w:val="none" w:sz="0" w:space="0" w:color="auto"/>
        <w:bottom w:val="none" w:sz="0" w:space="0" w:color="auto"/>
        <w:right w:val="none" w:sz="0" w:space="0" w:color="auto"/>
      </w:divBdr>
    </w:div>
    <w:div w:id="1280182113">
      <w:bodyDiv w:val="1"/>
      <w:marLeft w:val="0"/>
      <w:marRight w:val="0"/>
      <w:marTop w:val="0"/>
      <w:marBottom w:val="0"/>
      <w:divBdr>
        <w:top w:val="none" w:sz="0" w:space="0" w:color="auto"/>
        <w:left w:val="none" w:sz="0" w:space="0" w:color="auto"/>
        <w:bottom w:val="none" w:sz="0" w:space="0" w:color="auto"/>
        <w:right w:val="none" w:sz="0" w:space="0" w:color="auto"/>
      </w:divBdr>
    </w:div>
    <w:div w:id="1426196141">
      <w:bodyDiv w:val="1"/>
      <w:marLeft w:val="0"/>
      <w:marRight w:val="0"/>
      <w:marTop w:val="0"/>
      <w:marBottom w:val="0"/>
      <w:divBdr>
        <w:top w:val="none" w:sz="0" w:space="0" w:color="auto"/>
        <w:left w:val="none" w:sz="0" w:space="0" w:color="auto"/>
        <w:bottom w:val="none" w:sz="0" w:space="0" w:color="auto"/>
        <w:right w:val="none" w:sz="0" w:space="0" w:color="auto"/>
      </w:divBdr>
    </w:div>
    <w:div w:id="1503160544">
      <w:bodyDiv w:val="1"/>
      <w:marLeft w:val="0"/>
      <w:marRight w:val="0"/>
      <w:marTop w:val="0"/>
      <w:marBottom w:val="0"/>
      <w:divBdr>
        <w:top w:val="none" w:sz="0" w:space="0" w:color="auto"/>
        <w:left w:val="none" w:sz="0" w:space="0" w:color="auto"/>
        <w:bottom w:val="none" w:sz="0" w:space="0" w:color="auto"/>
        <w:right w:val="none" w:sz="0" w:space="0" w:color="auto"/>
      </w:divBdr>
    </w:div>
    <w:div w:id="1508910587">
      <w:bodyDiv w:val="1"/>
      <w:marLeft w:val="0"/>
      <w:marRight w:val="0"/>
      <w:marTop w:val="0"/>
      <w:marBottom w:val="0"/>
      <w:divBdr>
        <w:top w:val="none" w:sz="0" w:space="0" w:color="auto"/>
        <w:left w:val="none" w:sz="0" w:space="0" w:color="auto"/>
        <w:bottom w:val="none" w:sz="0" w:space="0" w:color="auto"/>
        <w:right w:val="none" w:sz="0" w:space="0" w:color="auto"/>
      </w:divBdr>
    </w:div>
    <w:div w:id="1560554959">
      <w:bodyDiv w:val="1"/>
      <w:marLeft w:val="0"/>
      <w:marRight w:val="0"/>
      <w:marTop w:val="0"/>
      <w:marBottom w:val="0"/>
      <w:divBdr>
        <w:top w:val="none" w:sz="0" w:space="0" w:color="auto"/>
        <w:left w:val="none" w:sz="0" w:space="0" w:color="auto"/>
        <w:bottom w:val="none" w:sz="0" w:space="0" w:color="auto"/>
        <w:right w:val="none" w:sz="0" w:space="0" w:color="auto"/>
      </w:divBdr>
    </w:div>
    <w:div w:id="1627196266">
      <w:bodyDiv w:val="1"/>
      <w:marLeft w:val="0"/>
      <w:marRight w:val="0"/>
      <w:marTop w:val="0"/>
      <w:marBottom w:val="0"/>
      <w:divBdr>
        <w:top w:val="none" w:sz="0" w:space="0" w:color="auto"/>
        <w:left w:val="none" w:sz="0" w:space="0" w:color="auto"/>
        <w:bottom w:val="none" w:sz="0" w:space="0" w:color="auto"/>
        <w:right w:val="none" w:sz="0" w:space="0" w:color="auto"/>
      </w:divBdr>
    </w:div>
    <w:div w:id="1720780564">
      <w:bodyDiv w:val="1"/>
      <w:marLeft w:val="0"/>
      <w:marRight w:val="0"/>
      <w:marTop w:val="0"/>
      <w:marBottom w:val="0"/>
      <w:divBdr>
        <w:top w:val="none" w:sz="0" w:space="0" w:color="auto"/>
        <w:left w:val="none" w:sz="0" w:space="0" w:color="auto"/>
        <w:bottom w:val="none" w:sz="0" w:space="0" w:color="auto"/>
        <w:right w:val="none" w:sz="0" w:space="0" w:color="auto"/>
      </w:divBdr>
    </w:div>
    <w:div w:id="1737164903">
      <w:bodyDiv w:val="1"/>
      <w:marLeft w:val="0"/>
      <w:marRight w:val="0"/>
      <w:marTop w:val="0"/>
      <w:marBottom w:val="0"/>
      <w:divBdr>
        <w:top w:val="none" w:sz="0" w:space="0" w:color="auto"/>
        <w:left w:val="none" w:sz="0" w:space="0" w:color="auto"/>
        <w:bottom w:val="none" w:sz="0" w:space="0" w:color="auto"/>
        <w:right w:val="none" w:sz="0" w:space="0" w:color="auto"/>
      </w:divBdr>
    </w:div>
    <w:div w:id="1763792332">
      <w:bodyDiv w:val="1"/>
      <w:marLeft w:val="0"/>
      <w:marRight w:val="0"/>
      <w:marTop w:val="0"/>
      <w:marBottom w:val="0"/>
      <w:divBdr>
        <w:top w:val="none" w:sz="0" w:space="0" w:color="auto"/>
        <w:left w:val="none" w:sz="0" w:space="0" w:color="auto"/>
        <w:bottom w:val="none" w:sz="0" w:space="0" w:color="auto"/>
        <w:right w:val="none" w:sz="0" w:space="0" w:color="auto"/>
      </w:divBdr>
    </w:div>
    <w:div w:id="1808863523">
      <w:bodyDiv w:val="1"/>
      <w:marLeft w:val="0"/>
      <w:marRight w:val="0"/>
      <w:marTop w:val="0"/>
      <w:marBottom w:val="0"/>
      <w:divBdr>
        <w:top w:val="none" w:sz="0" w:space="0" w:color="auto"/>
        <w:left w:val="none" w:sz="0" w:space="0" w:color="auto"/>
        <w:bottom w:val="none" w:sz="0" w:space="0" w:color="auto"/>
        <w:right w:val="none" w:sz="0" w:space="0" w:color="auto"/>
      </w:divBdr>
      <w:divsChild>
        <w:div w:id="1816530107">
          <w:marLeft w:val="720"/>
          <w:marRight w:val="0"/>
          <w:marTop w:val="120"/>
          <w:marBottom w:val="0"/>
          <w:divBdr>
            <w:top w:val="none" w:sz="0" w:space="0" w:color="auto"/>
            <w:left w:val="none" w:sz="0" w:space="0" w:color="auto"/>
            <w:bottom w:val="none" w:sz="0" w:space="0" w:color="auto"/>
            <w:right w:val="none" w:sz="0" w:space="0" w:color="auto"/>
          </w:divBdr>
        </w:div>
      </w:divsChild>
    </w:div>
    <w:div w:id="1903759756">
      <w:bodyDiv w:val="1"/>
      <w:marLeft w:val="0"/>
      <w:marRight w:val="0"/>
      <w:marTop w:val="0"/>
      <w:marBottom w:val="0"/>
      <w:divBdr>
        <w:top w:val="none" w:sz="0" w:space="0" w:color="auto"/>
        <w:left w:val="none" w:sz="0" w:space="0" w:color="auto"/>
        <w:bottom w:val="none" w:sz="0" w:space="0" w:color="auto"/>
        <w:right w:val="none" w:sz="0" w:space="0" w:color="auto"/>
      </w:divBdr>
    </w:div>
    <w:div w:id="2065062604">
      <w:bodyDiv w:val="1"/>
      <w:marLeft w:val="0"/>
      <w:marRight w:val="0"/>
      <w:marTop w:val="0"/>
      <w:marBottom w:val="0"/>
      <w:divBdr>
        <w:top w:val="none" w:sz="0" w:space="0" w:color="auto"/>
        <w:left w:val="none" w:sz="0" w:space="0" w:color="auto"/>
        <w:bottom w:val="none" w:sz="0" w:space="0" w:color="auto"/>
        <w:right w:val="none" w:sz="0" w:space="0" w:color="auto"/>
      </w:divBdr>
    </w:div>
    <w:div w:id="2105417635">
      <w:bodyDiv w:val="1"/>
      <w:marLeft w:val="0"/>
      <w:marRight w:val="0"/>
      <w:marTop w:val="0"/>
      <w:marBottom w:val="0"/>
      <w:divBdr>
        <w:top w:val="none" w:sz="0" w:space="0" w:color="auto"/>
        <w:left w:val="none" w:sz="0" w:space="0" w:color="auto"/>
        <w:bottom w:val="none" w:sz="0" w:space="0" w:color="auto"/>
        <w:right w:val="none" w:sz="0" w:space="0" w:color="auto"/>
      </w:divBdr>
    </w:div>
    <w:div w:id="212568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G0000sv0ns501\d11484$\doc\&#26032;_&#36001;&#25919;&#20225;&#30011;&#65319;\&#1046;%20&#35506;&#20869;&#21508;&#31278;&#36039;&#26009;&#65288;&#36001;&#38306;&#12539;&#22996;&#21729;&#20250;&#36039;&#26009;&#12539;&#26032;&#20219;&#12524;&#12463;&#12539;HP&#12394;&#12393;&#65289;\&#36001;&#12354;&#12425;&#65288;H22.12&#65374;&#65289;\&#36001;&#12354;&#12425;H31\02%20&#20316;&#26989;&#12493;&#12479;\&#65288;&#20316;&#26989;&#29992;&#65289;&#22823;&#29256;&#65288;&#20840;&#20250;&#35336;&#65289;.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G0000sv0ns501\d11484$\doc\&#26032;_&#36001;&#25919;&#20225;&#30011;&#65319;\&#1046;%20&#35506;&#20869;&#21508;&#31278;&#36039;&#26009;&#65288;&#36001;&#38306;&#12539;&#22996;&#21729;&#20250;&#36039;&#26009;&#12539;&#26032;&#20219;&#12524;&#12463;&#12539;HP&#12394;&#12393;&#65289;\&#36001;&#12354;&#12425;&#65288;H22.12&#65374;&#65289;\&#36001;&#12354;&#12425;H31\02%20&#20316;&#26989;&#12493;&#12479;\&#65288;&#20316;&#26989;&#29992;&#65289;&#22823;&#29256;&#65288;&#20840;&#20250;&#35336;&#65289;.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027777777777778"/>
          <c:y val="0.10983332008166016"/>
          <c:w val="0.55833333333333335"/>
          <c:h val="0.93055555555555558"/>
        </c:manualLayout>
      </c:layout>
      <c:doughnutChart>
        <c:varyColors val="1"/>
        <c:ser>
          <c:idx val="0"/>
          <c:order val="0"/>
          <c:spPr>
            <a:solidFill>
              <a:srgbClr val="CCFFCC"/>
            </a:solidFill>
            <a:ln>
              <a:solidFill>
                <a:sysClr val="windowText" lastClr="000000"/>
              </a:solidFill>
            </a:ln>
          </c:spPr>
          <c:dPt>
            <c:idx val="0"/>
            <c:bubble3D val="0"/>
            <c:spPr>
              <a:solidFill>
                <a:srgbClr val="FFFFFF"/>
              </a:solidFill>
              <a:ln>
                <a:solidFill>
                  <a:sysClr val="windowText" lastClr="000000"/>
                </a:solidFill>
              </a:ln>
            </c:spPr>
            <c:extLst>
              <c:ext xmlns:c16="http://schemas.microsoft.com/office/drawing/2014/chart" uri="{C3380CC4-5D6E-409C-BE32-E72D297353CC}">
                <c16:uniqueId val="{00000001-04B7-4960-A57E-F5F0C4FD2D2A}"/>
              </c:ext>
            </c:extLst>
          </c:dPt>
          <c:dPt>
            <c:idx val="1"/>
            <c:bubble3D val="0"/>
            <c:spPr>
              <a:solidFill>
                <a:srgbClr val="CCECFF"/>
              </a:solidFill>
              <a:ln>
                <a:solidFill>
                  <a:sysClr val="windowText" lastClr="000000"/>
                </a:solidFill>
              </a:ln>
            </c:spPr>
            <c:extLst>
              <c:ext xmlns:c16="http://schemas.microsoft.com/office/drawing/2014/chart" uri="{C3380CC4-5D6E-409C-BE32-E72D297353CC}">
                <c16:uniqueId val="{00000003-04B7-4960-A57E-F5F0C4FD2D2A}"/>
              </c:ext>
            </c:extLst>
          </c:dPt>
          <c:dPt>
            <c:idx val="2"/>
            <c:bubble3D val="0"/>
            <c:spPr>
              <a:solidFill>
                <a:srgbClr val="99CCFF"/>
              </a:solidFill>
              <a:ln>
                <a:solidFill>
                  <a:sysClr val="windowText" lastClr="000000"/>
                </a:solidFill>
              </a:ln>
            </c:spPr>
            <c:extLst>
              <c:ext xmlns:c16="http://schemas.microsoft.com/office/drawing/2014/chart" uri="{C3380CC4-5D6E-409C-BE32-E72D297353CC}">
                <c16:uniqueId val="{00000005-04B7-4960-A57E-F5F0C4FD2D2A}"/>
              </c:ext>
            </c:extLst>
          </c:dPt>
          <c:dPt>
            <c:idx val="3"/>
            <c:bubble3D val="0"/>
            <c:spPr>
              <a:solidFill>
                <a:srgbClr val="6699FF"/>
              </a:solidFill>
              <a:ln>
                <a:solidFill>
                  <a:sysClr val="windowText" lastClr="000000"/>
                </a:solidFill>
              </a:ln>
            </c:spPr>
            <c:extLst>
              <c:ext xmlns:c16="http://schemas.microsoft.com/office/drawing/2014/chart" uri="{C3380CC4-5D6E-409C-BE32-E72D297353CC}">
                <c16:uniqueId val="{00000007-04B7-4960-A57E-F5F0C4FD2D2A}"/>
              </c:ext>
            </c:extLst>
          </c:dPt>
          <c:dPt>
            <c:idx val="4"/>
            <c:bubble3D val="0"/>
            <c:spPr>
              <a:solidFill>
                <a:srgbClr val="3366FF"/>
              </a:solidFill>
              <a:ln>
                <a:solidFill>
                  <a:sysClr val="windowText" lastClr="000000"/>
                </a:solidFill>
              </a:ln>
            </c:spPr>
            <c:extLst>
              <c:ext xmlns:c16="http://schemas.microsoft.com/office/drawing/2014/chart" uri="{C3380CC4-5D6E-409C-BE32-E72D297353CC}">
                <c16:uniqueId val="{00000009-04B7-4960-A57E-F5F0C4FD2D2A}"/>
              </c:ext>
            </c:extLst>
          </c:dPt>
          <c:dPt>
            <c:idx val="5"/>
            <c:bubble3D val="0"/>
            <c:spPr>
              <a:solidFill>
                <a:srgbClr val="3333FF"/>
              </a:solidFill>
              <a:ln>
                <a:solidFill>
                  <a:sysClr val="windowText" lastClr="000000"/>
                </a:solidFill>
              </a:ln>
            </c:spPr>
            <c:extLst>
              <c:ext xmlns:c16="http://schemas.microsoft.com/office/drawing/2014/chart" uri="{C3380CC4-5D6E-409C-BE32-E72D297353CC}">
                <c16:uniqueId val="{0000000B-04B7-4960-A57E-F5F0C4FD2D2A}"/>
              </c:ext>
            </c:extLst>
          </c:dPt>
          <c:dPt>
            <c:idx val="6"/>
            <c:bubble3D val="0"/>
            <c:spPr>
              <a:solidFill>
                <a:srgbClr val="000066"/>
              </a:solidFill>
              <a:ln>
                <a:solidFill>
                  <a:sysClr val="windowText" lastClr="000000"/>
                </a:solidFill>
              </a:ln>
            </c:spPr>
            <c:extLst>
              <c:ext xmlns:c16="http://schemas.microsoft.com/office/drawing/2014/chart" uri="{C3380CC4-5D6E-409C-BE32-E72D297353CC}">
                <c16:uniqueId val="{0000000D-04B7-4960-A57E-F5F0C4FD2D2A}"/>
              </c:ext>
            </c:extLst>
          </c:dPt>
          <c:dPt>
            <c:idx val="7"/>
            <c:bubble3D val="0"/>
            <c:spPr>
              <a:solidFill>
                <a:srgbClr val="660066"/>
              </a:solidFill>
              <a:ln>
                <a:solidFill>
                  <a:sysClr val="windowText" lastClr="000000"/>
                </a:solidFill>
              </a:ln>
            </c:spPr>
            <c:extLst>
              <c:ext xmlns:c16="http://schemas.microsoft.com/office/drawing/2014/chart" uri="{C3380CC4-5D6E-409C-BE32-E72D297353CC}">
                <c16:uniqueId val="{0000000F-04B7-4960-A57E-F5F0C4FD2D2A}"/>
              </c:ext>
            </c:extLst>
          </c:dPt>
          <c:dLbls>
            <c:dLbl>
              <c:idx val="0"/>
              <c:layout>
                <c:manualLayout>
                  <c:x val="-1.0160464635798148E-2"/>
                  <c:y val="9.2510617990932947E-3"/>
                </c:manualLayout>
              </c:layout>
              <c:tx>
                <c:rich>
                  <a:bodyPr anchorCtr="0"/>
                  <a:lstStyle/>
                  <a:p>
                    <a:pPr algn="l">
                      <a:defRPr sz="800">
                        <a:latin typeface="Meiryo UI" panose="020B0604030504040204" pitchFamily="50" charset="-128"/>
                        <a:ea typeface="Meiryo UI" panose="020B0604030504040204" pitchFamily="50" charset="-128"/>
                        <a:cs typeface="Meiryo UI" panose="020B0604030504040204" pitchFamily="50" charset="-128"/>
                      </a:defRPr>
                    </a:pPr>
                    <a:fld id="{C47D53B4-50A3-47B2-B4D0-5C02648C49FE}" type="CATEGORYNAME">
                      <a:rPr lang="ja-JP" altLang="en-US"/>
                      <a:pPr algn="l">
                        <a:defRPr sz="800">
                          <a:latin typeface="Meiryo UI" panose="020B0604030504040204" pitchFamily="50" charset="-128"/>
                          <a:ea typeface="Meiryo UI" panose="020B0604030504040204" pitchFamily="50" charset="-128"/>
                          <a:cs typeface="Meiryo UI" panose="020B0604030504040204" pitchFamily="50" charset="-128"/>
                        </a:defRPr>
                      </a:pPr>
                      <a:t>[分類名]</a:t>
                    </a:fld>
                    <a:r>
                      <a:rPr lang="ja-JP" altLang="en-US" baseline="0"/>
                      <a:t>
　　   </a:t>
                    </a:r>
                    <a:fld id="{094439C6-E8CC-41CD-AE76-698B375A47DB}" type="VALUE">
                      <a:rPr lang="en-US" altLang="ja-JP" baseline="0"/>
                      <a:pPr algn="l">
                        <a:defRPr sz="800">
                          <a:latin typeface="Meiryo UI" panose="020B0604030504040204" pitchFamily="50" charset="-128"/>
                          <a:ea typeface="Meiryo UI" panose="020B0604030504040204" pitchFamily="50" charset="-128"/>
                          <a:cs typeface="Meiryo UI" panose="020B0604030504040204" pitchFamily="50" charset="-128"/>
                        </a:defRPr>
                      </a:pPr>
                      <a:t>[値]</a:t>
                    </a:fld>
                    <a:r>
                      <a:rPr lang="en-US" altLang="ja-JP" baseline="0"/>
                      <a:t>
</a:t>
                    </a:r>
                    <a:r>
                      <a:rPr lang="ja-JP" altLang="en-US" baseline="0"/>
                      <a:t>　　    </a:t>
                    </a:r>
                    <a:fld id="{055AAFE7-77F7-4536-A0AD-17C1E701BB81}" type="PERCENTAGE">
                      <a:rPr lang="en-US" altLang="ja-JP" baseline="0"/>
                      <a:pPr algn="l">
                        <a:defRPr sz="800">
                          <a:latin typeface="Meiryo UI" panose="020B0604030504040204" pitchFamily="50" charset="-128"/>
                          <a:ea typeface="Meiryo UI" panose="020B0604030504040204" pitchFamily="50" charset="-128"/>
                          <a:cs typeface="Meiryo UI" panose="020B0604030504040204" pitchFamily="50" charset="-128"/>
                        </a:defRPr>
                      </a:pPr>
                      <a:t>[パーセンテージ]</a:t>
                    </a:fld>
                    <a:endParaRPr lang="ja-JP" altLang="en-US" baseline="0"/>
                  </a:p>
                </c:rich>
              </c:tx>
              <c:spPr>
                <a:noFill/>
                <a:ln>
                  <a:noFill/>
                </a:ln>
                <a:effectLst/>
              </c:spPr>
              <c:showLegendKey val="0"/>
              <c:showVal val="1"/>
              <c:showCatName val="1"/>
              <c:showSerName val="0"/>
              <c:showPercent val="1"/>
              <c:showBubbleSize val="0"/>
              <c:separator>
</c:separator>
              <c:extLst>
                <c:ext xmlns:c15="http://schemas.microsoft.com/office/drawing/2012/chart" uri="{CE6537A1-D6FC-4f65-9D91-7224C49458BB}">
                  <c15:layout>
                    <c:manualLayout>
                      <c:w val="0.2668668457259169"/>
                      <c:h val="0.27218401336196613"/>
                    </c:manualLayout>
                  </c15:layout>
                  <c15:dlblFieldTable/>
                  <c15:showDataLabelsRange val="0"/>
                </c:ext>
                <c:ext xmlns:c16="http://schemas.microsoft.com/office/drawing/2014/chart" uri="{C3380CC4-5D6E-409C-BE32-E72D297353CC}">
                  <c16:uniqueId val="{00000001-04B7-4960-A57E-F5F0C4FD2D2A}"/>
                </c:ext>
              </c:extLst>
            </c:dLbl>
            <c:dLbl>
              <c:idx val="1"/>
              <c:layout>
                <c:manualLayout>
                  <c:x val="0"/>
                  <c:y val="2.1333327360748246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3-04B7-4960-A57E-F5F0C4FD2D2A}"/>
                </c:ext>
              </c:extLst>
            </c:dLbl>
            <c:dLbl>
              <c:idx val="3"/>
              <c:layout>
                <c:manualLayout>
                  <c:x val="-0.12233083109509273"/>
                  <c:y val="0.1778733476497257"/>
                </c:manualLayout>
              </c:layout>
              <c:tx>
                <c:rich>
                  <a:bodyPr/>
                  <a:lstStyle/>
                  <a:p>
                    <a:r>
                      <a:rPr lang="ja-JP" altLang="en-US"/>
                      <a:t>都市整備</a:t>
                    </a:r>
                  </a:p>
                  <a:p>
                    <a:r>
                      <a:rPr lang="ja-JP" altLang="en-US"/>
                      <a:t>住宅まちづくり</a:t>
                    </a:r>
                  </a:p>
                  <a:p>
                    <a:r>
                      <a:rPr lang="en-US" altLang="ja-JP">
                        <a:solidFill>
                          <a:sysClr val="windowText" lastClr="000000"/>
                        </a:solidFill>
                      </a:rPr>
                      <a:t>455</a:t>
                    </a:r>
                  </a:p>
                  <a:p>
                    <a:r>
                      <a:rPr lang="en-US" altLang="ja-JP"/>
                      <a:t>3</a:t>
                    </a:r>
                    <a:r>
                      <a:rPr lang="ja-JP" altLang="en-US"/>
                      <a:t>％</a:t>
                    </a:r>
                  </a:p>
                </c:rich>
              </c:tx>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7-04B7-4960-A57E-F5F0C4FD2D2A}"/>
                </c:ext>
              </c:extLst>
            </c:dLbl>
            <c:dLbl>
              <c:idx val="4"/>
              <c:layout>
                <c:manualLayout>
                  <c:x val="-0.21712265558641905"/>
                  <c:y val="-2.6449630159866379E-2"/>
                </c:manualLayout>
              </c:layout>
              <c:tx>
                <c:rich>
                  <a:bodyPr/>
                  <a:lstStyle/>
                  <a:p>
                    <a:r>
                      <a:rPr lang="ja-JP" altLang="en-US"/>
                      <a:t>商工労働</a:t>
                    </a:r>
                  </a:p>
                  <a:p>
                    <a:r>
                      <a:rPr lang="ja-JP" altLang="en-US"/>
                      <a:t>環境農林水産</a:t>
                    </a:r>
                  </a:p>
                  <a:p>
                    <a:r>
                      <a:rPr lang="en-US" altLang="ja-JP"/>
                      <a:t>262</a:t>
                    </a:r>
                  </a:p>
                  <a:p>
                    <a:r>
                      <a:rPr lang="en-US" altLang="ja-JP"/>
                      <a:t>1%</a:t>
                    </a:r>
                  </a:p>
                </c:rich>
              </c:tx>
              <c:showLegendKey val="0"/>
              <c:showVal val="1"/>
              <c:showCatName val="1"/>
              <c:showSerName val="0"/>
              <c:showPercent val="1"/>
              <c:showBubbleSize val="0"/>
              <c:separator>
</c:separator>
              <c:extLst>
                <c:ext xmlns:c15="http://schemas.microsoft.com/office/drawing/2012/chart" uri="{CE6537A1-D6FC-4f65-9D91-7224C49458BB}">
                  <c15:layout>
                    <c:manualLayout>
                      <c:w val="0.26992646327372349"/>
                      <c:h val="0.27650221904080169"/>
                    </c:manualLayout>
                  </c15:layout>
                </c:ext>
                <c:ext xmlns:c16="http://schemas.microsoft.com/office/drawing/2014/chart" uri="{C3380CC4-5D6E-409C-BE32-E72D297353CC}">
                  <c16:uniqueId val="{00000009-04B7-4960-A57E-F5F0C4FD2D2A}"/>
                </c:ext>
              </c:extLst>
            </c:dLbl>
            <c:dLbl>
              <c:idx val="5"/>
              <c:layout>
                <c:manualLayout>
                  <c:x val="-0.23939094962527274"/>
                  <c:y val="-0.25098862642169728"/>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B-04B7-4960-A57E-F5F0C4FD2D2A}"/>
                </c:ext>
              </c:extLst>
            </c:dLbl>
            <c:dLbl>
              <c:idx val="6"/>
              <c:layout>
                <c:manualLayout>
                  <c:x val="-8.3333333333333332E-3"/>
                  <c:y val="0"/>
                </c:manualLayout>
              </c:layout>
              <c:tx>
                <c:rich>
                  <a:bodyPr/>
                  <a:lstStyle/>
                  <a:p>
                    <a:r>
                      <a:rPr lang="ja-JP" altLang="en-US">
                        <a:solidFill>
                          <a:schemeClr val="bg1"/>
                        </a:solidFill>
                      </a:rPr>
                      <a:t>公債費</a:t>
                    </a:r>
                  </a:p>
                  <a:p>
                    <a:r>
                      <a:rPr lang="en-US" altLang="ja-JP">
                        <a:solidFill>
                          <a:schemeClr val="bg1"/>
                        </a:solidFill>
                      </a:rPr>
                      <a:t>3,251
17%</a:t>
                    </a:r>
                  </a:p>
                </c:rich>
              </c:tx>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D-04B7-4960-A57E-F5F0C4FD2D2A}"/>
                </c:ext>
              </c:extLst>
            </c:dLbl>
            <c:dLbl>
              <c:idx val="7"/>
              <c:layout>
                <c:manualLayout>
                  <c:x val="-6.3820969747202649E-3"/>
                  <c:y val="1.2508617145748311E-2"/>
                </c:manualLayout>
              </c:layout>
              <c:tx>
                <c:rich>
                  <a:bodyPr/>
                  <a:lstStyle/>
                  <a:p>
                    <a:r>
                      <a:rPr lang="ja-JP" altLang="en-US">
                        <a:solidFill>
                          <a:schemeClr val="bg1"/>
                        </a:solidFill>
                      </a:rPr>
                      <a:t>税関連歳出</a:t>
                    </a:r>
                  </a:p>
                  <a:p>
                    <a:r>
                      <a:rPr lang="en-US" altLang="ja-JP">
                        <a:solidFill>
                          <a:schemeClr val="bg1"/>
                        </a:solidFill>
                      </a:rPr>
                      <a:t>2,268
12%</a:t>
                    </a:r>
                  </a:p>
                </c:rich>
              </c:tx>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F-04B7-4960-A57E-F5F0C4FD2D2A}"/>
                </c:ext>
              </c:extLst>
            </c:dLbl>
            <c:spPr>
              <a:noFill/>
              <a:ln>
                <a:noFill/>
              </a:ln>
              <a:effectLst/>
            </c:spPr>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showLegendKey val="0"/>
            <c:showVal val="1"/>
            <c:showCatName val="1"/>
            <c:showSerName val="0"/>
            <c:showPercent val="1"/>
            <c:showBubbleSize val="0"/>
            <c:separator>
</c:separator>
            <c:showLeaderLines val="1"/>
            <c:extLst>
              <c:ext xmlns:c15="http://schemas.microsoft.com/office/drawing/2012/chart" uri="{CE6537A1-D6FC-4f65-9D91-7224C49458BB}">
                <c15:layout/>
              </c:ext>
            </c:extLst>
          </c:dLbls>
          <c:cat>
            <c:strRef>
              <c:f>まとめ②グラフ!$B$24:$B$31</c:f>
              <c:strCache>
                <c:ptCount val="8"/>
                <c:pt idx="0">
                  <c:v>福祉・健康医療</c:v>
                </c:pt>
                <c:pt idx="1">
                  <c:v>教育</c:v>
                </c:pt>
                <c:pt idx="2">
                  <c:v>警察</c:v>
                </c:pt>
                <c:pt idx="3">
                  <c:v>都市整備　住宅まちづくり</c:v>
                </c:pt>
                <c:pt idx="4">
                  <c:v>商工労働　環境農林水産</c:v>
                </c:pt>
                <c:pt idx="5">
                  <c:v>その他</c:v>
                </c:pt>
                <c:pt idx="6">
                  <c:v>公債費</c:v>
                </c:pt>
                <c:pt idx="7">
                  <c:v>税関連歳出</c:v>
                </c:pt>
              </c:strCache>
            </c:strRef>
          </c:cat>
          <c:val>
            <c:numRef>
              <c:f>まとめ②グラフ!$C$24:$C$31</c:f>
              <c:numCache>
                <c:formatCode>#,##0</c:formatCode>
                <c:ptCount val="8"/>
                <c:pt idx="0">
                  <c:v>5351</c:v>
                </c:pt>
                <c:pt idx="1">
                  <c:v>4189</c:v>
                </c:pt>
                <c:pt idx="2">
                  <c:v>2537</c:v>
                </c:pt>
                <c:pt idx="3">
                  <c:v>455</c:v>
                </c:pt>
                <c:pt idx="4">
                  <c:v>262</c:v>
                </c:pt>
                <c:pt idx="5">
                  <c:v>829</c:v>
                </c:pt>
                <c:pt idx="6">
                  <c:v>3251</c:v>
                </c:pt>
                <c:pt idx="7">
                  <c:v>2268</c:v>
                </c:pt>
              </c:numCache>
            </c:numRef>
          </c:val>
          <c:extLst>
            <c:ext xmlns:c16="http://schemas.microsoft.com/office/drawing/2014/chart" uri="{C3380CC4-5D6E-409C-BE32-E72D297353CC}">
              <c16:uniqueId val="{00000010-04B7-4960-A57E-F5F0C4FD2D2A}"/>
            </c:ext>
          </c:extLst>
        </c:ser>
        <c:dLbls>
          <c:showLegendKey val="0"/>
          <c:showVal val="0"/>
          <c:showCatName val="1"/>
          <c:showSerName val="0"/>
          <c:showPercent val="1"/>
          <c:showBubbleSize val="0"/>
          <c:showLeaderLines val="1"/>
        </c:dLbls>
        <c:firstSliceAng val="0"/>
        <c:holeSize val="40"/>
      </c:doughnutChart>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spPr>
            <a:ln w="9525">
              <a:solidFill>
                <a:schemeClr val="tx1"/>
              </a:solidFill>
            </a:ln>
          </c:spPr>
          <c:dPt>
            <c:idx val="0"/>
            <c:bubble3D val="0"/>
            <c:spPr>
              <a:solidFill>
                <a:schemeClr val="accent1"/>
              </a:solidFill>
              <a:ln w="9525">
                <a:solidFill>
                  <a:schemeClr val="tx1"/>
                </a:solidFill>
              </a:ln>
              <a:effectLst/>
            </c:spPr>
            <c:extLst>
              <c:ext xmlns:c16="http://schemas.microsoft.com/office/drawing/2014/chart" uri="{C3380CC4-5D6E-409C-BE32-E72D297353CC}">
                <c16:uniqueId val="{00000001-2B65-4491-BEAA-D2EC14429744}"/>
              </c:ext>
            </c:extLst>
          </c:dPt>
          <c:dPt>
            <c:idx val="1"/>
            <c:bubble3D val="0"/>
            <c:spPr>
              <a:solidFill>
                <a:schemeClr val="accent6">
                  <a:lumMod val="75000"/>
                </a:schemeClr>
              </a:solidFill>
              <a:ln w="9525">
                <a:solidFill>
                  <a:schemeClr val="tx1"/>
                </a:solidFill>
              </a:ln>
              <a:effectLst/>
            </c:spPr>
            <c:extLst>
              <c:ext xmlns:c16="http://schemas.microsoft.com/office/drawing/2014/chart" uri="{C3380CC4-5D6E-409C-BE32-E72D297353CC}">
                <c16:uniqueId val="{00000003-2B65-4491-BEAA-D2EC14429744}"/>
              </c:ext>
            </c:extLst>
          </c:dPt>
          <c:dPt>
            <c:idx val="2"/>
            <c:bubble3D val="0"/>
            <c:spPr>
              <a:solidFill>
                <a:schemeClr val="accent3"/>
              </a:solidFill>
              <a:ln w="9525">
                <a:solidFill>
                  <a:schemeClr val="tx1"/>
                </a:solidFill>
              </a:ln>
              <a:effectLst/>
            </c:spPr>
            <c:extLst>
              <c:ext xmlns:c16="http://schemas.microsoft.com/office/drawing/2014/chart" uri="{C3380CC4-5D6E-409C-BE32-E72D297353CC}">
                <c16:uniqueId val="{00000005-2B65-4491-BEAA-D2EC14429744}"/>
              </c:ext>
            </c:extLst>
          </c:dPt>
          <c:dPt>
            <c:idx val="3"/>
            <c:bubble3D val="0"/>
            <c:spPr>
              <a:solidFill>
                <a:schemeClr val="accent4">
                  <a:lumMod val="40000"/>
                  <a:lumOff val="60000"/>
                </a:schemeClr>
              </a:solidFill>
              <a:ln w="9525">
                <a:solidFill>
                  <a:schemeClr val="tx1"/>
                </a:solidFill>
              </a:ln>
              <a:effectLst/>
            </c:spPr>
            <c:extLst>
              <c:ext xmlns:c16="http://schemas.microsoft.com/office/drawing/2014/chart" uri="{C3380CC4-5D6E-409C-BE32-E72D297353CC}">
                <c16:uniqueId val="{00000007-2B65-4491-BEAA-D2EC14429744}"/>
              </c:ext>
            </c:extLst>
          </c:dPt>
          <c:dPt>
            <c:idx val="4"/>
            <c:bubble3D val="0"/>
            <c:spPr>
              <a:solidFill>
                <a:schemeClr val="accent5"/>
              </a:solidFill>
              <a:ln w="9525">
                <a:solidFill>
                  <a:schemeClr val="tx1"/>
                </a:solidFill>
              </a:ln>
              <a:effectLst/>
            </c:spPr>
            <c:extLst>
              <c:ext xmlns:c16="http://schemas.microsoft.com/office/drawing/2014/chart" uri="{C3380CC4-5D6E-409C-BE32-E72D297353CC}">
                <c16:uniqueId val="{00000009-2B65-4491-BEAA-D2EC14429744}"/>
              </c:ext>
            </c:extLst>
          </c:dPt>
          <c:dPt>
            <c:idx val="5"/>
            <c:bubble3D val="0"/>
            <c:spPr>
              <a:solidFill>
                <a:schemeClr val="accent6"/>
              </a:solidFill>
              <a:ln w="9525">
                <a:solidFill>
                  <a:schemeClr val="tx1"/>
                </a:solidFill>
              </a:ln>
              <a:effectLst/>
            </c:spPr>
            <c:extLst>
              <c:ext xmlns:c16="http://schemas.microsoft.com/office/drawing/2014/chart" uri="{C3380CC4-5D6E-409C-BE32-E72D297353CC}">
                <c16:uniqueId val="{0000000B-2B65-4491-BEAA-D2EC14429744}"/>
              </c:ext>
            </c:extLst>
          </c:dPt>
          <c:dPt>
            <c:idx val="6"/>
            <c:bubble3D val="0"/>
            <c:spPr>
              <a:solidFill>
                <a:schemeClr val="accent1">
                  <a:lumMod val="60000"/>
                </a:schemeClr>
              </a:solidFill>
              <a:ln w="9525">
                <a:solidFill>
                  <a:schemeClr val="tx1"/>
                </a:solidFill>
              </a:ln>
              <a:effectLst/>
            </c:spPr>
            <c:extLst>
              <c:ext xmlns:c16="http://schemas.microsoft.com/office/drawing/2014/chart" uri="{C3380CC4-5D6E-409C-BE32-E72D297353CC}">
                <c16:uniqueId val="{0000000D-2B65-4491-BEAA-D2EC14429744}"/>
              </c:ext>
            </c:extLst>
          </c:dPt>
          <c:dLbls>
            <c:dLbl>
              <c:idx val="1"/>
              <c:layout>
                <c:manualLayout>
                  <c:x val="-7.2072072072072949E-3"/>
                  <c:y val="-4.3773254541475161E-2"/>
                </c:manualLayout>
              </c:layout>
              <c:tx>
                <c:rich>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r>
                      <a:rPr lang="ja-JP" altLang="en-US" sz="700">
                        <a:solidFill>
                          <a:sysClr val="windowText" lastClr="000000"/>
                        </a:solidFill>
                      </a:rPr>
                      <a:t>府税</a:t>
                    </a:r>
                  </a:p>
                  <a:p>
                    <a:pPr>
                      <a:defRPr sz="700">
                        <a:solidFill>
                          <a:sysClr val="windowText" lastClr="000000"/>
                        </a:solidFill>
                        <a:latin typeface="Meiryo UI" panose="020B0604030504040204" pitchFamily="50" charset="-128"/>
                        <a:ea typeface="Meiryo UI" panose="020B0604030504040204" pitchFamily="50" charset="-128"/>
                      </a:defRPr>
                    </a:pPr>
                    <a:r>
                      <a:rPr lang="en-US" altLang="ja-JP" sz="700">
                        <a:solidFill>
                          <a:sysClr val="windowText" lastClr="000000"/>
                        </a:solidFill>
                      </a:rPr>
                      <a:t>12,844</a:t>
                    </a:r>
                  </a:p>
                  <a:p>
                    <a:pPr>
                      <a:defRPr sz="700">
                        <a:solidFill>
                          <a:sysClr val="windowText" lastClr="000000"/>
                        </a:solidFill>
                        <a:latin typeface="Meiryo UI" panose="020B0604030504040204" pitchFamily="50" charset="-128"/>
                        <a:ea typeface="Meiryo UI" panose="020B0604030504040204" pitchFamily="50" charset="-128"/>
                      </a:defRPr>
                    </a:pPr>
                    <a:r>
                      <a:rPr lang="en-US" altLang="ja-JP" sz="700">
                        <a:solidFill>
                          <a:sysClr val="windowText" lastClr="000000"/>
                        </a:solidFill>
                      </a:rPr>
                      <a:t>49%</a:t>
                    </a:r>
                  </a:p>
                  <a:p>
                    <a:pPr>
                      <a:defRPr sz="700">
                        <a:solidFill>
                          <a:sysClr val="windowText" lastClr="000000"/>
                        </a:solidFill>
                        <a:latin typeface="Meiryo UI" panose="020B0604030504040204" pitchFamily="50" charset="-128"/>
                        <a:ea typeface="Meiryo UI" panose="020B0604030504040204" pitchFamily="50" charset="-128"/>
                      </a:defRPr>
                    </a:pPr>
                    <a:r>
                      <a:rPr lang="ja-JP" altLang="en-US" sz="700">
                        <a:solidFill>
                          <a:sysClr val="windowText" lastClr="000000"/>
                        </a:solidFill>
                      </a:rPr>
                      <a:t>（</a:t>
                    </a:r>
                    <a:r>
                      <a:rPr lang="en-US" altLang="ja-JP" sz="700">
                        <a:solidFill>
                          <a:sysClr val="windowText" lastClr="000000"/>
                        </a:solidFill>
                      </a:rPr>
                      <a:t>67%</a:t>
                    </a:r>
                    <a:r>
                      <a:rPr lang="ja-JP" altLang="en-US" sz="700">
                        <a:solidFill>
                          <a:sysClr val="windowText" lastClr="000000"/>
                        </a:solidFill>
                      </a:rPr>
                      <a:t>）</a:t>
                    </a:r>
                  </a:p>
                </c:rich>
              </c:tx>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3-2B65-4491-BEAA-D2EC14429744}"/>
                </c:ext>
              </c:extLst>
            </c:dLbl>
            <c:dLbl>
              <c:idx val="2"/>
              <c:layout>
                <c:manualLayout>
                  <c:x val="5.6836679198883919E-3"/>
                  <c:y val="5.4716568176843949E-2"/>
                </c:manualLayout>
              </c:layout>
              <c:tx>
                <c:rich>
                  <a:bodyPr rot="0" spcFirstLastPara="1" vertOverflow="ellipsis" vert="horz" wrap="square" lIns="38100" tIns="19050" rIns="38100" bIns="19050" anchor="ctr" anchorCtr="1">
                    <a:noAutofit/>
                  </a:bodyPr>
                  <a:lstStyle/>
                  <a:p>
                    <a:pPr>
                      <a:defRPr sz="700" b="0"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r>
                      <a:rPr lang="ja-JP" altLang="en-US" sz="700">
                        <a:solidFill>
                          <a:sysClr val="windowText" lastClr="000000"/>
                        </a:solidFill>
                      </a:rPr>
                      <a:t>交付税等</a:t>
                    </a:r>
                  </a:p>
                  <a:p>
                    <a:pPr>
                      <a:defRPr sz="700">
                        <a:solidFill>
                          <a:sysClr val="windowText" lastClr="000000"/>
                        </a:solidFill>
                        <a:latin typeface="Meiryo UI" panose="020B0604030504040204" pitchFamily="50" charset="-128"/>
                        <a:ea typeface="Meiryo UI" panose="020B0604030504040204" pitchFamily="50" charset="-128"/>
                      </a:defRPr>
                    </a:pPr>
                    <a:r>
                      <a:rPr lang="en-US" altLang="ja-JP" sz="700">
                        <a:solidFill>
                          <a:sysClr val="windowText" lastClr="000000"/>
                        </a:solidFill>
                      </a:rPr>
                      <a:t>4,079</a:t>
                    </a:r>
                  </a:p>
                  <a:p>
                    <a:pPr>
                      <a:defRPr sz="700">
                        <a:solidFill>
                          <a:sysClr val="windowText" lastClr="000000"/>
                        </a:solidFill>
                        <a:latin typeface="Meiryo UI" panose="020B0604030504040204" pitchFamily="50" charset="-128"/>
                        <a:ea typeface="Meiryo UI" panose="020B0604030504040204" pitchFamily="50" charset="-128"/>
                      </a:defRPr>
                    </a:pPr>
                    <a:r>
                      <a:rPr lang="en-US" altLang="ja-JP" sz="700">
                        <a:solidFill>
                          <a:sysClr val="windowText" lastClr="000000"/>
                        </a:solidFill>
                      </a:rPr>
                      <a:t>16%</a:t>
                    </a:r>
                  </a:p>
                  <a:p>
                    <a:pPr>
                      <a:defRPr sz="700">
                        <a:solidFill>
                          <a:sysClr val="windowText" lastClr="000000"/>
                        </a:solidFill>
                        <a:latin typeface="Meiryo UI" panose="020B0604030504040204" pitchFamily="50" charset="-128"/>
                        <a:ea typeface="Meiryo UI" panose="020B0604030504040204" pitchFamily="50" charset="-128"/>
                      </a:defRPr>
                    </a:pPr>
                    <a:r>
                      <a:rPr lang="ja-JP" altLang="en-US" sz="700">
                        <a:solidFill>
                          <a:sysClr val="windowText" lastClr="000000"/>
                        </a:solidFill>
                      </a:rPr>
                      <a:t>（</a:t>
                    </a:r>
                    <a:r>
                      <a:rPr lang="en-US" altLang="ja-JP" sz="700">
                        <a:solidFill>
                          <a:sysClr val="windowText" lastClr="000000"/>
                        </a:solidFill>
                      </a:rPr>
                      <a:t>21%</a:t>
                    </a:r>
                    <a:r>
                      <a:rPr lang="ja-JP" altLang="en-US" sz="700">
                        <a:solidFill>
                          <a:sysClr val="windowText" lastClr="000000"/>
                        </a:solidFill>
                      </a:rPr>
                      <a:t>）</a:t>
                    </a:r>
                  </a:p>
                </c:rich>
              </c:tx>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showLegendKey val="0"/>
              <c:showVal val="1"/>
              <c:showCatName val="1"/>
              <c:showSerName val="0"/>
              <c:showPercent val="1"/>
              <c:showBubbleSize val="0"/>
              <c:separator>
</c:separator>
              <c:extLst>
                <c:ext xmlns:c15="http://schemas.microsoft.com/office/drawing/2012/chart" uri="{CE6537A1-D6FC-4f65-9D91-7224C49458BB}">
                  <c15:layout>
                    <c:manualLayout>
                      <c:w val="0.11291291291291292"/>
                      <c:h val="0.23935215583278616"/>
                    </c:manualLayout>
                  </c15:layout>
                </c:ext>
                <c:ext xmlns:c16="http://schemas.microsoft.com/office/drawing/2014/chart" uri="{C3380CC4-5D6E-409C-BE32-E72D297353CC}">
                  <c16:uniqueId val="{00000005-2B65-4491-BEAA-D2EC14429744}"/>
                </c:ext>
              </c:extLst>
            </c:dLbl>
            <c:dLbl>
              <c:idx val="3"/>
              <c:layout>
                <c:manualLayout>
                  <c:x val="-9.3586247664987868E-2"/>
                  <c:y val="0.1722515480049564"/>
                </c:manualLayout>
              </c:layout>
              <c:tx>
                <c:rich>
                  <a:bodyPr rot="0" spcFirstLastPara="1" vertOverflow="ellipsis" vert="horz" wrap="square" lIns="38100" tIns="19050" rIns="38100" bIns="19050" anchor="ctr" anchorCtr="1">
                    <a:noAutofit/>
                  </a:bodyPr>
                  <a:lstStyle/>
                  <a:p>
                    <a:pPr>
                      <a:defRPr sz="700" b="0"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r>
                      <a:rPr lang="ja-JP" altLang="en-US" sz="700">
                        <a:solidFill>
                          <a:sysClr val="windowText" lastClr="000000"/>
                        </a:solidFill>
                      </a:rPr>
                      <a:t>その他の一般財源（</a:t>
                    </a:r>
                    <a:r>
                      <a:rPr lang="en-US" altLang="ja-JP" sz="700">
                        <a:solidFill>
                          <a:sysClr val="windowText" lastClr="000000"/>
                        </a:solidFill>
                      </a:rPr>
                      <a:t>※</a:t>
                    </a:r>
                    <a:r>
                      <a:rPr lang="ja-JP" altLang="en-US" sz="700">
                        <a:solidFill>
                          <a:sysClr val="windowText" lastClr="000000"/>
                        </a:solidFill>
                      </a:rPr>
                      <a:t>２）</a:t>
                    </a:r>
                  </a:p>
                  <a:p>
                    <a:pPr>
                      <a:defRPr sz="700">
                        <a:solidFill>
                          <a:sysClr val="windowText" lastClr="000000"/>
                        </a:solidFill>
                        <a:latin typeface="Meiryo UI" panose="020B0604030504040204" pitchFamily="50" charset="-128"/>
                        <a:ea typeface="Meiryo UI" panose="020B0604030504040204" pitchFamily="50" charset="-128"/>
                      </a:defRPr>
                    </a:pPr>
                    <a:r>
                      <a:rPr lang="en-US" altLang="ja-JP" sz="700">
                        <a:solidFill>
                          <a:sysClr val="windowText" lastClr="000000"/>
                        </a:solidFill>
                      </a:rPr>
                      <a:t>2,219</a:t>
                    </a:r>
                  </a:p>
                  <a:p>
                    <a:pPr>
                      <a:defRPr sz="700">
                        <a:solidFill>
                          <a:sysClr val="windowText" lastClr="000000"/>
                        </a:solidFill>
                        <a:latin typeface="Meiryo UI" panose="020B0604030504040204" pitchFamily="50" charset="-128"/>
                        <a:ea typeface="Meiryo UI" panose="020B0604030504040204" pitchFamily="50" charset="-128"/>
                      </a:defRPr>
                    </a:pPr>
                    <a:r>
                      <a:rPr lang="en-US" altLang="ja-JP" sz="700">
                        <a:solidFill>
                          <a:sysClr val="windowText" lastClr="000000"/>
                        </a:solidFill>
                      </a:rPr>
                      <a:t>9%</a:t>
                    </a:r>
                  </a:p>
                  <a:p>
                    <a:pPr>
                      <a:defRPr sz="700">
                        <a:solidFill>
                          <a:sysClr val="windowText" lastClr="000000"/>
                        </a:solidFill>
                        <a:latin typeface="Meiryo UI" panose="020B0604030504040204" pitchFamily="50" charset="-128"/>
                        <a:ea typeface="Meiryo UI" panose="020B0604030504040204" pitchFamily="50" charset="-128"/>
                      </a:defRPr>
                    </a:pPr>
                    <a:r>
                      <a:rPr lang="ja-JP" altLang="en-US" sz="700">
                        <a:solidFill>
                          <a:sysClr val="windowText" lastClr="000000"/>
                        </a:solidFill>
                      </a:rPr>
                      <a:t>（</a:t>
                    </a:r>
                    <a:r>
                      <a:rPr lang="en-US" altLang="ja-JP" sz="700">
                        <a:solidFill>
                          <a:sysClr val="windowText" lastClr="000000"/>
                        </a:solidFill>
                      </a:rPr>
                      <a:t>12%</a:t>
                    </a:r>
                    <a:r>
                      <a:rPr lang="ja-JP" altLang="en-US" sz="700">
                        <a:solidFill>
                          <a:sysClr val="windowText" lastClr="000000"/>
                        </a:solidFill>
                      </a:rPr>
                      <a:t>）</a:t>
                    </a:r>
                  </a:p>
                </c:rich>
              </c:tx>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showLegendKey val="0"/>
              <c:showVal val="1"/>
              <c:showCatName val="1"/>
              <c:showSerName val="0"/>
              <c:showPercent val="1"/>
              <c:showBubbleSize val="0"/>
              <c:separator>
</c:separator>
              <c:extLst>
                <c:ext xmlns:c15="http://schemas.microsoft.com/office/drawing/2012/chart" uri="{CE6537A1-D6FC-4f65-9D91-7224C49458BB}">
                  <c15:layout>
                    <c:manualLayout>
                      <c:w val="0.16321921921921922"/>
                      <c:h val="0.28312541037426137"/>
                    </c:manualLayout>
                  </c15:layout>
                </c:ext>
                <c:ext xmlns:c16="http://schemas.microsoft.com/office/drawing/2014/chart" uri="{C3380CC4-5D6E-409C-BE32-E72D297353CC}">
                  <c16:uniqueId val="{00000007-2B65-4491-BEAA-D2EC14429744}"/>
                </c:ext>
              </c:extLst>
            </c:dLbl>
            <c:dLbl>
              <c:idx val="4"/>
              <c:delete val="1"/>
              <c:extLst>
                <c:ext xmlns:c15="http://schemas.microsoft.com/office/drawing/2012/chart" uri="{CE6537A1-D6FC-4f65-9D91-7224C49458BB}"/>
                <c:ext xmlns:c16="http://schemas.microsoft.com/office/drawing/2014/chart" uri="{C3380CC4-5D6E-409C-BE32-E72D297353CC}">
                  <c16:uniqueId val="{00000009-2B65-4491-BEAA-D2EC14429744}"/>
                </c:ext>
              </c:extLst>
            </c:dLbl>
            <c:dLbl>
              <c:idx val="5"/>
              <c:delete val="1"/>
              <c:extLst>
                <c:ext xmlns:c15="http://schemas.microsoft.com/office/drawing/2012/chart" uri="{CE6537A1-D6FC-4f65-9D91-7224C49458BB}"/>
                <c:ext xmlns:c16="http://schemas.microsoft.com/office/drawing/2014/chart" uri="{C3380CC4-5D6E-409C-BE32-E72D297353CC}">
                  <c16:uniqueId val="{0000000B-2B65-4491-BEAA-D2EC14429744}"/>
                </c:ext>
              </c:extLst>
            </c:dLbl>
            <c:dLbl>
              <c:idx val="6"/>
              <c:delete val="1"/>
              <c:extLst>
                <c:ext xmlns:c15="http://schemas.microsoft.com/office/drawing/2012/chart" uri="{CE6537A1-D6FC-4f65-9D91-7224C49458BB}"/>
                <c:ext xmlns:c16="http://schemas.microsoft.com/office/drawing/2014/chart" uri="{C3380CC4-5D6E-409C-BE32-E72D297353CC}">
                  <c16:uniqueId val="{0000000D-2B65-4491-BEAA-D2EC14429744}"/>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eiryo UI" panose="020B0604030504040204" pitchFamily="50" charset="-128"/>
                    <a:ea typeface="Meiryo UI" panose="020B0604030504040204" pitchFamily="50" charset="-128"/>
                    <a:cs typeface="+mn-cs"/>
                  </a:defRPr>
                </a:pPr>
                <a:endParaRPr lang="ja-JP"/>
              </a:p>
            </c:txPr>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まとめ②グラフ!$B$5:$B$11</c:f>
              <c:strCache>
                <c:ptCount val="7"/>
                <c:pt idx="0">
                  <c:v>一般財源</c:v>
                </c:pt>
                <c:pt idx="1">
                  <c:v>府税</c:v>
                </c:pt>
                <c:pt idx="2">
                  <c:v>交付税等</c:v>
                </c:pt>
                <c:pt idx="3">
                  <c:v>その他(※2)</c:v>
                </c:pt>
                <c:pt idx="4">
                  <c:v>国庫支出金</c:v>
                </c:pt>
                <c:pt idx="5">
                  <c:v>府債(※1)</c:v>
                </c:pt>
                <c:pt idx="6">
                  <c:v>その他</c:v>
                </c:pt>
              </c:strCache>
            </c:strRef>
          </c:cat>
          <c:val>
            <c:numRef>
              <c:f>まとめ②グラフ!$C$5:$C$11</c:f>
              <c:numCache>
                <c:formatCode>#,##0_);[Red]\(#,##0\)</c:formatCode>
                <c:ptCount val="7"/>
                <c:pt idx="1">
                  <c:v>12844</c:v>
                </c:pt>
                <c:pt idx="2">
                  <c:v>4079</c:v>
                </c:pt>
                <c:pt idx="3">
                  <c:v>2219</c:v>
                </c:pt>
                <c:pt idx="4" formatCode="General">
                  <c:v>2002</c:v>
                </c:pt>
                <c:pt idx="5" formatCode="General">
                  <c:v>883</c:v>
                </c:pt>
                <c:pt idx="6" formatCode="General">
                  <c:v>3956</c:v>
                </c:pt>
              </c:numCache>
            </c:numRef>
          </c:val>
          <c:extLst>
            <c:ext xmlns:c16="http://schemas.microsoft.com/office/drawing/2014/chart" uri="{C3380CC4-5D6E-409C-BE32-E72D297353CC}">
              <c16:uniqueId val="{0000000E-2B65-4491-BEAA-D2EC14429744}"/>
            </c:ext>
          </c:extLst>
        </c:ser>
        <c:ser>
          <c:idx val="1"/>
          <c:order val="1"/>
          <c:spPr>
            <a:ln w="9525">
              <a:solidFill>
                <a:schemeClr val="tx1"/>
              </a:solidFill>
            </a:ln>
          </c:spPr>
          <c:dPt>
            <c:idx val="0"/>
            <c:bubble3D val="0"/>
            <c:spPr>
              <a:solidFill>
                <a:schemeClr val="accent6">
                  <a:lumMod val="40000"/>
                  <a:lumOff val="60000"/>
                </a:schemeClr>
              </a:solidFill>
              <a:ln w="9525">
                <a:solidFill>
                  <a:schemeClr val="tx1"/>
                </a:solidFill>
              </a:ln>
              <a:effectLst/>
            </c:spPr>
            <c:extLst>
              <c:ext xmlns:c16="http://schemas.microsoft.com/office/drawing/2014/chart" uri="{C3380CC4-5D6E-409C-BE32-E72D297353CC}">
                <c16:uniqueId val="{00000010-2B65-4491-BEAA-D2EC14429744}"/>
              </c:ext>
            </c:extLst>
          </c:dPt>
          <c:dPt>
            <c:idx val="1"/>
            <c:bubble3D val="0"/>
            <c:spPr>
              <a:solidFill>
                <a:schemeClr val="accent2"/>
              </a:solidFill>
              <a:ln w="9525">
                <a:solidFill>
                  <a:schemeClr val="tx1"/>
                </a:solidFill>
              </a:ln>
              <a:effectLst/>
            </c:spPr>
            <c:extLst>
              <c:ext xmlns:c16="http://schemas.microsoft.com/office/drawing/2014/chart" uri="{C3380CC4-5D6E-409C-BE32-E72D297353CC}">
                <c16:uniqueId val="{00000012-2B65-4491-BEAA-D2EC14429744}"/>
              </c:ext>
            </c:extLst>
          </c:dPt>
          <c:dPt>
            <c:idx val="2"/>
            <c:bubble3D val="0"/>
            <c:spPr>
              <a:solidFill>
                <a:schemeClr val="accent3"/>
              </a:solidFill>
              <a:ln w="9525">
                <a:solidFill>
                  <a:schemeClr val="tx1"/>
                </a:solidFill>
              </a:ln>
              <a:effectLst/>
            </c:spPr>
            <c:extLst>
              <c:ext xmlns:c16="http://schemas.microsoft.com/office/drawing/2014/chart" uri="{C3380CC4-5D6E-409C-BE32-E72D297353CC}">
                <c16:uniqueId val="{00000014-2B65-4491-BEAA-D2EC14429744}"/>
              </c:ext>
            </c:extLst>
          </c:dPt>
          <c:dPt>
            <c:idx val="3"/>
            <c:bubble3D val="0"/>
            <c:spPr>
              <a:solidFill>
                <a:schemeClr val="accent4"/>
              </a:solidFill>
              <a:ln w="9525">
                <a:solidFill>
                  <a:schemeClr val="tx1"/>
                </a:solidFill>
              </a:ln>
              <a:effectLst/>
            </c:spPr>
            <c:extLst>
              <c:ext xmlns:c16="http://schemas.microsoft.com/office/drawing/2014/chart" uri="{C3380CC4-5D6E-409C-BE32-E72D297353CC}">
                <c16:uniqueId val="{00000016-2B65-4491-BEAA-D2EC14429744}"/>
              </c:ext>
            </c:extLst>
          </c:dPt>
          <c:dPt>
            <c:idx val="4"/>
            <c:bubble3D val="0"/>
            <c:spPr>
              <a:solidFill>
                <a:schemeClr val="accent5"/>
              </a:solidFill>
              <a:ln w="9525">
                <a:solidFill>
                  <a:schemeClr val="tx1"/>
                </a:solidFill>
              </a:ln>
              <a:effectLst/>
            </c:spPr>
            <c:extLst>
              <c:ext xmlns:c16="http://schemas.microsoft.com/office/drawing/2014/chart" uri="{C3380CC4-5D6E-409C-BE32-E72D297353CC}">
                <c16:uniqueId val="{00000018-2B65-4491-BEAA-D2EC14429744}"/>
              </c:ext>
            </c:extLst>
          </c:dPt>
          <c:dPt>
            <c:idx val="5"/>
            <c:bubble3D val="0"/>
            <c:spPr>
              <a:solidFill>
                <a:schemeClr val="accent6"/>
              </a:solidFill>
              <a:ln w="9525">
                <a:solidFill>
                  <a:schemeClr val="tx1"/>
                </a:solidFill>
              </a:ln>
              <a:effectLst/>
            </c:spPr>
            <c:extLst>
              <c:ext xmlns:c16="http://schemas.microsoft.com/office/drawing/2014/chart" uri="{C3380CC4-5D6E-409C-BE32-E72D297353CC}">
                <c16:uniqueId val="{0000001A-2B65-4491-BEAA-D2EC14429744}"/>
              </c:ext>
            </c:extLst>
          </c:dPt>
          <c:dPt>
            <c:idx val="6"/>
            <c:bubble3D val="0"/>
            <c:spPr>
              <a:solidFill>
                <a:schemeClr val="accent1">
                  <a:lumMod val="60000"/>
                </a:schemeClr>
              </a:solidFill>
              <a:ln w="9525">
                <a:solidFill>
                  <a:schemeClr val="tx1"/>
                </a:solidFill>
              </a:ln>
              <a:effectLst/>
            </c:spPr>
            <c:extLst>
              <c:ext xmlns:c16="http://schemas.microsoft.com/office/drawing/2014/chart" uri="{C3380CC4-5D6E-409C-BE32-E72D297353CC}">
                <c16:uniqueId val="{0000001C-2B65-4491-BEAA-D2EC14429744}"/>
              </c:ext>
            </c:extLst>
          </c:dPt>
          <c:dLbls>
            <c:dLbl>
              <c:idx val="0"/>
              <c:layout>
                <c:manualLayout>
                  <c:x val="9.1293372112269747E-2"/>
                  <c:y val="-0.25778276402252082"/>
                </c:manualLayout>
              </c:layout>
              <c:tx>
                <c:rich>
                  <a:bodyPr rot="0" spcFirstLastPara="1" vertOverflow="ellipsis" vert="horz" wrap="square" lIns="38100" tIns="19050" rIns="38100" bIns="19050" anchor="ctr" anchorCtr="1">
                    <a:noAutofit/>
                  </a:bodyPr>
                  <a:lstStyle/>
                  <a:p>
                    <a:pPr>
                      <a:defRPr sz="900" b="0" i="0" u="none" strike="noStrike" kern="1200" baseline="0">
                        <a:ln w="9525" cap="sq" cmpd="sng">
                          <a:solidFill>
                            <a:schemeClr val="tx1"/>
                          </a:solidFill>
                          <a:miter lim="800000"/>
                        </a:ln>
                        <a:solidFill>
                          <a:schemeClr val="tx1"/>
                        </a:solidFill>
                        <a:effectLst>
                          <a:glow rad="101600">
                            <a:schemeClr val="accent6">
                              <a:satMod val="175000"/>
                              <a:alpha val="40000"/>
                            </a:schemeClr>
                          </a:glow>
                          <a:innerShdw blurRad="63500" dist="50800">
                            <a:prstClr val="black">
                              <a:alpha val="50000"/>
                            </a:prstClr>
                          </a:innerShdw>
                        </a:effectLst>
                        <a:latin typeface="Meiryo UI" panose="020B0604030504040204" pitchFamily="50" charset="-128"/>
                        <a:ea typeface="Meiryo UI" panose="020B0604030504040204" pitchFamily="50" charset="-128"/>
                        <a:cs typeface="+mn-cs"/>
                      </a:defRPr>
                    </a:pPr>
                    <a:fld id="{5B60B6EA-A64E-42DE-8516-2A3670597D3E}" type="CATEGORYNAME">
                      <a:rPr lang="ja-JP" altLang="en-US" sz="900">
                        <a:ln w="9525" cap="sq" cmpd="sng">
                          <a:solidFill>
                            <a:schemeClr val="tx1"/>
                          </a:solidFill>
                          <a:miter lim="800000"/>
                        </a:ln>
                        <a:solidFill>
                          <a:schemeClr val="tx1"/>
                        </a:solidFill>
                        <a:effectLst>
                          <a:glow rad="101600">
                            <a:schemeClr val="accent6">
                              <a:satMod val="175000"/>
                              <a:alpha val="40000"/>
                            </a:schemeClr>
                          </a:glow>
                          <a:innerShdw blurRad="63500" dist="50800">
                            <a:prstClr val="black">
                              <a:alpha val="50000"/>
                            </a:prstClr>
                          </a:innerShdw>
                        </a:effectLst>
                      </a:rPr>
                      <a:pPr>
                        <a:defRPr>
                          <a:ln w="9525" cap="sq" cmpd="sng">
                            <a:solidFill>
                              <a:schemeClr val="tx1"/>
                            </a:solidFill>
                            <a:miter lim="800000"/>
                          </a:ln>
                          <a:solidFill>
                            <a:schemeClr val="tx1"/>
                          </a:solidFill>
                          <a:effectLst>
                            <a:glow rad="101600">
                              <a:schemeClr val="accent6">
                                <a:satMod val="175000"/>
                                <a:alpha val="40000"/>
                              </a:schemeClr>
                            </a:glow>
                            <a:innerShdw blurRad="63500" dist="50800">
                              <a:prstClr val="black">
                                <a:alpha val="50000"/>
                              </a:prstClr>
                            </a:innerShdw>
                          </a:effectLst>
                          <a:latin typeface="Meiryo UI" panose="020B0604030504040204" pitchFamily="50" charset="-128"/>
                          <a:ea typeface="Meiryo UI" panose="020B0604030504040204" pitchFamily="50" charset="-128"/>
                        </a:defRPr>
                      </a:pPr>
                      <a:t>[分類名]</a:t>
                    </a:fld>
                    <a:r>
                      <a:rPr lang="ja-JP" altLang="en-US" sz="900" baseline="0">
                        <a:ln w="9525" cap="sq" cmpd="sng">
                          <a:solidFill>
                            <a:schemeClr val="tx1"/>
                          </a:solidFill>
                          <a:miter lim="800000"/>
                        </a:ln>
                        <a:solidFill>
                          <a:schemeClr val="tx1"/>
                        </a:solidFill>
                        <a:effectLst>
                          <a:glow rad="101600">
                            <a:schemeClr val="accent6">
                              <a:satMod val="175000"/>
                              <a:alpha val="40000"/>
                            </a:schemeClr>
                          </a:glow>
                          <a:innerShdw blurRad="63500" dist="50800">
                            <a:prstClr val="black">
                              <a:alpha val="50000"/>
                            </a:prstClr>
                          </a:innerShdw>
                        </a:effectLst>
                      </a:rPr>
                      <a:t>
</a:t>
                    </a:r>
                    <a:fld id="{0BFB0F30-34D7-4FFF-A5CD-2A9DF77B74E8}" type="VALUE">
                      <a:rPr lang="en-US" altLang="ja-JP" sz="900" baseline="0">
                        <a:ln w="9525" cap="sq" cmpd="sng">
                          <a:solidFill>
                            <a:schemeClr val="tx1"/>
                          </a:solidFill>
                          <a:miter lim="800000"/>
                        </a:ln>
                        <a:solidFill>
                          <a:schemeClr val="tx1"/>
                        </a:solidFill>
                        <a:effectLst>
                          <a:glow rad="101600">
                            <a:schemeClr val="accent6">
                              <a:satMod val="175000"/>
                              <a:alpha val="40000"/>
                            </a:schemeClr>
                          </a:glow>
                          <a:innerShdw blurRad="63500" dist="50800">
                            <a:prstClr val="black">
                              <a:alpha val="50000"/>
                            </a:prstClr>
                          </a:innerShdw>
                        </a:effectLst>
                      </a:rPr>
                      <a:pPr>
                        <a:defRPr>
                          <a:ln w="9525" cap="sq" cmpd="sng">
                            <a:solidFill>
                              <a:schemeClr val="tx1"/>
                            </a:solidFill>
                            <a:miter lim="800000"/>
                          </a:ln>
                          <a:solidFill>
                            <a:schemeClr val="tx1"/>
                          </a:solidFill>
                          <a:effectLst>
                            <a:glow rad="101600">
                              <a:schemeClr val="accent6">
                                <a:satMod val="175000"/>
                                <a:alpha val="40000"/>
                              </a:schemeClr>
                            </a:glow>
                            <a:innerShdw blurRad="63500" dist="50800">
                              <a:prstClr val="black">
                                <a:alpha val="50000"/>
                              </a:prstClr>
                            </a:innerShdw>
                          </a:effectLst>
                          <a:latin typeface="Meiryo UI" panose="020B0604030504040204" pitchFamily="50" charset="-128"/>
                          <a:ea typeface="Meiryo UI" panose="020B0604030504040204" pitchFamily="50" charset="-128"/>
                        </a:defRPr>
                      </a:pPr>
                      <a:t>[値]</a:t>
                    </a:fld>
                    <a:r>
                      <a:rPr lang="en-US" altLang="ja-JP" sz="900" baseline="0">
                        <a:ln w="9525" cap="sq" cmpd="sng">
                          <a:solidFill>
                            <a:schemeClr val="tx1"/>
                          </a:solidFill>
                          <a:miter lim="800000"/>
                        </a:ln>
                        <a:solidFill>
                          <a:schemeClr val="tx1"/>
                        </a:solidFill>
                        <a:effectLst>
                          <a:glow rad="101600">
                            <a:schemeClr val="accent6">
                              <a:satMod val="175000"/>
                              <a:alpha val="40000"/>
                            </a:schemeClr>
                          </a:glow>
                          <a:innerShdw blurRad="63500" dist="50800">
                            <a:prstClr val="black">
                              <a:alpha val="50000"/>
                            </a:prstClr>
                          </a:innerShdw>
                        </a:effectLst>
                      </a:rPr>
                      <a:t>
</a:t>
                    </a:r>
                    <a:fld id="{79CF325F-DB8D-42AF-83E3-D36CC65BBF16}" type="PERCENTAGE">
                      <a:rPr lang="en-US" altLang="ja-JP" sz="900" baseline="0">
                        <a:ln w="9525" cap="sq" cmpd="sng">
                          <a:solidFill>
                            <a:schemeClr val="tx1"/>
                          </a:solidFill>
                          <a:miter lim="800000"/>
                        </a:ln>
                        <a:solidFill>
                          <a:schemeClr val="tx1"/>
                        </a:solidFill>
                        <a:effectLst>
                          <a:glow rad="101600">
                            <a:schemeClr val="accent6">
                              <a:satMod val="175000"/>
                              <a:alpha val="40000"/>
                            </a:schemeClr>
                          </a:glow>
                          <a:innerShdw blurRad="63500" dist="50800">
                            <a:prstClr val="black">
                              <a:alpha val="50000"/>
                            </a:prstClr>
                          </a:innerShdw>
                        </a:effectLst>
                      </a:rPr>
                      <a:pPr>
                        <a:defRPr>
                          <a:ln w="9525" cap="sq" cmpd="sng">
                            <a:solidFill>
                              <a:schemeClr val="tx1"/>
                            </a:solidFill>
                            <a:miter lim="800000"/>
                          </a:ln>
                          <a:solidFill>
                            <a:schemeClr val="tx1"/>
                          </a:solidFill>
                          <a:effectLst>
                            <a:glow rad="101600">
                              <a:schemeClr val="accent6">
                                <a:satMod val="175000"/>
                                <a:alpha val="40000"/>
                              </a:schemeClr>
                            </a:glow>
                            <a:innerShdw blurRad="63500" dist="50800">
                              <a:prstClr val="black">
                                <a:alpha val="50000"/>
                              </a:prstClr>
                            </a:innerShdw>
                          </a:effectLst>
                          <a:latin typeface="Meiryo UI" panose="020B0604030504040204" pitchFamily="50" charset="-128"/>
                          <a:ea typeface="Meiryo UI" panose="020B0604030504040204" pitchFamily="50" charset="-128"/>
                        </a:defRPr>
                      </a:pPr>
                      <a:t>[パーセンテージ]</a:t>
                    </a:fld>
                    <a:endParaRPr lang="en-US" altLang="ja-JP" sz="900" baseline="0">
                      <a:ln w="9525" cap="sq" cmpd="sng">
                        <a:solidFill>
                          <a:schemeClr val="tx1"/>
                        </a:solidFill>
                        <a:miter lim="800000"/>
                      </a:ln>
                      <a:solidFill>
                        <a:schemeClr val="tx1"/>
                      </a:solidFill>
                      <a:effectLst>
                        <a:glow rad="101600">
                          <a:schemeClr val="accent6">
                            <a:satMod val="175000"/>
                            <a:alpha val="40000"/>
                          </a:schemeClr>
                        </a:glow>
                        <a:innerShdw blurRad="63500" dist="50800">
                          <a:prstClr val="black">
                            <a:alpha val="50000"/>
                          </a:prstClr>
                        </a:innerShdw>
                      </a:effectLst>
                    </a:endParaRPr>
                  </a:p>
                </c:rich>
              </c:tx>
              <c:numFmt formatCode="General" sourceLinked="0"/>
              <c:spPr>
                <a:noFill/>
                <a:ln cap="sq">
                  <a:solidFill>
                    <a:schemeClr val="tx1"/>
                  </a:solid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900" b="0" i="0" u="none" strike="noStrike" kern="1200" baseline="0">
                      <a:ln w="9525" cap="sq" cmpd="sng">
                        <a:solidFill>
                          <a:schemeClr val="tx1"/>
                        </a:solidFill>
                        <a:miter lim="800000"/>
                      </a:ln>
                      <a:solidFill>
                        <a:schemeClr val="tx1"/>
                      </a:solidFill>
                      <a:effectLst>
                        <a:glow rad="101600">
                          <a:schemeClr val="accent6">
                            <a:satMod val="175000"/>
                            <a:alpha val="40000"/>
                          </a:schemeClr>
                        </a:glow>
                        <a:innerShdw blurRad="63500" dist="50800">
                          <a:prstClr val="black">
                            <a:alpha val="50000"/>
                          </a:prstClr>
                        </a:innerShdw>
                      </a:effectLst>
                      <a:latin typeface="Meiryo UI" panose="020B0604030504040204" pitchFamily="50" charset="-128"/>
                      <a:ea typeface="Meiryo UI" panose="020B0604030504040204" pitchFamily="50" charset="-128"/>
                      <a:cs typeface="+mn-cs"/>
                    </a:defRPr>
                  </a:pPr>
                  <a:endParaRPr lang="ja-JP"/>
                </a:p>
              </c:txPr>
              <c:showLegendKey val="0"/>
              <c:showVal val="1"/>
              <c:showCatName val="1"/>
              <c:showSerName val="0"/>
              <c:showPercent val="1"/>
              <c:showBubbleSize val="0"/>
              <c:separator>
</c:separator>
              <c:extLst>
                <c:ext xmlns:c15="http://schemas.microsoft.com/office/drawing/2012/chart" uri="{CE6537A1-D6FC-4f65-9D91-7224C49458BB}">
                  <c15:layout>
                    <c:manualLayout>
                      <c:w val="0.14457831325301204"/>
                      <c:h val="0.24033519553072627"/>
                    </c:manualLayout>
                  </c15:layout>
                  <c15:dlblFieldTable/>
                  <c15:showDataLabelsRange val="0"/>
                </c:ext>
                <c:ext xmlns:c16="http://schemas.microsoft.com/office/drawing/2014/chart" uri="{C3380CC4-5D6E-409C-BE32-E72D297353CC}">
                  <c16:uniqueId val="{00000010-2B65-4491-BEAA-D2EC14429744}"/>
                </c:ext>
              </c:extLst>
            </c:dLbl>
            <c:dLbl>
              <c:idx val="4"/>
              <c:layout>
                <c:manualLayout>
                  <c:x val="-3.5641702170647258E-2"/>
                  <c:y val="-4.0125019802032806E-17"/>
                </c:manualLayout>
              </c:layout>
              <c:tx>
                <c:rich>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r>
                      <a:rPr lang="ja-JP" altLang="en-US">
                        <a:solidFill>
                          <a:sysClr val="windowText" lastClr="000000"/>
                        </a:solidFill>
                      </a:rPr>
                      <a:t>国庫支出金</a:t>
                    </a:r>
                  </a:p>
                  <a:p>
                    <a:pPr>
                      <a:defRPr sz="800">
                        <a:solidFill>
                          <a:sysClr val="windowText" lastClr="000000"/>
                        </a:solidFill>
                        <a:latin typeface="Meiryo UI" panose="020B0604030504040204" pitchFamily="50" charset="-128"/>
                        <a:ea typeface="Meiryo UI" panose="020B0604030504040204" pitchFamily="50" charset="-128"/>
                      </a:defRPr>
                    </a:pPr>
                    <a:r>
                      <a:rPr lang="en-US" altLang="ja-JP">
                        <a:solidFill>
                          <a:sysClr val="windowText" lastClr="000000"/>
                        </a:solidFill>
                      </a:rPr>
                      <a:t>2,002</a:t>
                    </a:r>
                  </a:p>
                  <a:p>
                    <a:pPr>
                      <a:defRPr sz="800">
                        <a:solidFill>
                          <a:sysClr val="windowText" lastClr="000000"/>
                        </a:solidFill>
                        <a:latin typeface="Meiryo UI" panose="020B0604030504040204" pitchFamily="50" charset="-128"/>
                        <a:ea typeface="Meiryo UI" panose="020B0604030504040204" pitchFamily="50" charset="-128"/>
                      </a:defRPr>
                    </a:pPr>
                    <a:r>
                      <a:rPr lang="en-US" altLang="ja-JP">
                        <a:solidFill>
                          <a:sysClr val="windowText" lastClr="000000"/>
                        </a:solidFill>
                      </a:rPr>
                      <a:t>8%</a:t>
                    </a:r>
                  </a:p>
                </c:rich>
              </c:tx>
              <c:spPr>
                <a:noFill/>
                <a:ln cap="sq">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18-2B65-4491-BEAA-D2EC14429744}"/>
                </c:ext>
              </c:extLst>
            </c:dLbl>
            <c:dLbl>
              <c:idx val="5"/>
              <c:layout>
                <c:manualLayout>
                  <c:x val="-5.3785438982289373E-2"/>
                  <c:y val="-9.5178393245821294E-2"/>
                </c:manualLayout>
              </c:layout>
              <c:tx>
                <c:rich>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r>
                      <a:rPr lang="ja-JP" altLang="en-US">
                        <a:solidFill>
                          <a:sysClr val="windowText" lastClr="000000"/>
                        </a:solidFill>
                      </a:rPr>
                      <a:t>府債（</a:t>
                    </a:r>
                    <a:r>
                      <a:rPr lang="en-US" altLang="ja-JP">
                        <a:solidFill>
                          <a:sysClr val="windowText" lastClr="000000"/>
                        </a:solidFill>
                      </a:rPr>
                      <a:t>※</a:t>
                    </a:r>
                    <a:r>
                      <a:rPr lang="ja-JP" altLang="en-US">
                        <a:solidFill>
                          <a:sysClr val="windowText" lastClr="000000"/>
                        </a:solidFill>
                      </a:rPr>
                      <a:t>１）</a:t>
                    </a:r>
                  </a:p>
                  <a:p>
                    <a:pPr>
                      <a:defRPr sz="800">
                        <a:solidFill>
                          <a:sysClr val="windowText" lastClr="000000"/>
                        </a:solidFill>
                        <a:latin typeface="Meiryo UI" panose="020B0604030504040204" pitchFamily="50" charset="-128"/>
                        <a:ea typeface="Meiryo UI" panose="020B0604030504040204" pitchFamily="50" charset="-128"/>
                      </a:defRPr>
                    </a:pPr>
                    <a:r>
                      <a:rPr lang="en-US" altLang="ja-JP">
                        <a:solidFill>
                          <a:sysClr val="windowText" lastClr="000000"/>
                        </a:solidFill>
                      </a:rPr>
                      <a:t>883</a:t>
                    </a:r>
                  </a:p>
                  <a:p>
                    <a:pPr>
                      <a:defRPr sz="800">
                        <a:solidFill>
                          <a:sysClr val="windowText" lastClr="000000"/>
                        </a:solidFill>
                        <a:latin typeface="Meiryo UI" panose="020B0604030504040204" pitchFamily="50" charset="-128"/>
                        <a:ea typeface="Meiryo UI" panose="020B0604030504040204" pitchFamily="50" charset="-128"/>
                      </a:defRPr>
                    </a:pPr>
                    <a:r>
                      <a:rPr lang="en-US" altLang="ja-JP">
                        <a:solidFill>
                          <a:sysClr val="windowText" lastClr="000000"/>
                        </a:solidFill>
                      </a:rPr>
                      <a:t>3%</a:t>
                    </a:r>
                  </a:p>
                </c:rich>
              </c:tx>
              <c:spPr>
                <a:noFill/>
                <a:ln cap="sq">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showLegendKey val="0"/>
              <c:showVal val="1"/>
              <c:showCatName val="1"/>
              <c:showSerName val="0"/>
              <c:showPercent val="1"/>
              <c:showBubbleSize val="0"/>
              <c:separator>
</c:separator>
              <c:extLst>
                <c:ext xmlns:c15="http://schemas.microsoft.com/office/drawing/2012/chart" uri="{CE6537A1-D6FC-4f65-9D91-7224C49458BB}">
                  <c15:layout>
                    <c:manualLayout>
                      <c:w val="0.15375375375375375"/>
                      <c:h val="0.19973736047275112"/>
                    </c:manualLayout>
                  </c15:layout>
                </c:ext>
                <c:ext xmlns:c16="http://schemas.microsoft.com/office/drawing/2014/chart" uri="{C3380CC4-5D6E-409C-BE32-E72D297353CC}">
                  <c16:uniqueId val="{0000001A-2B65-4491-BEAA-D2EC14429744}"/>
                </c:ext>
              </c:extLst>
            </c:dLbl>
            <c:dLbl>
              <c:idx val="6"/>
              <c:layout>
                <c:manualLayout>
                  <c:x val="2.0352509990305179E-2"/>
                  <c:y val="4.1605616763433134E-2"/>
                </c:manualLayout>
              </c:layout>
              <c:spPr>
                <a:noFill/>
                <a:ln cap="sq">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eiryo UI" panose="020B0604030504040204" pitchFamily="50" charset="-128"/>
                      <a:ea typeface="Meiryo UI" panose="020B0604030504040204" pitchFamily="50" charset="-128"/>
                      <a:cs typeface="+mn-cs"/>
                    </a:defRPr>
                  </a:pPr>
                  <a:endParaRPr lang="ja-JP"/>
                </a:p>
              </c:txPr>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1C-2B65-4491-BEAA-D2EC14429744}"/>
                </c:ext>
              </c:extLst>
            </c:dLbl>
            <c:spPr>
              <a:noFill/>
              <a:ln cap="sq">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showLegendKey val="0"/>
            <c:showVal val="1"/>
            <c:showCatName val="1"/>
            <c:showSerName val="0"/>
            <c:showPercent val="1"/>
            <c:showBubbleSize val="0"/>
            <c:separator>
</c:separator>
            <c:showLeaderLines val="1"/>
            <c:leaderLines>
              <c:spPr>
                <a:ln w="9525" cap="flat" cmpd="sng" algn="ctr">
                  <a:solidFill>
                    <a:schemeClr val="tx1"/>
                  </a:solidFill>
                  <a:round/>
                </a:ln>
                <a:effectLst/>
              </c:spPr>
            </c:leaderLines>
            <c:extLst>
              <c:ext xmlns:c15="http://schemas.microsoft.com/office/drawing/2012/chart" uri="{CE6537A1-D6FC-4f65-9D91-7224C49458BB}"/>
            </c:extLst>
          </c:dLbls>
          <c:cat>
            <c:strRef>
              <c:f>まとめ②グラフ!$B$5:$B$11</c:f>
              <c:strCache>
                <c:ptCount val="7"/>
                <c:pt idx="0">
                  <c:v>一般財源</c:v>
                </c:pt>
                <c:pt idx="1">
                  <c:v>府税</c:v>
                </c:pt>
                <c:pt idx="2">
                  <c:v>交付税等</c:v>
                </c:pt>
                <c:pt idx="3">
                  <c:v>その他(※2)</c:v>
                </c:pt>
                <c:pt idx="4">
                  <c:v>国庫支出金</c:v>
                </c:pt>
                <c:pt idx="5">
                  <c:v>府債(※1)</c:v>
                </c:pt>
                <c:pt idx="6">
                  <c:v>その他</c:v>
                </c:pt>
              </c:strCache>
            </c:strRef>
          </c:cat>
          <c:val>
            <c:numRef>
              <c:f>まとめ②グラフ!$D$5:$D$11</c:f>
              <c:numCache>
                <c:formatCode>General</c:formatCode>
                <c:ptCount val="7"/>
                <c:pt idx="0" formatCode="#,##0_);[Red]\(#,##0\)">
                  <c:v>19142</c:v>
                </c:pt>
                <c:pt idx="4" formatCode="#,##0_);[Red]\(#,##0\)">
                  <c:v>2002</c:v>
                </c:pt>
                <c:pt idx="5" formatCode="#,##0_);[Red]\(#,##0\)">
                  <c:v>883</c:v>
                </c:pt>
                <c:pt idx="6" formatCode="#,##0_);[Red]\(#,##0\)">
                  <c:v>3956</c:v>
                </c:pt>
              </c:numCache>
            </c:numRef>
          </c:val>
          <c:extLst>
            <c:ext xmlns:c16="http://schemas.microsoft.com/office/drawing/2014/chart" uri="{C3380CC4-5D6E-409C-BE32-E72D297353CC}">
              <c16:uniqueId val="{0000001D-2B65-4491-BEAA-D2EC14429744}"/>
            </c:ext>
          </c:extLst>
        </c:ser>
        <c:dLbls>
          <c:showLegendKey val="0"/>
          <c:showVal val="0"/>
          <c:showCatName val="0"/>
          <c:showSerName val="0"/>
          <c:showPercent val="0"/>
          <c:showBubbleSize val="0"/>
          <c:showLeaderLines val="1"/>
        </c:dLbls>
        <c:firstSliceAng val="0"/>
        <c:holeSize val="40"/>
      </c:doughnutChart>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0.35456</cdr:x>
      <cdr:y>0.36127</cdr:y>
    </cdr:from>
    <cdr:to>
      <cdr:x>0.642</cdr:x>
      <cdr:y>0.61732</cdr:y>
    </cdr:to>
    <cdr:sp macro="" textlink="">
      <cdr:nvSpPr>
        <cdr:cNvPr id="2" name="円/楕円 28"/>
        <cdr:cNvSpPr/>
      </cdr:nvSpPr>
      <cdr:spPr>
        <a:xfrm xmlns:a="http://schemas.openxmlformats.org/drawingml/2006/main">
          <a:off x="1962143" y="1231913"/>
          <a:ext cx="1590681" cy="873112"/>
        </a:xfrm>
        <a:prstGeom xmlns:a="http://schemas.openxmlformats.org/drawingml/2006/main" prst="ellipse">
          <a:avLst/>
        </a:prstGeom>
        <a:noFill xmlns:a="http://schemas.openxmlformats.org/drawingml/2006/main"/>
        <a:ln xmlns:a="http://schemas.openxmlformats.org/drawingml/2006/main" w="25400" cap="flat" cmpd="sng" algn="ctr">
          <a:noFill/>
          <a:prstDash val="solid"/>
        </a:ln>
        <a:effectLst xmlns:a="http://schemas.openxmlformats.org/drawingml/2006/main"/>
      </cdr:spPr>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fontAlgn="base">
            <a:spcAft>
              <a:spcPts val="0"/>
            </a:spcAft>
          </a:pPr>
          <a:r>
            <a:rPr lang="ja-JP" altLang="en-US" sz="800" kern="1200">
              <a:solidFill>
                <a:srgbClr val="000000"/>
              </a:solidFill>
              <a:effectLst/>
              <a:latin typeface="ＭＳ Ｐゴシック" panose="020B0600070205080204" pitchFamily="50" charset="-128"/>
              <a:ea typeface="ＭＳ Ｐゴシック" panose="020B0600070205080204" pitchFamily="50" charset="-128"/>
              <a:cs typeface="Times New Roman" panose="02020603050405020304" pitchFamily="18" charset="0"/>
            </a:rPr>
            <a:t>予算額</a:t>
          </a:r>
          <a:endParaRPr lang="ja-JP" sz="11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a:p xmlns:a="http://schemas.openxmlformats.org/drawingml/2006/main">
          <a:pPr algn="ctr" fontAlgn="base">
            <a:spcAft>
              <a:spcPts val="0"/>
            </a:spcAft>
          </a:pPr>
          <a:r>
            <a:rPr lang="en-US" altLang="ja-JP" sz="800" kern="1200">
              <a:solidFill>
                <a:srgbClr val="000000"/>
              </a:solidFill>
              <a:effectLst/>
              <a:latin typeface="ＭＳ Ｐゴシック" panose="020B0600070205080204" pitchFamily="50" charset="-128"/>
              <a:ea typeface="ＭＳ Ｐゴシック" panose="020B0600070205080204" pitchFamily="50" charset="-128"/>
              <a:cs typeface="Times New Roman" panose="02020603050405020304" pitchFamily="18" charset="0"/>
            </a:rPr>
            <a:t>2</a:t>
          </a:r>
          <a:r>
            <a:rPr lang="ja-JP" sz="800" kern="1200">
              <a:solidFill>
                <a:srgbClr val="000000"/>
              </a:solidFill>
              <a:effectLst/>
              <a:latin typeface="ＭＳ Ｐゴシック" panose="020B0600070205080204" pitchFamily="50" charset="-128"/>
              <a:ea typeface="ＭＳ Ｐゴシック" panose="020B0600070205080204" pitchFamily="50" charset="-128"/>
              <a:cs typeface="Times New Roman" panose="02020603050405020304" pitchFamily="18" charset="0"/>
            </a:rPr>
            <a:t>兆</a:t>
          </a:r>
          <a:r>
            <a:rPr lang="en-US" altLang="ja-JP" sz="800" kern="1200">
              <a:solidFill>
                <a:sysClr val="windowText" lastClr="000000"/>
              </a:solidFill>
              <a:effectLst/>
              <a:latin typeface="ＭＳ Ｐゴシック" panose="020B0600070205080204" pitchFamily="50" charset="-128"/>
              <a:ea typeface="ＭＳ Ｐゴシック" panose="020B0600070205080204" pitchFamily="50" charset="-128"/>
              <a:cs typeface="Times New Roman" panose="02020603050405020304" pitchFamily="18" charset="0"/>
            </a:rPr>
            <a:t>5,983</a:t>
          </a:r>
          <a:r>
            <a:rPr lang="ja-JP" altLang="en-US" sz="800" kern="1200">
              <a:solidFill>
                <a:sysClr val="windowText" lastClr="000000"/>
              </a:solidFill>
              <a:effectLst/>
              <a:latin typeface="ＭＳ Ｐゴシック" panose="020B0600070205080204" pitchFamily="50" charset="-128"/>
              <a:ea typeface="ＭＳ Ｐゴシック" panose="020B0600070205080204" pitchFamily="50" charset="-128"/>
              <a:cs typeface="Times New Roman" panose="02020603050405020304" pitchFamily="18" charset="0"/>
            </a:rPr>
            <a:t>億</a:t>
          </a:r>
          <a:r>
            <a:rPr lang="ja-JP" sz="800" kern="1200">
              <a:solidFill>
                <a:srgbClr val="000000"/>
              </a:solidFill>
              <a:effectLst/>
              <a:latin typeface="ＭＳ Ｐゴシック" panose="020B0600070205080204" pitchFamily="50" charset="-128"/>
              <a:ea typeface="ＭＳ Ｐゴシック" panose="020B0600070205080204" pitchFamily="50" charset="-128"/>
              <a:cs typeface="Times New Roman" panose="02020603050405020304" pitchFamily="18" charset="0"/>
            </a:rPr>
            <a:t>円</a:t>
          </a:r>
          <a:endParaRPr lang="en-US" altLang="ja-JP" sz="800" kern="1200">
            <a:solidFill>
              <a:srgbClr val="000000"/>
            </a:solidFill>
            <a:effectLst/>
            <a:latin typeface="ＭＳ Ｐゴシック" panose="020B0600070205080204" pitchFamily="50" charset="-128"/>
            <a:ea typeface="ＭＳ Ｐゴシック" panose="020B0600070205080204" pitchFamily="50" charset="-128"/>
            <a:cs typeface="Times New Roman" panose="02020603050405020304" pitchFamily="18" charset="0"/>
          </a:endParaRPr>
        </a:p>
        <a:p xmlns:a="http://schemas.openxmlformats.org/drawingml/2006/main">
          <a:pPr algn="ctr" fontAlgn="base">
            <a:spcAft>
              <a:spcPts val="0"/>
            </a:spcAft>
          </a:pPr>
          <a:r>
            <a:rPr lang="ja-JP" altLang="en-US" sz="800" kern="1200">
              <a:solidFill>
                <a:srgbClr val="000000"/>
              </a:solidFill>
              <a:effectLst/>
              <a:latin typeface="ＭＳ Ｐゴシック" panose="020B0600070205080204" pitchFamily="50" charset="-128"/>
              <a:ea typeface="ＭＳ Ｐゴシック" panose="020B0600070205080204" pitchFamily="50" charset="-128"/>
              <a:cs typeface="Times New Roman" panose="02020603050405020304" pitchFamily="18" charset="0"/>
            </a:rPr>
            <a:t>（府民ひとりあたり</a:t>
          </a:r>
          <a:r>
            <a:rPr lang="en-US" altLang="ja-JP" sz="800" kern="1200">
              <a:solidFill>
                <a:srgbClr val="000000"/>
              </a:solidFill>
              <a:effectLst/>
              <a:latin typeface="ＭＳ Ｐゴシック" panose="020B0600070205080204" pitchFamily="50" charset="-128"/>
              <a:ea typeface="ＭＳ Ｐゴシック" panose="020B0600070205080204" pitchFamily="50" charset="-128"/>
              <a:cs typeface="Times New Roman" panose="02020603050405020304" pitchFamily="18" charset="0"/>
            </a:rPr>
            <a:t>29.5</a:t>
          </a:r>
          <a:r>
            <a:rPr lang="ja-JP" altLang="en-US" sz="800" kern="1200">
              <a:solidFill>
                <a:srgbClr val="000000"/>
              </a:solidFill>
              <a:effectLst/>
              <a:latin typeface="ＭＳ Ｐゴシック" panose="020B0600070205080204" pitchFamily="50" charset="-128"/>
              <a:ea typeface="ＭＳ Ｐゴシック" panose="020B0600070205080204" pitchFamily="50" charset="-128"/>
              <a:cs typeface="Times New Roman" panose="02020603050405020304" pitchFamily="18" charset="0"/>
            </a:rPr>
            <a:t>万円）</a:t>
          </a:r>
          <a:endParaRPr lang="ja-JP" sz="11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cdr:txBody>
    </cdr:sp>
  </cdr:relSizeAnchor>
  <cdr:relSizeAnchor xmlns:cdr="http://schemas.openxmlformats.org/drawingml/2006/chartDrawing">
    <cdr:from>
      <cdr:x>0.32252</cdr:x>
      <cdr:y>0.56467</cdr:y>
    </cdr:from>
    <cdr:to>
      <cdr:x>0.3982</cdr:x>
      <cdr:y>0.61064</cdr:y>
    </cdr:to>
    <cdr:cxnSp macro="">
      <cdr:nvCxnSpPr>
        <cdr:cNvPr id="4" name="直線コネクタ 3"/>
        <cdr:cNvCxnSpPr/>
      </cdr:nvCxnSpPr>
      <cdr:spPr>
        <a:xfrm xmlns:a="http://schemas.openxmlformats.org/drawingml/2006/main" flipH="1">
          <a:off x="1704975" y="1638300"/>
          <a:ext cx="400050" cy="13335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41A92-FA78-4AB0-8593-978CB783D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Pages>
  <Words>398</Words>
  <Characters>2273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山角　篤史</cp:lastModifiedBy>
  <cp:revision>65</cp:revision>
  <cp:lastPrinted>2019-06-10T08:55:00Z</cp:lastPrinted>
  <dcterms:created xsi:type="dcterms:W3CDTF">2019-06-04T00:51:00Z</dcterms:created>
  <dcterms:modified xsi:type="dcterms:W3CDTF">2019-06-11T09:48:00Z</dcterms:modified>
</cp:coreProperties>
</file>