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3D" w:rsidRPr="00D15DB9" w:rsidRDefault="008C6E9F" w:rsidP="00D15DB9">
      <w:pPr>
        <w:widowControl/>
        <w:autoSpaceDE w:val="0"/>
        <w:autoSpaceDN w:val="0"/>
        <w:adjustRightInd w:val="0"/>
        <w:jc w:val="center"/>
        <w:rPr>
          <w:rFonts w:asciiTheme="majorEastAsia" w:eastAsiaTheme="majorEastAsia" w:hAnsiTheme="majorEastAsia" w:cs="Arial"/>
          <w:kern w:val="0"/>
          <w:sz w:val="32"/>
          <w:szCs w:val="32"/>
        </w:rPr>
      </w:pPr>
      <w:r w:rsidRPr="008C6E9F">
        <w:rPr>
          <w:rFonts w:asciiTheme="majorEastAsia" w:eastAsiaTheme="majorEastAsia" w:hAnsiTheme="majorEastAsia" w:cs="Arial"/>
          <w:noProof/>
          <w:kern w:val="0"/>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4844415</wp:posOffset>
                </wp:positionH>
                <wp:positionV relativeFrom="paragraph">
                  <wp:posOffset>-584200</wp:posOffset>
                </wp:positionV>
                <wp:extent cx="668740" cy="333375"/>
                <wp:effectExtent l="0" t="0" r="1714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40" cy="333375"/>
                        </a:xfrm>
                        <a:prstGeom prst="rect">
                          <a:avLst/>
                        </a:prstGeom>
                        <a:solidFill>
                          <a:srgbClr val="FFFFFF"/>
                        </a:solidFill>
                        <a:ln w="9525">
                          <a:solidFill>
                            <a:srgbClr val="000000"/>
                          </a:solidFill>
                          <a:miter lim="800000"/>
                          <a:headEnd/>
                          <a:tailEnd/>
                        </a:ln>
                      </wps:spPr>
                      <wps:txbx>
                        <w:txbxContent>
                          <w:p w:rsidR="008C6E9F" w:rsidRPr="008C6E9F" w:rsidRDefault="008C6E9F" w:rsidP="008C6E9F">
                            <w:pPr>
                              <w:jc w:val="center"/>
                              <w:rPr>
                                <w:sz w:val="20"/>
                                <w:szCs w:val="20"/>
                              </w:rPr>
                            </w:pPr>
                            <w:r w:rsidRPr="008C6E9F">
                              <w:rPr>
                                <w:rFonts w:hint="eastAsia"/>
                                <w:sz w:val="20"/>
                                <w:szCs w:val="20"/>
                              </w:rPr>
                              <w:t>資料２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45pt;margin-top:-46pt;width:52.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">
                <v:textbox>
                  <w:txbxContent>
                    <w:p w:rsidR="008C6E9F" w:rsidRPr="008C6E9F" w:rsidRDefault="008C6E9F" w:rsidP="008C6E9F">
                      <w:pPr>
                        <w:jc w:val="center"/>
                        <w:rPr>
                          <w:sz w:val="20"/>
                          <w:szCs w:val="20"/>
                        </w:rPr>
                      </w:pPr>
                      <w:r w:rsidRPr="008C6E9F">
                        <w:rPr>
                          <w:rFonts w:hint="eastAsia"/>
                          <w:sz w:val="20"/>
                          <w:szCs w:val="20"/>
                        </w:rPr>
                        <w:t>資料２</w:t>
                      </w:r>
                    </w:p>
                  </w:txbxContent>
                </v:textbox>
              </v:shape>
            </w:pict>
          </mc:Fallback>
        </mc:AlternateContent>
      </w:r>
      <w:r w:rsidR="003F543D" w:rsidRPr="00D15DB9">
        <w:rPr>
          <w:rFonts w:asciiTheme="majorEastAsia" w:eastAsiaTheme="majorEastAsia" w:hAnsiTheme="majorEastAsia" w:cs="Arial"/>
          <w:kern w:val="0"/>
          <w:sz w:val="32"/>
          <w:szCs w:val="32"/>
        </w:rPr>
        <w:t>2015</w:t>
      </w:r>
      <w:r w:rsidR="003F543D" w:rsidRPr="00D15DB9">
        <w:rPr>
          <w:rFonts w:asciiTheme="majorEastAsia" w:eastAsiaTheme="majorEastAsia" w:hAnsiTheme="majorEastAsia" w:cs="Arial" w:hint="eastAsia"/>
          <w:kern w:val="0"/>
          <w:sz w:val="32"/>
          <w:szCs w:val="32"/>
        </w:rPr>
        <w:t>年度以降の</w:t>
      </w:r>
      <w:r w:rsidR="003F543D" w:rsidRPr="00D15DB9">
        <w:rPr>
          <w:rFonts w:asciiTheme="majorEastAsia" w:eastAsiaTheme="majorEastAsia" w:hAnsiTheme="majorEastAsia" w:cs="Arial"/>
          <w:kern w:val="0"/>
          <w:sz w:val="32"/>
          <w:szCs w:val="32"/>
        </w:rPr>
        <w:t>ワッハ上方</w:t>
      </w:r>
      <w:r w:rsidR="003F543D" w:rsidRPr="00D15DB9">
        <w:rPr>
          <w:rFonts w:asciiTheme="majorEastAsia" w:eastAsiaTheme="majorEastAsia" w:hAnsiTheme="majorEastAsia" w:cs="Arial" w:hint="eastAsia"/>
          <w:kern w:val="0"/>
          <w:sz w:val="32"/>
          <w:szCs w:val="32"/>
        </w:rPr>
        <w:t>運営について</w:t>
      </w:r>
    </w:p>
    <w:p w:rsidR="00D15DB9" w:rsidRPr="00D15DB9" w:rsidRDefault="00D15DB9" w:rsidP="00D15DB9">
      <w:pPr>
        <w:widowControl/>
        <w:autoSpaceDE w:val="0"/>
        <w:autoSpaceDN w:val="0"/>
        <w:adjustRightInd w:val="0"/>
        <w:jc w:val="center"/>
        <w:rPr>
          <w:rFonts w:asciiTheme="majorEastAsia" w:eastAsiaTheme="majorEastAsia" w:hAnsiTheme="majorEastAsia" w:cs="Arial"/>
          <w:kern w:val="0"/>
          <w:sz w:val="28"/>
          <w:szCs w:val="28"/>
        </w:rPr>
      </w:pPr>
    </w:p>
    <w:p w:rsidR="003F543D" w:rsidRPr="00D15DB9" w:rsidRDefault="003F543D" w:rsidP="00D15DB9">
      <w:pPr>
        <w:widowControl/>
        <w:autoSpaceDE w:val="0"/>
        <w:autoSpaceDN w:val="0"/>
        <w:adjustRightInd w:val="0"/>
        <w:jc w:val="right"/>
        <w:rPr>
          <w:rFonts w:ascii="Arial" w:hAnsi="Arial" w:cs="Arial"/>
          <w:kern w:val="0"/>
          <w:sz w:val="28"/>
          <w:szCs w:val="28"/>
        </w:rPr>
      </w:pPr>
      <w:r w:rsidRPr="00D15DB9">
        <w:rPr>
          <w:rFonts w:ascii="Arial" w:hAnsi="Arial" w:cs="Arial" w:hint="eastAsia"/>
          <w:kern w:val="0"/>
          <w:sz w:val="28"/>
          <w:szCs w:val="28"/>
        </w:rPr>
        <w:t>2014</w:t>
      </w:r>
      <w:r w:rsidRPr="00D15DB9">
        <w:rPr>
          <w:rFonts w:ascii="Arial" w:hAnsi="Arial" w:cs="Arial" w:hint="eastAsia"/>
          <w:kern w:val="0"/>
          <w:sz w:val="28"/>
          <w:szCs w:val="28"/>
        </w:rPr>
        <w:t>年</w:t>
      </w:r>
      <w:r w:rsidRPr="00D15DB9">
        <w:rPr>
          <w:rFonts w:ascii="Arial" w:hAnsi="Arial" w:cs="Arial"/>
          <w:kern w:val="0"/>
          <w:sz w:val="28"/>
          <w:szCs w:val="28"/>
        </w:rPr>
        <w:t>7</w:t>
      </w:r>
      <w:r w:rsidRPr="00D15DB9">
        <w:rPr>
          <w:rFonts w:ascii="Arial" w:hAnsi="Arial" w:cs="Arial" w:hint="eastAsia"/>
          <w:kern w:val="0"/>
          <w:sz w:val="28"/>
          <w:szCs w:val="28"/>
        </w:rPr>
        <w:t>月</w:t>
      </w:r>
      <w:r w:rsidRPr="00D15DB9">
        <w:rPr>
          <w:rFonts w:ascii="Arial" w:hAnsi="Arial" w:cs="Arial"/>
          <w:kern w:val="0"/>
          <w:sz w:val="28"/>
          <w:szCs w:val="28"/>
        </w:rPr>
        <w:t>28</w:t>
      </w:r>
      <w:r w:rsidRPr="00D15DB9">
        <w:rPr>
          <w:rFonts w:ascii="Arial" w:hAnsi="Arial" w:cs="Arial" w:hint="eastAsia"/>
          <w:kern w:val="0"/>
          <w:sz w:val="28"/>
          <w:szCs w:val="28"/>
        </w:rPr>
        <w:t>日　大阪アーツカウンシル</w:t>
      </w:r>
    </w:p>
    <w:p w:rsidR="003F543D" w:rsidRDefault="003F543D" w:rsidP="003F543D">
      <w:pPr>
        <w:widowControl/>
        <w:autoSpaceDE w:val="0"/>
        <w:autoSpaceDN w:val="0"/>
        <w:adjustRightInd w:val="0"/>
        <w:jc w:val="left"/>
        <w:rPr>
          <w:rFonts w:ascii="Arial" w:hAnsi="Arial" w:cs="Arial"/>
          <w:kern w:val="0"/>
        </w:rPr>
      </w:pPr>
    </w:p>
    <w:p w:rsidR="00D15DB9" w:rsidRDefault="00D15DB9" w:rsidP="003F543D">
      <w:pPr>
        <w:widowControl/>
        <w:autoSpaceDE w:val="0"/>
        <w:autoSpaceDN w:val="0"/>
        <w:adjustRightInd w:val="0"/>
        <w:jc w:val="left"/>
        <w:rPr>
          <w:rFonts w:ascii="Arial" w:hAnsi="Arial" w:cs="Arial"/>
          <w:kern w:val="0"/>
        </w:rPr>
      </w:pP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hint="eastAsia"/>
          <w:kern w:val="0"/>
          <w:sz w:val="28"/>
          <w:szCs w:val="28"/>
        </w:rPr>
        <w:t xml:space="preserve">　大阪独自の文化であ</w:t>
      </w:r>
      <w:r w:rsidR="006D16D2" w:rsidRPr="00D15DB9">
        <w:rPr>
          <w:rFonts w:asciiTheme="minorEastAsia" w:hAnsiTheme="minorEastAsia" w:cs="Arial" w:hint="eastAsia"/>
          <w:kern w:val="0"/>
          <w:sz w:val="28"/>
          <w:szCs w:val="28"/>
        </w:rPr>
        <w:t>る上方演芸を後世に伝えて行くことは大阪府の文化行政が担うべき役割</w:t>
      </w:r>
      <w:r w:rsidRPr="00D15DB9">
        <w:rPr>
          <w:rFonts w:asciiTheme="minorEastAsia" w:hAnsiTheme="minorEastAsia" w:cs="Arial" w:hint="eastAsia"/>
          <w:kern w:val="0"/>
          <w:sz w:val="28"/>
          <w:szCs w:val="28"/>
        </w:rPr>
        <w:t>の一つである。</w:t>
      </w:r>
    </w:p>
    <w:p w:rsidR="006D16D2"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hint="eastAsia"/>
          <w:kern w:val="0"/>
          <w:sz w:val="28"/>
          <w:szCs w:val="28"/>
        </w:rPr>
        <w:t xml:space="preserve">　現時点では、その仕事は大阪府立上方演芸資料館（</w:t>
      </w:r>
      <w:r w:rsidRPr="00D15DB9">
        <w:rPr>
          <w:rFonts w:asciiTheme="minorEastAsia" w:hAnsiTheme="minorEastAsia" w:cs="Arial"/>
          <w:kern w:val="0"/>
          <w:sz w:val="28"/>
          <w:szCs w:val="28"/>
        </w:rPr>
        <w:t>ワッハ上方</w:t>
      </w:r>
      <w:r w:rsidRPr="00D15DB9">
        <w:rPr>
          <w:rFonts w:asciiTheme="minorEastAsia" w:hAnsiTheme="minorEastAsia" w:cs="Arial" w:hint="eastAsia"/>
          <w:kern w:val="0"/>
          <w:sz w:val="28"/>
          <w:szCs w:val="28"/>
        </w:rPr>
        <w:t>）が果たすことが望ましい。</w:t>
      </w:r>
    </w:p>
    <w:p w:rsidR="00D15DB9" w:rsidRPr="00D15DB9" w:rsidRDefault="00D15DB9" w:rsidP="003F543D">
      <w:pPr>
        <w:widowControl/>
        <w:autoSpaceDE w:val="0"/>
        <w:autoSpaceDN w:val="0"/>
        <w:adjustRightInd w:val="0"/>
        <w:jc w:val="left"/>
        <w:rPr>
          <w:rFonts w:asciiTheme="minorEastAsia" w:hAnsiTheme="minorEastAsia" w:cs="Arial"/>
          <w:kern w:val="0"/>
          <w:sz w:val="28"/>
          <w:szCs w:val="28"/>
        </w:rPr>
      </w:pPr>
      <w:bookmarkStart w:id="0" w:name="_GoBack"/>
      <w:bookmarkEnd w:id="0"/>
    </w:p>
    <w:p w:rsidR="006D16D2" w:rsidRPr="00D15DB9" w:rsidRDefault="006D16D2"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hint="eastAsia"/>
          <w:kern w:val="0"/>
          <w:sz w:val="28"/>
          <w:szCs w:val="28"/>
        </w:rPr>
        <w:t xml:space="preserve">　ワッハ上方のミッション（使命）は</w:t>
      </w:r>
      <w:r w:rsidRPr="00D15DB9">
        <w:rPr>
          <w:rFonts w:asciiTheme="minorEastAsia" w:hAnsiTheme="minorEastAsia" w:cs="Arial"/>
          <w:kern w:val="0"/>
          <w:sz w:val="28"/>
          <w:szCs w:val="28"/>
        </w:rPr>
        <w:t>「上方演芸の発祥から現在までの歴史を伝え続けていくこと」</w:t>
      </w:r>
      <w:r w:rsidRPr="00D15DB9">
        <w:rPr>
          <w:rFonts w:asciiTheme="minorEastAsia" w:hAnsiTheme="minorEastAsia" w:cs="Arial" w:hint="eastAsia"/>
          <w:kern w:val="0"/>
          <w:sz w:val="28"/>
          <w:szCs w:val="28"/>
        </w:rPr>
        <w:t>にある。具体的には、</w:t>
      </w:r>
      <w:r w:rsidRPr="00D15DB9">
        <w:rPr>
          <w:rFonts w:asciiTheme="minorEastAsia" w:hAnsiTheme="minorEastAsia" w:cs="Arial"/>
          <w:kern w:val="0"/>
          <w:sz w:val="28"/>
          <w:szCs w:val="28"/>
        </w:rPr>
        <w:t>上方演芸の資料を</w:t>
      </w:r>
      <w:r w:rsidRPr="00D15DB9">
        <w:rPr>
          <w:rFonts w:asciiTheme="minorEastAsia" w:hAnsiTheme="minorEastAsia" w:cs="Arial" w:hint="eastAsia"/>
          <w:kern w:val="0"/>
          <w:sz w:val="28"/>
          <w:szCs w:val="28"/>
        </w:rPr>
        <w:t>収集し、</w:t>
      </w:r>
      <w:r w:rsidRPr="00D15DB9">
        <w:rPr>
          <w:rFonts w:asciiTheme="minorEastAsia" w:hAnsiTheme="minorEastAsia" w:cs="Arial"/>
          <w:kern w:val="0"/>
          <w:sz w:val="28"/>
          <w:szCs w:val="28"/>
        </w:rPr>
        <w:t>研究者、芸人</w:t>
      </w:r>
      <w:r w:rsidRPr="00D15DB9">
        <w:rPr>
          <w:rFonts w:asciiTheme="minorEastAsia" w:hAnsiTheme="minorEastAsia" w:cs="Arial" w:hint="eastAsia"/>
          <w:kern w:val="0"/>
          <w:sz w:val="28"/>
          <w:szCs w:val="28"/>
        </w:rPr>
        <w:t>、演芸ファンなど幅広い人々が活用できる形で蓄積していくこと。</w:t>
      </w:r>
    </w:p>
    <w:p w:rsidR="006D16D2" w:rsidRPr="00D15DB9" w:rsidRDefault="006D16D2" w:rsidP="003F543D">
      <w:pPr>
        <w:widowControl/>
        <w:autoSpaceDE w:val="0"/>
        <w:autoSpaceDN w:val="0"/>
        <w:adjustRightInd w:val="0"/>
        <w:jc w:val="left"/>
        <w:rPr>
          <w:rFonts w:asciiTheme="minorEastAsia" w:hAnsiTheme="minorEastAsia" w:cs="Arial"/>
          <w:kern w:val="0"/>
          <w:sz w:val="28"/>
          <w:szCs w:val="28"/>
        </w:rPr>
      </w:pPr>
    </w:p>
    <w:p w:rsidR="003F543D" w:rsidRPr="00D15DB9" w:rsidRDefault="006D16D2" w:rsidP="006D16D2">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hint="eastAsia"/>
          <w:kern w:val="0"/>
          <w:sz w:val="28"/>
          <w:szCs w:val="28"/>
        </w:rPr>
        <w:t xml:space="preserve">　ワッハがこのミッションを果たすために、</w:t>
      </w:r>
      <w:r w:rsidR="00D15DB9">
        <w:rPr>
          <w:rFonts w:asciiTheme="minorEastAsia" w:hAnsiTheme="minorEastAsia" w:cs="Arial" w:hint="eastAsia"/>
          <w:kern w:val="0"/>
          <w:sz w:val="28"/>
          <w:szCs w:val="28"/>
        </w:rPr>
        <w:t>大阪府には以下を求めたい。</w:t>
      </w: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Lantinghei TC Heavy"/>
          <w:kern w:val="0"/>
          <w:sz w:val="28"/>
          <w:szCs w:val="28"/>
        </w:rPr>
        <w:t>▽</w:t>
      </w:r>
      <w:r w:rsidR="006D16D2" w:rsidRPr="00D15DB9">
        <w:rPr>
          <w:rFonts w:asciiTheme="minorEastAsia" w:hAnsiTheme="minorEastAsia" w:cs="Arial"/>
          <w:kern w:val="0"/>
          <w:sz w:val="28"/>
          <w:szCs w:val="28"/>
        </w:rPr>
        <w:t>資料館としての中長期的ビジョンを示す</w:t>
      </w: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Lantinghei TC Heavy"/>
          <w:kern w:val="0"/>
          <w:sz w:val="28"/>
          <w:szCs w:val="28"/>
        </w:rPr>
        <w:t>▽</w:t>
      </w:r>
      <w:r w:rsidR="006D16D2" w:rsidRPr="00D15DB9">
        <w:rPr>
          <w:rFonts w:asciiTheme="minorEastAsia" w:hAnsiTheme="minorEastAsia" w:cs="Arial"/>
          <w:kern w:val="0"/>
          <w:sz w:val="28"/>
          <w:szCs w:val="28"/>
        </w:rPr>
        <w:t>資料を効果的に活用するために研究機関と連携のルールをつくる</w:t>
      </w: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Lantinghei TC Heavy"/>
          <w:kern w:val="0"/>
          <w:sz w:val="28"/>
          <w:szCs w:val="28"/>
        </w:rPr>
        <w:t>▽</w:t>
      </w:r>
      <w:r w:rsidR="006D16D2" w:rsidRPr="00D15DB9">
        <w:rPr>
          <w:rFonts w:asciiTheme="minorEastAsia" w:hAnsiTheme="minorEastAsia" w:cs="Arial"/>
          <w:kern w:val="0"/>
          <w:sz w:val="28"/>
          <w:szCs w:val="28"/>
        </w:rPr>
        <w:t>資料をより多くの人に活用してもらえるよう</w:t>
      </w:r>
      <w:r w:rsidR="006D16D2" w:rsidRPr="00D15DB9">
        <w:rPr>
          <w:rFonts w:asciiTheme="minorEastAsia" w:hAnsiTheme="minorEastAsia" w:cs="Arial" w:hint="eastAsia"/>
          <w:kern w:val="0"/>
          <w:sz w:val="28"/>
          <w:szCs w:val="28"/>
        </w:rPr>
        <w:t>、</w:t>
      </w:r>
      <w:r w:rsidRPr="00D15DB9">
        <w:rPr>
          <w:rFonts w:asciiTheme="minorEastAsia" w:hAnsiTheme="minorEastAsia" w:cs="Arial"/>
          <w:kern w:val="0"/>
          <w:sz w:val="28"/>
          <w:szCs w:val="28"/>
        </w:rPr>
        <w:t>デジタル化</w:t>
      </w:r>
      <w:r w:rsidR="006D16D2" w:rsidRPr="00D15DB9">
        <w:rPr>
          <w:rFonts w:asciiTheme="minorEastAsia" w:hAnsiTheme="minorEastAsia" w:cs="Arial" w:hint="eastAsia"/>
          <w:kern w:val="0"/>
          <w:sz w:val="28"/>
          <w:szCs w:val="28"/>
        </w:rPr>
        <w:t>を進める</w:t>
      </w: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Lantinghei TC Heavy"/>
          <w:kern w:val="0"/>
          <w:sz w:val="28"/>
          <w:szCs w:val="28"/>
        </w:rPr>
        <w:t>▽</w:t>
      </w:r>
      <w:r w:rsidRPr="00D15DB9">
        <w:rPr>
          <w:rFonts w:asciiTheme="minorEastAsia" w:hAnsiTheme="minorEastAsia" w:cs="Arial"/>
          <w:kern w:val="0"/>
          <w:sz w:val="28"/>
          <w:szCs w:val="28"/>
        </w:rPr>
        <w:t>収蔵資料を今に生かす事業</w:t>
      </w:r>
      <w:r w:rsidR="006D16D2" w:rsidRPr="00D15DB9">
        <w:rPr>
          <w:rFonts w:asciiTheme="minorEastAsia" w:hAnsiTheme="minorEastAsia" w:cs="Arial" w:hint="eastAsia"/>
          <w:kern w:val="0"/>
          <w:sz w:val="28"/>
          <w:szCs w:val="28"/>
        </w:rPr>
        <w:t>も行う</w:t>
      </w:r>
    </w:p>
    <w:p w:rsidR="003F543D" w:rsidRPr="00D15DB9" w:rsidRDefault="003F543D" w:rsidP="003F543D">
      <w:pPr>
        <w:widowControl/>
        <w:autoSpaceDE w:val="0"/>
        <w:autoSpaceDN w:val="0"/>
        <w:adjustRightInd w:val="0"/>
        <w:jc w:val="left"/>
        <w:rPr>
          <w:rFonts w:asciiTheme="minorEastAsia" w:hAnsiTheme="minorEastAsia" w:cs="Arial"/>
          <w:kern w:val="0"/>
          <w:sz w:val="28"/>
          <w:szCs w:val="28"/>
        </w:rPr>
      </w:pPr>
    </w:p>
    <w:p w:rsidR="006D16D2" w:rsidRPr="00D15DB9" w:rsidRDefault="006D16D2" w:rsidP="003F543D">
      <w:pPr>
        <w:widowControl/>
        <w:autoSpaceDE w:val="0"/>
        <w:autoSpaceDN w:val="0"/>
        <w:adjustRightInd w:val="0"/>
        <w:jc w:val="left"/>
        <w:rPr>
          <w:rFonts w:asciiTheme="minorEastAsia" w:hAnsiTheme="minorEastAsia" w:cs="Arial"/>
          <w:kern w:val="0"/>
          <w:sz w:val="28"/>
          <w:szCs w:val="28"/>
        </w:rPr>
      </w:pPr>
    </w:p>
    <w:p w:rsidR="003F543D" w:rsidRDefault="003F543D" w:rsidP="003F543D">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kern w:val="0"/>
          <w:sz w:val="28"/>
          <w:szCs w:val="28"/>
        </w:rPr>
        <w:t xml:space="preserve">　</w:t>
      </w:r>
      <w:r w:rsidR="006D16D2" w:rsidRPr="00D15DB9">
        <w:rPr>
          <w:rFonts w:asciiTheme="minorEastAsia" w:hAnsiTheme="minorEastAsia" w:cs="Arial" w:hint="eastAsia"/>
          <w:kern w:val="0"/>
          <w:sz w:val="28"/>
          <w:szCs w:val="28"/>
        </w:rPr>
        <w:t>ワッハは</w:t>
      </w:r>
      <w:r w:rsidRPr="00D15DB9">
        <w:rPr>
          <w:rFonts w:asciiTheme="minorEastAsia" w:hAnsiTheme="minorEastAsia" w:cs="Arial"/>
          <w:kern w:val="0"/>
          <w:sz w:val="28"/>
          <w:szCs w:val="28"/>
        </w:rPr>
        <w:t>当面は現在地で上記の使命を果たす</w:t>
      </w:r>
      <w:r w:rsidR="00D15DB9" w:rsidRPr="00D15DB9">
        <w:rPr>
          <w:rFonts w:asciiTheme="minorEastAsia" w:hAnsiTheme="minorEastAsia" w:cs="Arial" w:hint="eastAsia"/>
          <w:kern w:val="0"/>
          <w:sz w:val="28"/>
          <w:szCs w:val="28"/>
        </w:rPr>
        <w:t>。</w:t>
      </w:r>
      <w:r w:rsidR="006D16D2" w:rsidRPr="00D15DB9">
        <w:rPr>
          <w:rFonts w:asciiTheme="minorEastAsia" w:hAnsiTheme="minorEastAsia" w:cs="Arial" w:hint="eastAsia"/>
          <w:kern w:val="0"/>
          <w:sz w:val="28"/>
          <w:szCs w:val="28"/>
        </w:rPr>
        <w:t>が、</w:t>
      </w:r>
      <w:r w:rsidR="00D15DB9">
        <w:rPr>
          <w:rFonts w:asciiTheme="minorEastAsia" w:hAnsiTheme="minorEastAsia" w:cs="Arial" w:hint="eastAsia"/>
          <w:kern w:val="0"/>
          <w:sz w:val="28"/>
          <w:szCs w:val="28"/>
        </w:rPr>
        <w:t>資料の蓄積、閲覧、研究</w:t>
      </w:r>
      <w:r w:rsidR="00D15DB9">
        <w:rPr>
          <w:rFonts w:asciiTheme="minorEastAsia" w:hAnsiTheme="minorEastAsia" w:cs="Arial"/>
          <w:kern w:val="0"/>
          <w:sz w:val="28"/>
          <w:szCs w:val="28"/>
        </w:rPr>
        <w:t>に</w:t>
      </w:r>
      <w:r w:rsidR="00D15DB9">
        <w:rPr>
          <w:rFonts w:asciiTheme="minorEastAsia" w:hAnsiTheme="minorEastAsia" w:cs="Arial" w:hint="eastAsia"/>
          <w:kern w:val="0"/>
          <w:sz w:val="28"/>
          <w:szCs w:val="28"/>
        </w:rPr>
        <w:t>より</w:t>
      </w:r>
      <w:r w:rsidRPr="00D15DB9">
        <w:rPr>
          <w:rFonts w:asciiTheme="minorEastAsia" w:hAnsiTheme="minorEastAsia" w:cs="Arial"/>
          <w:kern w:val="0"/>
          <w:sz w:val="28"/>
          <w:szCs w:val="28"/>
        </w:rPr>
        <w:t>適した場所がある</w:t>
      </w:r>
      <w:r w:rsidR="00D15DB9" w:rsidRPr="00D15DB9">
        <w:rPr>
          <w:rFonts w:asciiTheme="minorEastAsia" w:hAnsiTheme="minorEastAsia" w:cs="Arial" w:hint="eastAsia"/>
          <w:kern w:val="0"/>
          <w:sz w:val="28"/>
          <w:szCs w:val="28"/>
        </w:rPr>
        <w:t>場合は</w:t>
      </w:r>
      <w:r w:rsidRPr="00D15DB9">
        <w:rPr>
          <w:rFonts w:asciiTheme="minorEastAsia" w:hAnsiTheme="minorEastAsia" w:cs="Arial"/>
          <w:kern w:val="0"/>
          <w:sz w:val="28"/>
          <w:szCs w:val="28"/>
        </w:rPr>
        <w:t>移転を検討する。</w:t>
      </w:r>
    </w:p>
    <w:p w:rsidR="00D15DB9" w:rsidRPr="00D15DB9" w:rsidRDefault="00D15DB9" w:rsidP="003F543D">
      <w:pPr>
        <w:widowControl/>
        <w:autoSpaceDE w:val="0"/>
        <w:autoSpaceDN w:val="0"/>
        <w:adjustRightInd w:val="0"/>
        <w:jc w:val="left"/>
        <w:rPr>
          <w:rFonts w:asciiTheme="minorEastAsia" w:hAnsiTheme="minorEastAsia" w:cs="Arial"/>
          <w:kern w:val="0"/>
          <w:sz w:val="28"/>
          <w:szCs w:val="28"/>
        </w:rPr>
      </w:pPr>
    </w:p>
    <w:p w:rsidR="00685030" w:rsidRPr="00D15DB9" w:rsidRDefault="00D15DB9" w:rsidP="00D15DB9">
      <w:pPr>
        <w:widowControl/>
        <w:autoSpaceDE w:val="0"/>
        <w:autoSpaceDN w:val="0"/>
        <w:adjustRightInd w:val="0"/>
        <w:jc w:val="left"/>
        <w:rPr>
          <w:rFonts w:asciiTheme="minorEastAsia" w:hAnsiTheme="minorEastAsia" w:cs="Arial"/>
          <w:kern w:val="0"/>
          <w:sz w:val="28"/>
          <w:szCs w:val="28"/>
        </w:rPr>
      </w:pPr>
      <w:r w:rsidRPr="00D15DB9">
        <w:rPr>
          <w:rFonts w:asciiTheme="minorEastAsia" w:hAnsiTheme="minorEastAsia" w:cs="Arial" w:hint="eastAsia"/>
          <w:kern w:val="0"/>
          <w:sz w:val="28"/>
          <w:szCs w:val="28"/>
        </w:rPr>
        <w:t xml:space="preserve">　ワッハの使命は上方演芸に関する資料・情報の蓄積と継承であり、施設の保持や集客を増やすことは最終目的ではない。</w:t>
      </w:r>
    </w:p>
    <w:sectPr w:rsidR="00685030" w:rsidRPr="00D15DB9" w:rsidSect="003F543D">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3D"/>
    <w:rsid w:val="003F543D"/>
    <w:rsid w:val="00685030"/>
    <w:rsid w:val="006D16D2"/>
    <w:rsid w:val="00835BE6"/>
    <w:rsid w:val="008C6E9F"/>
    <w:rsid w:val="00D1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6E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6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千晴</dc:creator>
  <cp:keywords/>
  <dc:description/>
  <cp:lastModifiedBy>大山　知宏</cp:lastModifiedBy>
  <cp:revision>3</cp:revision>
  <dcterms:created xsi:type="dcterms:W3CDTF">2014-07-08T04:16:00Z</dcterms:created>
  <dcterms:modified xsi:type="dcterms:W3CDTF">2014-07-24T01:05:00Z</dcterms:modified>
</cp:coreProperties>
</file>