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3322" w:rsidRDefault="00B25F55" w:rsidP="0061584B">
      <w:pPr>
        <w:rPr>
          <w:rFonts w:ascii="ＭＳ ゴシック" w:eastAsia="ＭＳ ゴシック" w:hAnsi="ＭＳ ゴシック"/>
          <w:sz w:val="24"/>
          <w:szCs w:val="24"/>
        </w:rPr>
      </w:pPr>
      <w:r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543D72F" wp14:editId="16A2CA58">
                <wp:simplePos x="0" y="0"/>
                <wp:positionH relativeFrom="column">
                  <wp:posOffset>6842760</wp:posOffset>
                </wp:positionH>
                <wp:positionV relativeFrom="paragraph">
                  <wp:posOffset>-238125</wp:posOffset>
                </wp:positionV>
                <wp:extent cx="2257425" cy="352425"/>
                <wp:effectExtent l="0" t="0" r="28575" b="28575"/>
                <wp:wrapNone/>
                <wp:docPr id="2" name="正方形/長方形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2574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25F55" w:rsidRDefault="00B25F55" w:rsidP="00B25F55">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第５回特別部会　資料４</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43D72F" id="正方形/長方形 2" o:spid="_x0000_s1026" style="position:absolute;left:0;text-align:left;margin-left:538.8pt;margin-top:-18.75pt;width:177.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" fillcolor="white [3201]" strokecolor="#70ad47 [3209]" strokeweight="1pt">
                <v:textbox inset="0,0,0,0">
                  <w:txbxContent>
                    <w:p w:rsidR="00B25F55" w:rsidRDefault="00B25F55" w:rsidP="00B25F55">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第５回特別部会　資料４</w:t>
                      </w:r>
                    </w:p>
                  </w:txbxContent>
                </v:textbox>
              </v:rect>
            </w:pict>
          </mc:Fallback>
        </mc:AlternateContent>
      </w:r>
      <w:r w:rsidR="00A33DBF"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10900410</wp:posOffset>
                </wp:positionH>
                <wp:positionV relativeFrom="paragraph">
                  <wp:posOffset>-234315</wp:posOffset>
                </wp:positionV>
                <wp:extent cx="2466975" cy="352425"/>
                <wp:effectExtent l="0" t="0" r="28575" b="28575"/>
                <wp:wrapNone/>
                <wp:docPr id="1"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66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C24B8D">
                              <w:rPr>
                                <w:rFonts w:ascii="ＭＳ ゴシック" w:eastAsia="ＭＳ ゴシック" w:hAnsi="ＭＳ ゴシック" w:cstheme="minorBidi" w:hint="eastAsia"/>
                                <w:color w:val="000000" w:themeColor="dark1"/>
                                <w:sz w:val="22"/>
                                <w:szCs w:val="22"/>
                              </w:rPr>
                              <w:t>２</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58.3pt;margin-top:-18.45pt;width:19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" fillcolor="white [3201]" strokecolor="#70ad47 [3209]" strokeweight="1pt">
                <v:textbox inset="0,0,0,0">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C24B8D">
                        <w:rPr>
                          <w:rFonts w:ascii="ＭＳ ゴシック" w:eastAsia="ＭＳ ゴシック" w:hAnsi="ＭＳ ゴシック" w:cstheme="minorBidi" w:hint="eastAsia"/>
                          <w:color w:val="000000" w:themeColor="dark1"/>
                          <w:sz w:val="22"/>
                          <w:szCs w:val="22"/>
                        </w:rPr>
                        <w:t>２</w:t>
                      </w:r>
                    </w:p>
                  </w:txbxContent>
                </v:textbox>
              </v:rect>
            </w:pict>
          </mc:Fallback>
        </mc:AlternateContent>
      </w:r>
      <w:r w:rsidR="007D234D" w:rsidRPr="007D234D">
        <w:rPr>
          <w:rFonts w:ascii="ＭＳ ゴシック" w:eastAsia="ＭＳ ゴシック" w:hAnsi="ＭＳ ゴシック" w:hint="eastAsia"/>
          <w:sz w:val="24"/>
          <w:szCs w:val="24"/>
        </w:rPr>
        <w:t>令和元年度特別部会報告書（案）「</w:t>
      </w:r>
      <w:r w:rsidR="00C9299A">
        <w:rPr>
          <w:rFonts w:ascii="ＭＳ ゴシック" w:eastAsia="ＭＳ ゴシック" w:hAnsi="ＭＳ ゴシック" w:hint="eastAsia"/>
          <w:sz w:val="24"/>
          <w:szCs w:val="24"/>
        </w:rPr>
        <w:t>性的搾取（自画撮り被害以外）の対応策の検討</w:t>
      </w:r>
      <w:r w:rsidR="007D234D" w:rsidRPr="007D234D">
        <w:rPr>
          <w:rFonts w:ascii="ＭＳ ゴシック" w:eastAsia="ＭＳ ゴシック" w:hAnsi="ＭＳ ゴシック" w:hint="eastAsia"/>
          <w:sz w:val="24"/>
          <w:szCs w:val="24"/>
        </w:rPr>
        <w:t>」</w:t>
      </w:r>
    </w:p>
    <w:p w:rsidR="002B504E" w:rsidRPr="007D234D" w:rsidRDefault="002B504E" w:rsidP="0061584B">
      <w:pPr>
        <w:rPr>
          <w:rFonts w:ascii="ＭＳ ゴシック" w:eastAsia="ＭＳ ゴシック" w:hAnsi="ＭＳ ゴシック"/>
          <w:sz w:val="24"/>
          <w:szCs w:val="24"/>
        </w:rPr>
      </w:pPr>
    </w:p>
    <w:tbl>
      <w:tblPr>
        <w:tblStyle w:val="a3"/>
        <w:tblW w:w="4936" w:type="pct"/>
        <w:tblLook w:val="04A0" w:firstRow="1" w:lastRow="0" w:firstColumn="1" w:lastColumn="0" w:noHBand="0" w:noVBand="1"/>
      </w:tblPr>
      <w:tblGrid>
        <w:gridCol w:w="3257"/>
        <w:gridCol w:w="11116"/>
      </w:tblGrid>
      <w:tr w:rsidR="00EF17C1" w:rsidTr="00B25F55">
        <w:tc>
          <w:tcPr>
            <w:tcW w:w="1133" w:type="pct"/>
            <w:shd w:val="clear" w:color="auto" w:fill="BFBFBF" w:themeFill="background1" w:themeFillShade="BF"/>
          </w:tcPr>
          <w:p w:rsidR="00EF17C1" w:rsidRPr="007B64D4" w:rsidRDefault="00EF17C1" w:rsidP="00DB4C07">
            <w:pPr>
              <w:jc w:val="center"/>
              <w:rPr>
                <w:rFonts w:ascii="ＭＳ ゴシック" w:eastAsia="ＭＳ ゴシック" w:hAnsi="ＭＳ ゴシック"/>
                <w:b/>
                <w:sz w:val="22"/>
              </w:rPr>
            </w:pPr>
            <w:r>
              <w:rPr>
                <w:rFonts w:ascii="ＭＳ ゴシック" w:eastAsia="ＭＳ ゴシック" w:hAnsi="ＭＳ ゴシック" w:hint="eastAsia"/>
                <w:b/>
                <w:sz w:val="22"/>
              </w:rPr>
              <w:t>検討項目</w:t>
            </w:r>
          </w:p>
        </w:tc>
        <w:tc>
          <w:tcPr>
            <w:tcW w:w="3867" w:type="pct"/>
            <w:shd w:val="clear" w:color="auto" w:fill="BFBFBF" w:themeFill="background1" w:themeFillShade="BF"/>
          </w:tcPr>
          <w:p w:rsidR="00EF17C1" w:rsidRPr="007B64D4" w:rsidRDefault="00EF17C1" w:rsidP="004F2797">
            <w:pPr>
              <w:jc w:val="center"/>
              <w:rPr>
                <w:rFonts w:ascii="ＭＳ ゴシック" w:eastAsia="ＭＳ ゴシック" w:hAnsi="ＭＳ ゴシック"/>
                <w:b/>
                <w:sz w:val="22"/>
              </w:rPr>
            </w:pPr>
            <w:r>
              <w:rPr>
                <w:rFonts w:ascii="ＭＳ ゴシック" w:eastAsia="ＭＳ ゴシック" w:hAnsi="ＭＳ ゴシック" w:hint="eastAsia"/>
                <w:b/>
                <w:sz w:val="22"/>
              </w:rPr>
              <w:t>内　容</w:t>
            </w:r>
          </w:p>
        </w:tc>
      </w:tr>
      <w:tr w:rsidR="00EF17C1" w:rsidTr="008E3813">
        <w:tc>
          <w:tcPr>
            <w:tcW w:w="1133" w:type="pct"/>
            <w:vAlign w:val="center"/>
          </w:tcPr>
          <w:p w:rsidR="008E3813" w:rsidRDefault="008E3813" w:rsidP="00B25F5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３．（２）</w:t>
            </w:r>
          </w:p>
          <w:p w:rsidR="00EF17C1" w:rsidRDefault="008E3813" w:rsidP="008E381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B25F55" w:rsidRPr="00B25F55">
              <w:rPr>
                <w:rFonts w:ascii="ＭＳ ゴシック" w:eastAsia="ＭＳ ゴシック" w:hAnsi="ＭＳ ゴシック"/>
                <w:sz w:val="22"/>
              </w:rPr>
              <w:t>要求行為を条例で禁止することの妥当性</w:t>
            </w:r>
            <w:r>
              <w:rPr>
                <w:rFonts w:ascii="ＭＳ ゴシック" w:eastAsia="ＭＳ ゴシック" w:hAnsi="ＭＳ ゴシック" w:hint="eastAsia"/>
                <w:sz w:val="22"/>
              </w:rPr>
              <w:t>について</w:t>
            </w:r>
          </w:p>
          <w:p w:rsidR="00B25F55" w:rsidRDefault="00B25F55" w:rsidP="00B25F55">
            <w:pPr>
              <w:spacing w:line="320" w:lineRule="exact"/>
              <w:rPr>
                <w:rFonts w:ascii="ＭＳ ゴシック" w:eastAsia="ＭＳ ゴシック" w:hAnsi="ＭＳ ゴシック"/>
                <w:sz w:val="22"/>
              </w:rPr>
            </w:pPr>
          </w:p>
        </w:tc>
        <w:tc>
          <w:tcPr>
            <w:tcW w:w="3867" w:type="pct"/>
            <w:tcBorders>
              <w:bottom w:val="single" w:sz="4" w:space="0" w:color="auto"/>
            </w:tcBorders>
          </w:tcPr>
          <w:p w:rsidR="00B25F55" w:rsidRDefault="00EF17C1" w:rsidP="00B25F55">
            <w:pPr>
              <w:spacing w:line="320" w:lineRule="exact"/>
              <w:ind w:leftChars="6" w:left="169" w:hangingChars="71" w:hanging="156"/>
              <w:rPr>
                <w:rFonts w:ascii="ＭＳ ゴシック" w:eastAsia="ＭＳ ゴシック" w:hAnsi="ＭＳ ゴシック"/>
                <w:sz w:val="22"/>
              </w:rPr>
            </w:pPr>
            <w:r>
              <w:rPr>
                <w:rFonts w:ascii="ＭＳ ゴシック" w:eastAsia="ＭＳ ゴシック" w:hAnsi="ＭＳ ゴシック" w:hint="eastAsia"/>
                <w:sz w:val="22"/>
              </w:rPr>
              <w:t>・</w:t>
            </w:r>
            <w:r w:rsidR="00B25F55" w:rsidRPr="00B25F55">
              <w:rPr>
                <w:rFonts w:ascii="ＭＳ ゴシック" w:eastAsia="ＭＳ ゴシック" w:hAnsi="ＭＳ ゴシック" w:hint="eastAsia"/>
                <w:sz w:val="22"/>
              </w:rPr>
              <w:t>いずれの類型においても</w:t>
            </w:r>
            <w:r w:rsidR="00746188">
              <w:rPr>
                <w:rFonts w:ascii="ＭＳ ゴシック" w:eastAsia="ＭＳ ゴシック" w:hAnsi="ＭＳ ゴシック" w:hint="eastAsia"/>
                <w:sz w:val="22"/>
              </w:rPr>
              <w:t>、</w:t>
            </w:r>
            <w:r w:rsidR="00B25F55" w:rsidRPr="00B25F55">
              <w:rPr>
                <w:rFonts w:ascii="ＭＳ ゴシック" w:eastAsia="ＭＳ ゴシック" w:hAnsi="ＭＳ ゴシック" w:hint="eastAsia"/>
                <w:sz w:val="22"/>
              </w:rPr>
              <w:t>要求行為を規制することは困難</w:t>
            </w:r>
            <w:r w:rsidR="00746188">
              <w:rPr>
                <w:rFonts w:ascii="ＭＳ ゴシック" w:eastAsia="ＭＳ ゴシック" w:hAnsi="ＭＳ ゴシック" w:hint="eastAsia"/>
                <w:sz w:val="22"/>
              </w:rPr>
              <w:t>であり、実効性が期待できない。</w:t>
            </w:r>
          </w:p>
          <w:p w:rsidR="00746188" w:rsidRDefault="00746188" w:rsidP="00B25F55">
            <w:pPr>
              <w:spacing w:line="320" w:lineRule="exact"/>
              <w:ind w:leftChars="6" w:left="169" w:hangingChars="71" w:hanging="156"/>
              <w:rPr>
                <w:rFonts w:ascii="ＭＳ ゴシック" w:eastAsia="ＭＳ ゴシック" w:hAnsi="ＭＳ ゴシック"/>
                <w:sz w:val="22"/>
              </w:rPr>
            </w:pPr>
          </w:p>
          <w:p w:rsidR="00746188" w:rsidRDefault="00746188" w:rsidP="00746188">
            <w:pPr>
              <w:spacing w:line="320" w:lineRule="exact"/>
              <w:ind w:leftChars="6" w:left="169" w:hangingChars="71" w:hanging="156"/>
              <w:rPr>
                <w:rFonts w:ascii="ＭＳ ゴシック" w:eastAsia="ＭＳ ゴシック" w:hAnsi="ＭＳ ゴシック"/>
                <w:sz w:val="22"/>
              </w:rPr>
            </w:pPr>
            <w:r>
              <w:rPr>
                <w:rFonts w:ascii="ＭＳ ゴシック" w:eastAsia="ＭＳ ゴシック" w:hAnsi="ＭＳ ゴシック" w:hint="eastAsia"/>
                <w:sz w:val="22"/>
              </w:rPr>
              <w:t>・なお、自画撮り画像の要求行為の加害者の氏名を公表することについては、児童ポルノの提供や所持等について氏名公表に関する規定がないのに、要求行為（未遂行為）のみ府条例による罰則に加えて氏名公表を行うことは、抑止効果のための制裁としては過重である。</w:t>
            </w:r>
          </w:p>
          <w:p w:rsidR="00746188" w:rsidRPr="00BB20C1" w:rsidRDefault="00746188" w:rsidP="00746188">
            <w:pPr>
              <w:spacing w:line="320" w:lineRule="exact"/>
              <w:ind w:leftChars="6" w:left="169" w:hangingChars="71" w:hanging="156"/>
              <w:rPr>
                <w:rFonts w:ascii="ＭＳ ゴシック" w:eastAsia="ＭＳ ゴシック" w:hAnsi="ＭＳ ゴシック"/>
                <w:sz w:val="22"/>
              </w:rPr>
            </w:pPr>
          </w:p>
        </w:tc>
      </w:tr>
      <w:tr w:rsidR="008E3813" w:rsidTr="008E3813">
        <w:tc>
          <w:tcPr>
            <w:tcW w:w="1133" w:type="pct"/>
            <w:vMerge w:val="restart"/>
            <w:vAlign w:val="center"/>
          </w:tcPr>
          <w:p w:rsidR="008E3813" w:rsidRDefault="008E3813" w:rsidP="00EF17C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３．（２）</w:t>
            </w:r>
          </w:p>
          <w:p w:rsidR="008E3813" w:rsidRDefault="008E3813" w:rsidP="008E381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②</w:t>
            </w:r>
            <w:r w:rsidRPr="00B25F55">
              <w:rPr>
                <w:rFonts w:ascii="ＭＳ ゴシック" w:eastAsia="ＭＳ ゴシック" w:hAnsi="ＭＳ ゴシック" w:hint="eastAsia"/>
                <w:sz w:val="22"/>
              </w:rPr>
              <w:t>青少年を守るための対応策</w:t>
            </w:r>
          </w:p>
          <w:p w:rsidR="008E3813" w:rsidRDefault="008E3813" w:rsidP="00EF17C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について</w:t>
            </w:r>
          </w:p>
          <w:p w:rsidR="008E3813" w:rsidRDefault="008E3813" w:rsidP="00EF17C1">
            <w:pPr>
              <w:spacing w:line="320" w:lineRule="exact"/>
              <w:rPr>
                <w:rFonts w:ascii="ＭＳ ゴシック" w:eastAsia="ＭＳ ゴシック" w:hAnsi="ＭＳ ゴシック"/>
                <w:sz w:val="22"/>
              </w:rPr>
            </w:pPr>
          </w:p>
        </w:tc>
        <w:tc>
          <w:tcPr>
            <w:tcW w:w="3867" w:type="pct"/>
            <w:tcBorders>
              <w:bottom w:val="dotted" w:sz="4" w:space="0" w:color="auto"/>
            </w:tcBorders>
          </w:tcPr>
          <w:p w:rsidR="008E3813" w:rsidRDefault="008E3813" w:rsidP="008E381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【更なる啓発の推進（大人に対する啓発の推進・青少年に直接働きかける啓発）】</w:t>
            </w:r>
          </w:p>
          <w:p w:rsidR="008E3813" w:rsidRDefault="008E381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B25F55">
              <w:rPr>
                <w:rFonts w:ascii="ＭＳ ゴシック" w:eastAsia="ＭＳ ゴシック" w:hAnsi="ＭＳ ゴシック" w:hint="eastAsia"/>
                <w:sz w:val="22"/>
              </w:rPr>
              <w:t>青少年を取り巻く実情は大変深刻であり、平成</w:t>
            </w:r>
            <w:r w:rsidRPr="00B25F55">
              <w:rPr>
                <w:rFonts w:ascii="ＭＳ ゴシック" w:eastAsia="ＭＳ ゴシック" w:hAnsi="ＭＳ ゴシック"/>
                <w:sz w:val="22"/>
              </w:rPr>
              <w:t>30年提言に加え、青少年が興味本位などからSNS上にデート援助交際等の書き込みをした場合に、そうした投稿をやめるように呼び掛け、相談窓口等を紹介するような投稿を行うなど、注意・喚起が必要な青少年に直接届く啓発を行うべき</w:t>
            </w:r>
            <w:r>
              <w:rPr>
                <w:rFonts w:ascii="ＭＳ ゴシック" w:eastAsia="ＭＳ ゴシック" w:hAnsi="ＭＳ ゴシック" w:hint="eastAsia"/>
                <w:sz w:val="22"/>
              </w:rPr>
              <w:t>。</w:t>
            </w:r>
          </w:p>
          <w:p w:rsidR="00823B61" w:rsidRDefault="00823B61" w:rsidP="00C55DF4">
            <w:pPr>
              <w:spacing w:line="320" w:lineRule="exact"/>
              <w:ind w:left="220" w:hangingChars="100" w:hanging="220"/>
              <w:rPr>
                <w:rFonts w:ascii="ＭＳ ゴシック" w:eastAsia="ＭＳ ゴシック" w:hAnsi="ＭＳ ゴシック"/>
                <w:sz w:val="22"/>
              </w:rPr>
            </w:pPr>
          </w:p>
          <w:p w:rsidR="00823B61" w:rsidRDefault="00823B61"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・大人に対して、青少年の健全な育成を阻害する行為をしてはならないという警告メッセージを発信し、被害の</w:t>
            </w:r>
          </w:p>
          <w:p w:rsidR="00823B61" w:rsidRDefault="00823B61" w:rsidP="00823B61">
            <w:pPr>
              <w:spacing w:line="320" w:lineRule="exact"/>
              <w:ind w:leftChars="100" w:left="210"/>
              <w:rPr>
                <w:rFonts w:ascii="ＭＳ ゴシック" w:eastAsia="ＭＳ ゴシック" w:hAnsi="ＭＳ ゴシック"/>
                <w:sz w:val="22"/>
              </w:rPr>
            </w:pPr>
            <w:r>
              <w:rPr>
                <w:rFonts w:ascii="ＭＳ ゴシック" w:eastAsia="ＭＳ ゴシック" w:hAnsi="ＭＳ ゴシック" w:hint="eastAsia"/>
                <w:sz w:val="22"/>
              </w:rPr>
              <w:t>未然防止を図るべき。</w:t>
            </w:r>
          </w:p>
          <w:p w:rsidR="008E3813" w:rsidRDefault="008E3813" w:rsidP="00C55DF4">
            <w:pPr>
              <w:spacing w:line="320" w:lineRule="exact"/>
              <w:ind w:left="220" w:hangingChars="100" w:hanging="220"/>
              <w:rPr>
                <w:rFonts w:ascii="ＭＳ ゴシック" w:eastAsia="ＭＳ ゴシック" w:hAnsi="ＭＳ ゴシック"/>
                <w:sz w:val="22"/>
              </w:rPr>
            </w:pPr>
          </w:p>
        </w:tc>
      </w:tr>
      <w:tr w:rsidR="008E3813" w:rsidTr="008E3813">
        <w:tc>
          <w:tcPr>
            <w:tcW w:w="1133" w:type="pct"/>
            <w:vMerge/>
            <w:vAlign w:val="center"/>
          </w:tcPr>
          <w:p w:rsidR="008E3813" w:rsidRDefault="008E3813" w:rsidP="00B25F55">
            <w:pPr>
              <w:spacing w:line="320" w:lineRule="exact"/>
              <w:rPr>
                <w:rFonts w:ascii="ＭＳ ゴシック" w:eastAsia="ＭＳ ゴシック" w:hAnsi="ＭＳ ゴシック"/>
                <w:sz w:val="22"/>
              </w:rPr>
            </w:pPr>
          </w:p>
        </w:tc>
        <w:tc>
          <w:tcPr>
            <w:tcW w:w="3867" w:type="pct"/>
            <w:tcBorders>
              <w:top w:val="dotted" w:sz="4" w:space="0" w:color="auto"/>
            </w:tcBorders>
          </w:tcPr>
          <w:p w:rsidR="008E3813" w:rsidRDefault="008E3813" w:rsidP="00B25F55">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【本体行為の規制の強化】</w:t>
            </w:r>
          </w:p>
          <w:p w:rsidR="008E3813" w:rsidRDefault="008E3813" w:rsidP="00B25F55">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B25F55">
              <w:rPr>
                <w:rFonts w:ascii="ＭＳ ゴシック" w:eastAsia="ＭＳ ゴシック" w:hAnsi="ＭＳ ゴシック" w:hint="eastAsia"/>
                <w:sz w:val="22"/>
              </w:rPr>
              <w:t>要求行為の目的である本体行為への規制を強化することが有効であり、平成</w:t>
            </w:r>
            <w:r w:rsidRPr="00B25F55">
              <w:rPr>
                <w:rFonts w:ascii="ＭＳ ゴシック" w:eastAsia="ＭＳ ゴシック" w:hAnsi="ＭＳ ゴシック"/>
                <w:sz w:val="22"/>
              </w:rPr>
              <w:t>30年提言のとおり児童ポルノの所持、製造や児童買春に対する重罰化を引き続き国に対して働きかけるべき</w:t>
            </w:r>
            <w:r>
              <w:rPr>
                <w:rFonts w:ascii="ＭＳ ゴシック" w:eastAsia="ＭＳ ゴシック" w:hAnsi="ＭＳ ゴシック" w:hint="eastAsia"/>
                <w:sz w:val="22"/>
              </w:rPr>
              <w:t>。</w:t>
            </w:r>
          </w:p>
          <w:p w:rsidR="008E3813" w:rsidRDefault="008E3813" w:rsidP="00B25F55">
            <w:pPr>
              <w:spacing w:line="320" w:lineRule="exact"/>
              <w:ind w:left="220" w:hangingChars="100" w:hanging="220"/>
              <w:rPr>
                <w:rFonts w:ascii="ＭＳ ゴシック" w:eastAsia="ＭＳ ゴシック" w:hAnsi="ＭＳ ゴシック"/>
                <w:sz w:val="22"/>
              </w:rPr>
            </w:pPr>
          </w:p>
          <w:p w:rsidR="008E3813" w:rsidRDefault="008E3813" w:rsidP="00B25F55">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B25F55">
              <w:rPr>
                <w:rFonts w:ascii="ＭＳ ゴシック" w:eastAsia="ＭＳ ゴシック" w:hAnsi="ＭＳ ゴシック" w:hint="eastAsia"/>
                <w:sz w:val="22"/>
              </w:rPr>
              <w:t>青少年に対する淫らな性行為及びわいせつな行為については、条例第</w:t>
            </w:r>
            <w:r w:rsidRPr="00B25F55">
              <w:rPr>
                <w:rFonts w:ascii="ＭＳ ゴシック" w:eastAsia="ＭＳ ゴシック" w:hAnsi="ＭＳ ゴシック"/>
                <w:sz w:val="22"/>
              </w:rPr>
              <w:t>39条において禁止規定を定めているところであるが、この規制を強化すべきかについて議論を深める必要があ</w:t>
            </w:r>
            <w:r>
              <w:rPr>
                <w:rFonts w:ascii="ＭＳ ゴシック" w:eastAsia="ＭＳ ゴシック" w:hAnsi="ＭＳ ゴシック" w:hint="eastAsia"/>
                <w:sz w:val="22"/>
              </w:rPr>
              <w:t>る。</w:t>
            </w:r>
          </w:p>
          <w:p w:rsidR="008E3813" w:rsidRDefault="008E3813" w:rsidP="009D6481">
            <w:pPr>
              <w:spacing w:line="320" w:lineRule="exact"/>
              <w:ind w:left="220" w:hangingChars="100" w:hanging="220"/>
              <w:rPr>
                <w:rFonts w:ascii="ＭＳ ゴシック" w:eastAsia="ＭＳ ゴシック" w:hAnsi="ＭＳ ゴシック"/>
                <w:sz w:val="22"/>
              </w:rPr>
            </w:pPr>
          </w:p>
        </w:tc>
      </w:tr>
    </w:tbl>
    <w:p w:rsidR="00F379E5" w:rsidRPr="00BC0474" w:rsidRDefault="00F379E5" w:rsidP="002F1C99">
      <w:pPr>
        <w:spacing w:line="320" w:lineRule="exact"/>
        <w:rPr>
          <w:rFonts w:ascii="ＭＳ ゴシック" w:eastAsia="ＭＳ ゴシック" w:hAnsi="ＭＳ ゴシック"/>
          <w:sz w:val="22"/>
        </w:rPr>
      </w:pPr>
    </w:p>
    <w:sectPr w:rsidR="00F379E5" w:rsidRPr="00BC0474" w:rsidSect="00FF0175">
      <w:pgSz w:w="16838" w:h="11906" w:orient="landscape" w:code="9"/>
      <w:pgMar w:top="1560" w:right="1135"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BF" w:rsidRDefault="00A33DBF" w:rsidP="00A33DBF">
      <w:r>
        <w:separator/>
      </w:r>
    </w:p>
  </w:endnote>
  <w:endnote w:type="continuationSeparator" w:id="0">
    <w:p w:rsidR="00A33DBF" w:rsidRDefault="00A33DBF" w:rsidP="00A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BF" w:rsidRDefault="00A33DBF" w:rsidP="00A33DBF">
      <w:r>
        <w:separator/>
      </w:r>
    </w:p>
  </w:footnote>
  <w:footnote w:type="continuationSeparator" w:id="0">
    <w:p w:rsidR="00A33DBF" w:rsidRDefault="00A33DBF" w:rsidP="00A3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3"/>
    <w:rsid w:val="00041B26"/>
    <w:rsid w:val="00176BFC"/>
    <w:rsid w:val="00195B92"/>
    <w:rsid w:val="0024385D"/>
    <w:rsid w:val="002B504E"/>
    <w:rsid w:val="002F1C99"/>
    <w:rsid w:val="003B1A73"/>
    <w:rsid w:val="003E3103"/>
    <w:rsid w:val="0042629F"/>
    <w:rsid w:val="00430EE0"/>
    <w:rsid w:val="00433322"/>
    <w:rsid w:val="004F2797"/>
    <w:rsid w:val="00552212"/>
    <w:rsid w:val="00592488"/>
    <w:rsid w:val="005D3677"/>
    <w:rsid w:val="0061584B"/>
    <w:rsid w:val="00641951"/>
    <w:rsid w:val="006731FD"/>
    <w:rsid w:val="00694D21"/>
    <w:rsid w:val="006F7A39"/>
    <w:rsid w:val="00746188"/>
    <w:rsid w:val="007A2CD3"/>
    <w:rsid w:val="007B64D4"/>
    <w:rsid w:val="007D11E9"/>
    <w:rsid w:val="007D234D"/>
    <w:rsid w:val="007F23C9"/>
    <w:rsid w:val="007F6A8B"/>
    <w:rsid w:val="007F7187"/>
    <w:rsid w:val="00823B61"/>
    <w:rsid w:val="008E1DF5"/>
    <w:rsid w:val="008E3813"/>
    <w:rsid w:val="009D6481"/>
    <w:rsid w:val="009E1513"/>
    <w:rsid w:val="00A33DBF"/>
    <w:rsid w:val="00A57213"/>
    <w:rsid w:val="00AA3FB0"/>
    <w:rsid w:val="00B25F55"/>
    <w:rsid w:val="00BA7F1E"/>
    <w:rsid w:val="00BB20C1"/>
    <w:rsid w:val="00BC0474"/>
    <w:rsid w:val="00C24B8D"/>
    <w:rsid w:val="00C55DF4"/>
    <w:rsid w:val="00C8147C"/>
    <w:rsid w:val="00C9299A"/>
    <w:rsid w:val="00CA465F"/>
    <w:rsid w:val="00DB4C07"/>
    <w:rsid w:val="00E019A1"/>
    <w:rsid w:val="00EA6734"/>
    <w:rsid w:val="00EF17C1"/>
    <w:rsid w:val="00F379E5"/>
    <w:rsid w:val="00FF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CC6A91C-78F3-4284-BB51-562F8345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3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3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2CD3"/>
    <w:rPr>
      <w:rFonts w:asciiTheme="majorHAnsi" w:eastAsiaTheme="majorEastAsia" w:hAnsiTheme="majorHAnsi" w:cstheme="majorBidi"/>
      <w:sz w:val="18"/>
      <w:szCs w:val="18"/>
    </w:rPr>
  </w:style>
  <w:style w:type="paragraph" w:styleId="a6">
    <w:name w:val="header"/>
    <w:basedOn w:val="a"/>
    <w:link w:val="a7"/>
    <w:uiPriority w:val="99"/>
    <w:unhideWhenUsed/>
    <w:rsid w:val="00A33DBF"/>
    <w:pPr>
      <w:tabs>
        <w:tab w:val="center" w:pos="4252"/>
        <w:tab w:val="right" w:pos="8504"/>
      </w:tabs>
      <w:snapToGrid w:val="0"/>
    </w:pPr>
  </w:style>
  <w:style w:type="character" w:customStyle="1" w:styleId="a7">
    <w:name w:val="ヘッダー (文字)"/>
    <w:basedOn w:val="a0"/>
    <w:link w:val="a6"/>
    <w:uiPriority w:val="99"/>
    <w:rsid w:val="00A33DBF"/>
  </w:style>
  <w:style w:type="paragraph" w:styleId="a8">
    <w:name w:val="footer"/>
    <w:basedOn w:val="a"/>
    <w:link w:val="a9"/>
    <w:uiPriority w:val="99"/>
    <w:unhideWhenUsed/>
    <w:rsid w:val="00A33DBF"/>
    <w:pPr>
      <w:tabs>
        <w:tab w:val="center" w:pos="4252"/>
        <w:tab w:val="right" w:pos="8504"/>
      </w:tabs>
      <w:snapToGrid w:val="0"/>
    </w:pPr>
  </w:style>
  <w:style w:type="character" w:customStyle="1" w:styleId="a9">
    <w:name w:val="フッター (文字)"/>
    <w:basedOn w:val="a0"/>
    <w:link w:val="a8"/>
    <w:uiPriority w:val="99"/>
    <w:rsid w:val="00A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4714">
      <w:bodyDiv w:val="1"/>
      <w:marLeft w:val="0"/>
      <w:marRight w:val="0"/>
      <w:marTop w:val="0"/>
      <w:marBottom w:val="0"/>
      <w:divBdr>
        <w:top w:val="none" w:sz="0" w:space="0" w:color="auto"/>
        <w:left w:val="none" w:sz="0" w:space="0" w:color="auto"/>
        <w:bottom w:val="none" w:sz="0" w:space="0" w:color="auto"/>
        <w:right w:val="none" w:sz="0" w:space="0" w:color="auto"/>
      </w:divBdr>
    </w:div>
    <w:div w:id="19436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4571-0E61-4BDF-BE71-4D8635C7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12</cp:revision>
  <cp:lastPrinted>2019-11-12T07:17:00Z</cp:lastPrinted>
  <dcterms:created xsi:type="dcterms:W3CDTF">2019-11-11T10:35:00Z</dcterms:created>
  <dcterms:modified xsi:type="dcterms:W3CDTF">2019-11-15T03:00:00Z</dcterms:modified>
</cp:coreProperties>
</file>