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24B" w:rsidRPr="005F51FF" w:rsidRDefault="003E5DD9" w:rsidP="003E5D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8829675</wp:posOffset>
                </wp:positionH>
                <wp:positionV relativeFrom="paragraph">
                  <wp:posOffset>-123825</wp:posOffset>
                </wp:positionV>
                <wp:extent cx="1003935" cy="293370"/>
                <wp:effectExtent l="0" t="0" r="2476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D9" w:rsidRDefault="003E5DD9" w:rsidP="003E5DD9">
                            <w:pPr>
                              <w:spacing w:beforeLines="15" w:before="54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="002A1EB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95.25pt;margin-top:-9.75pt;width:79.0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" strokeweight=".5pt">
                <v:textbox inset="5.85pt,.7pt,5.85pt,.7pt">
                  <w:txbxContent>
                    <w:p w:rsidR="003E5DD9" w:rsidRDefault="003E5DD9" w:rsidP="003E5DD9">
                      <w:pPr>
                        <w:spacing w:beforeLines="15" w:before="54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="002A1EB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5F51FF" w:rsidRDefault="005F51FF" w:rsidP="005F51F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地方独立行政法人大阪産業技術研究所の</w:t>
      </w:r>
      <w:r w:rsidR="00663082">
        <w:rPr>
          <w:rFonts w:asciiTheme="majorEastAsia" w:eastAsiaTheme="majorEastAsia" w:hAnsiTheme="majorEastAsia" w:hint="eastAsia"/>
          <w:sz w:val="24"/>
          <w:szCs w:val="24"/>
        </w:rPr>
        <w:t>特に</w:t>
      </w:r>
      <w:r>
        <w:rPr>
          <w:rFonts w:asciiTheme="majorEastAsia" w:eastAsiaTheme="majorEastAsia" w:hAnsiTheme="majorEastAsia" w:hint="eastAsia"/>
          <w:sz w:val="24"/>
          <w:szCs w:val="24"/>
        </w:rPr>
        <w:t>重視すべき事項に関する取組</w:t>
      </w:r>
      <w:r w:rsidR="009D37F9">
        <w:rPr>
          <w:rFonts w:asciiTheme="majorEastAsia" w:eastAsiaTheme="majorEastAsia" w:hAnsiTheme="majorEastAsia" w:hint="eastAsia"/>
          <w:sz w:val="24"/>
          <w:szCs w:val="24"/>
        </w:rPr>
        <w:t>検討</w:t>
      </w:r>
      <w:r>
        <w:rPr>
          <w:rFonts w:asciiTheme="majorEastAsia" w:eastAsiaTheme="majorEastAsia" w:hAnsiTheme="majorEastAsia" w:hint="eastAsia"/>
          <w:sz w:val="24"/>
          <w:szCs w:val="24"/>
        </w:rPr>
        <w:t>状況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271"/>
        <w:tblW w:w="0" w:type="auto"/>
        <w:tblLook w:val="04A0" w:firstRow="1" w:lastRow="0" w:firstColumn="1" w:lastColumn="0" w:noHBand="0" w:noVBand="1"/>
      </w:tblPr>
      <w:tblGrid>
        <w:gridCol w:w="3227"/>
        <w:gridCol w:w="4252"/>
        <w:gridCol w:w="5871"/>
      </w:tblGrid>
      <w:tr w:rsidR="001F30A7" w:rsidRPr="005F51FF" w:rsidTr="00E80FDE">
        <w:tc>
          <w:tcPr>
            <w:tcW w:w="3227" w:type="dxa"/>
            <w:shd w:val="clear" w:color="auto" w:fill="000000" w:themeFill="text1"/>
          </w:tcPr>
          <w:p w:rsidR="001F30A7" w:rsidRPr="005F51FF" w:rsidRDefault="001F30A7" w:rsidP="001F30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業務のレベル</w:t>
            </w:r>
          </w:p>
        </w:tc>
        <w:tc>
          <w:tcPr>
            <w:tcW w:w="4252" w:type="dxa"/>
            <w:shd w:val="clear" w:color="auto" w:fill="000000" w:themeFill="text1"/>
          </w:tcPr>
          <w:p w:rsidR="001F30A7" w:rsidRPr="005F51FF" w:rsidRDefault="001F30A7" w:rsidP="001F30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業務内容</w:t>
            </w:r>
          </w:p>
        </w:tc>
        <w:tc>
          <w:tcPr>
            <w:tcW w:w="5871" w:type="dxa"/>
            <w:shd w:val="clear" w:color="auto" w:fill="000000" w:themeFill="text1"/>
          </w:tcPr>
          <w:p w:rsidR="001F30A7" w:rsidRPr="005F51FF" w:rsidRDefault="001F30A7" w:rsidP="001F30A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取組検討状況</w:t>
            </w:r>
          </w:p>
        </w:tc>
      </w:tr>
      <w:tr w:rsidR="001F30A7" w:rsidRPr="005F51FF" w:rsidTr="001F30A7">
        <w:tc>
          <w:tcPr>
            <w:tcW w:w="3227" w:type="dxa"/>
            <w:vMerge w:val="restart"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統合によってできること</w:t>
            </w:r>
          </w:p>
        </w:tc>
        <w:tc>
          <w:tcPr>
            <w:tcW w:w="4252" w:type="dxa"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①利用サービスのワンストップ化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【検討内容】</w:t>
            </w:r>
          </w:p>
          <w:p w:rsidR="001F30A7" w:rsidRPr="005F51FF" w:rsidRDefault="001F30A7" w:rsidP="007059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05977">
              <w:rPr>
                <w:rFonts w:ascii="HG丸ｺﾞｼｯｸM-PRO" w:eastAsia="HG丸ｺﾞｼｯｸM-PRO" w:hAnsi="HG丸ｺﾞｼｯｸM-PRO" w:hint="eastAsia"/>
                <w:sz w:val="22"/>
              </w:rPr>
              <w:t>受付のオンラインシステムの構築</w:t>
            </w:r>
          </w:p>
        </w:tc>
      </w:tr>
      <w:tr w:rsidR="001F30A7" w:rsidRPr="005F51FF" w:rsidTr="001F30A7">
        <w:tc>
          <w:tcPr>
            <w:tcW w:w="3227" w:type="dxa"/>
            <w:vMerge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</w:tcPr>
          <w:p w:rsidR="001F30A7" w:rsidRPr="005F51FF" w:rsidRDefault="001F30A7" w:rsidP="001F30A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②研究開発から製造までの一気通貫の支援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【検討内容】</w:t>
            </w:r>
          </w:p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・公募型共同開発事業の新規募集検討</w:t>
            </w:r>
          </w:p>
        </w:tc>
      </w:tr>
      <w:tr w:rsidR="001F30A7" w:rsidRPr="005F51FF" w:rsidTr="001F30A7">
        <w:tc>
          <w:tcPr>
            <w:tcW w:w="3227" w:type="dxa"/>
            <w:vMerge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③顧客ビッグデータを活用した企業支援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【取組内容】</w:t>
            </w:r>
          </w:p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・森之宮センターの7台の端末を和泉センターとリンク</w:t>
            </w:r>
          </w:p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（H29.4.1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  <w:p w:rsidR="001F30A7" w:rsidRDefault="001F30A7" w:rsidP="001F30A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F30A7">
              <w:rPr>
                <w:rFonts w:ascii="HG丸ｺﾞｼｯｸM-PRO" w:eastAsia="HG丸ｺﾞｼｯｸM-PRO" w:hAnsi="HG丸ｺﾞｼｯｸM-PRO" w:hint="eastAsia"/>
                <w:sz w:val="22"/>
              </w:rPr>
              <w:t>・森之宮センター全端末を和泉センターとリンク（H30.3.31）</w:t>
            </w:r>
          </w:p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【検討内容】</w:t>
            </w:r>
          </w:p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・メーリングリストの統一</w:t>
            </w:r>
          </w:p>
        </w:tc>
      </w:tr>
      <w:tr w:rsidR="001F30A7" w:rsidRPr="005F51FF" w:rsidTr="001F30A7">
        <w:tc>
          <w:tcPr>
            <w:tcW w:w="3227" w:type="dxa"/>
            <w:vMerge w:val="restart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スーパー公設試としてできること</w:t>
            </w:r>
          </w:p>
        </w:tc>
        <w:tc>
          <w:tcPr>
            <w:tcW w:w="4252" w:type="dxa"/>
          </w:tcPr>
          <w:p w:rsidR="001F30A7" w:rsidRPr="005F51FF" w:rsidRDefault="001F30A7" w:rsidP="001F30A7">
            <w:pPr>
              <w:ind w:left="174" w:hangingChars="79" w:hanging="174"/>
              <w:rPr>
                <w:rFonts w:ascii="HG丸ｺﾞｼｯｸM-PRO" w:eastAsia="HG丸ｺﾞｼｯｸM-PRO" w:hAnsi="HG丸ｺﾞｼｯｸM-PRO"/>
                <w:sz w:val="22"/>
              </w:rPr>
            </w:pPr>
            <w:r w:rsidRPr="005F51FF">
              <w:rPr>
                <w:rFonts w:ascii="HG丸ｺﾞｼｯｸM-PRO" w:eastAsia="HG丸ｺﾞｼｯｸM-PRO" w:hAnsi="HG丸ｺﾞｼｯｸM-PRO" w:hint="eastAsia"/>
                <w:sz w:val="22"/>
              </w:rPr>
              <w:t>④技術力の結集による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成長分野の研究開　　発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【取組内容】</w:t>
            </w:r>
          </w:p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・融合研究チームの立ち上げ(H29.4.1)</w:t>
            </w:r>
          </w:p>
          <w:p w:rsidR="001F30A7" w:rsidRPr="00564295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・「CAE・計算科学センター」の設立（H29.8.1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1F30A7" w:rsidRPr="005F51FF" w:rsidTr="001F30A7">
        <w:tc>
          <w:tcPr>
            <w:tcW w:w="3227" w:type="dxa"/>
            <w:vMerge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</w:tcPr>
          <w:p w:rsidR="001F30A7" w:rsidRPr="005F51FF" w:rsidRDefault="001F30A7" w:rsidP="001F30A7">
            <w:pPr>
              <w:ind w:left="174" w:hangingChars="79" w:hanging="174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⑤産学官連携によるオープンイノベーションの推進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【取組内容】</w:t>
            </w:r>
          </w:p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・大阪工業大学との包括連携協定の締結(H29.6.5)</w:t>
            </w:r>
          </w:p>
          <w:p w:rsidR="001F30A7" w:rsidRDefault="001F30A7" w:rsidP="005E251E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・「ライフ＆</w:t>
            </w:r>
            <w:r w:rsidR="005E251E">
              <w:rPr>
                <w:rFonts w:ascii="HG丸ｺﾞｼｯｸM-PRO" w:eastAsia="HG丸ｺﾞｼｯｸM-PRO" w:hAnsi="HG丸ｺﾞｼｯｸM-PRO" w:hint="eastAsia"/>
                <w:sz w:val="22"/>
              </w:rPr>
              <w:t>メディカル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イノベーションプロジェクト」の推進</w:t>
            </w:r>
          </w:p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・第15回グリーンナノフォーラムの開催(H29.9.22)</w:t>
            </w:r>
          </w:p>
        </w:tc>
      </w:tr>
      <w:tr w:rsidR="001F30A7" w:rsidRPr="005F51FF" w:rsidTr="001F30A7">
        <w:tc>
          <w:tcPr>
            <w:tcW w:w="3227" w:type="dxa"/>
            <w:vMerge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2" w:type="dxa"/>
          </w:tcPr>
          <w:p w:rsidR="001F30A7" w:rsidRPr="005F51FF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⑥国際基準対応の推進</w:t>
            </w:r>
          </w:p>
        </w:tc>
        <w:tc>
          <w:tcPr>
            <w:tcW w:w="5871" w:type="dxa"/>
          </w:tcPr>
          <w:p w:rsidR="001F30A7" w:rsidRDefault="001F30A7" w:rsidP="001F30A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="007F3E39">
              <w:rPr>
                <w:rFonts w:ascii="HG丸ｺﾞｼｯｸM-PRO" w:eastAsia="HG丸ｺﾞｼｯｸM-PRO" w:hAnsi="HG丸ｺﾞｼｯｸM-PRO" w:hint="eastAsia"/>
                <w:sz w:val="22"/>
              </w:rPr>
              <w:t>取組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内容】</w:t>
            </w:r>
          </w:p>
          <w:p w:rsidR="007F3E39" w:rsidRPr="005F51FF" w:rsidRDefault="001F30A7" w:rsidP="007F3E39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・JETRO、りそな銀行</w:t>
            </w:r>
            <w:r w:rsidR="007F3E39">
              <w:rPr>
                <w:rFonts w:ascii="HG丸ｺﾞｼｯｸM-PRO" w:eastAsia="HG丸ｺﾞｼｯｸM-PRO" w:hAnsi="HG丸ｺﾞｼｯｸM-PRO" w:hint="eastAsia"/>
                <w:sz w:val="22"/>
              </w:rPr>
              <w:t>、近畿大阪銀行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と連携した連続講座の開催</w:t>
            </w:r>
            <w:r w:rsidR="007F3E39">
              <w:rPr>
                <w:rFonts w:ascii="HG丸ｺﾞｼｯｸM-PRO" w:eastAsia="HG丸ｺﾞｼｯｸM-PRO" w:hAnsi="HG丸ｺﾞｼｯｸM-PRO" w:hint="eastAsia"/>
                <w:sz w:val="22"/>
              </w:rPr>
              <w:t>（第1回H29.10.17</w:t>
            </w:r>
            <w:r w:rsidR="007F3E39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</w:tbl>
    <w:p w:rsidR="005F51FF" w:rsidRDefault="005F51FF">
      <w:pPr>
        <w:rPr>
          <w:rFonts w:asciiTheme="majorEastAsia" w:eastAsiaTheme="majorEastAsia" w:hAnsiTheme="majorEastAsia"/>
          <w:sz w:val="24"/>
          <w:szCs w:val="24"/>
        </w:rPr>
      </w:pPr>
    </w:p>
    <w:p w:rsidR="005F51FF" w:rsidRPr="005F51FF" w:rsidRDefault="005F51FF">
      <w:pPr>
        <w:rPr>
          <w:rFonts w:ascii="HG丸ｺﾞｼｯｸM-PRO" w:eastAsia="HG丸ｺﾞｼｯｸM-PRO" w:hAnsi="HG丸ｺﾞｼｯｸM-PRO"/>
          <w:sz w:val="22"/>
        </w:rPr>
      </w:pPr>
    </w:p>
    <w:p w:rsidR="005F51FF" w:rsidRPr="007F3E39" w:rsidRDefault="005F51FF">
      <w:pPr>
        <w:rPr>
          <w:rFonts w:asciiTheme="majorEastAsia" w:eastAsiaTheme="majorEastAsia" w:hAnsiTheme="majorEastAsia"/>
          <w:sz w:val="24"/>
          <w:szCs w:val="24"/>
        </w:rPr>
      </w:pPr>
    </w:p>
    <w:sectPr w:rsidR="005F51FF" w:rsidRPr="007F3E39" w:rsidSect="00E80FD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FF"/>
    <w:rsid w:val="000F7494"/>
    <w:rsid w:val="001F30A7"/>
    <w:rsid w:val="002A1EBA"/>
    <w:rsid w:val="003E5DD9"/>
    <w:rsid w:val="004E7837"/>
    <w:rsid w:val="00564295"/>
    <w:rsid w:val="005E251E"/>
    <w:rsid w:val="005F51FF"/>
    <w:rsid w:val="00663082"/>
    <w:rsid w:val="00701C72"/>
    <w:rsid w:val="00705977"/>
    <w:rsid w:val="007F3E39"/>
    <w:rsid w:val="009D37F9"/>
    <w:rsid w:val="00AC2CAE"/>
    <w:rsid w:val="00E316D0"/>
    <w:rsid w:val="00E8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HOSTNAME</cp:lastModifiedBy>
  <cp:revision>11</cp:revision>
  <cp:lastPrinted>2017-08-04T06:46:00Z</cp:lastPrinted>
  <dcterms:created xsi:type="dcterms:W3CDTF">2017-07-26T02:15:00Z</dcterms:created>
  <dcterms:modified xsi:type="dcterms:W3CDTF">2017-08-07T02:48:00Z</dcterms:modified>
</cp:coreProperties>
</file>