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5B" w:rsidRPr="005C0E79" w:rsidRDefault="006742CF" w:rsidP="00D62421">
      <w:pPr>
        <w:spacing w:line="0" w:lineRule="atLeast"/>
        <w:ind w:right="840"/>
        <w:jc w:val="right"/>
        <w:rPr>
          <w:rFonts w:ascii="ＭＳ ゴシック" w:eastAsia="ＭＳ ゴシック" w:hAnsi="ＭＳ ゴシック"/>
          <w:sz w:val="28"/>
          <w:szCs w:val="24"/>
          <w:bdr w:val="single" w:sz="4" w:space="0" w:color="auto"/>
        </w:rPr>
      </w:pPr>
      <w:bookmarkStart w:id="0" w:name="_GoBack"/>
      <w:bookmarkEnd w:id="0"/>
      <w:r>
        <w:rPr>
          <w:rFonts w:ascii="ＭＳ ゴシック" w:eastAsia="ＭＳ ゴシック" w:hAnsi="ＭＳ ゴシック" w:hint="eastAsia"/>
          <w:sz w:val="28"/>
          <w:szCs w:val="24"/>
          <w:bdr w:val="single" w:sz="4" w:space="0" w:color="auto"/>
        </w:rPr>
        <w:t>別紙</w:t>
      </w:r>
    </w:p>
    <w:p w:rsidR="002D4F68" w:rsidRDefault="00C8435A" w:rsidP="004702FA">
      <w:pPr>
        <w:spacing w:line="0" w:lineRule="atLeast"/>
        <w:rPr>
          <w:rFonts w:ascii="ＭＳ ゴシック" w:eastAsia="ＭＳ ゴシック" w:hAnsi="ＭＳ ゴシック"/>
          <w:sz w:val="28"/>
          <w:szCs w:val="24"/>
        </w:rPr>
      </w:pPr>
      <w:r>
        <w:rPr>
          <w:rFonts w:ascii="ＭＳ ゴシック" w:eastAsia="ＭＳ ゴシック" w:hAnsi="ＭＳ ゴシック"/>
          <w:noProof/>
          <w:sz w:val="8"/>
          <w:szCs w:val="8"/>
        </w:rPr>
        <mc:AlternateContent>
          <mc:Choice Requires="wps">
            <w:drawing>
              <wp:anchor distT="0" distB="0" distL="114300" distR="114300" simplePos="0" relativeHeight="251659264" behindDoc="0" locked="0" layoutInCell="1" allowOverlap="1" wp14:anchorId="4C30F9DC" wp14:editId="0DEE43FE">
                <wp:simplePos x="0" y="0"/>
                <wp:positionH relativeFrom="rightMargin">
                  <wp:posOffset>-506796</wp:posOffset>
                </wp:positionH>
                <wp:positionV relativeFrom="paragraph">
                  <wp:posOffset>262510</wp:posOffset>
                </wp:positionV>
                <wp:extent cx="676893" cy="2609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6893" cy="2609850"/>
                        </a:xfrm>
                        <a:prstGeom prst="rect">
                          <a:avLst/>
                        </a:prstGeom>
                        <a:noFill/>
                        <a:ln w="6350">
                          <a:noFill/>
                        </a:ln>
                      </wps:spPr>
                      <wps:txbx>
                        <w:txbxContent>
                          <w:p w:rsidR="00D62421" w:rsidRPr="00C8435A" w:rsidRDefault="00D62421" w:rsidP="00BD773C">
                            <w:pPr>
                              <w:pStyle w:val="aa"/>
                              <w:numPr>
                                <w:ilvl w:val="0"/>
                                <w:numId w:val="3"/>
                              </w:numPr>
                              <w:ind w:leftChars="0"/>
                              <w:rPr>
                                <w:rFonts w:ascii="HGPｺﾞｼｯｸM" w:eastAsia="HGPｺﾞｼｯｸM"/>
                                <w:sz w:val="32"/>
                              </w:rPr>
                            </w:pPr>
                            <w:r w:rsidRPr="00C8435A">
                              <w:rPr>
                                <w:rFonts w:ascii="HGPｺﾞｼｯｸM" w:eastAsia="HGPｺﾞｼｯｸM" w:hint="eastAsia"/>
                                <w:sz w:val="32"/>
                              </w:rPr>
                              <w:t>手話言語条例評価</w:t>
                            </w:r>
                            <w:r w:rsidRPr="00C8435A">
                              <w:rPr>
                                <w:rFonts w:ascii="HGPｺﾞｼｯｸM" w:eastAsia="HGPｺﾞｼｯｸM"/>
                                <w:sz w:val="32"/>
                              </w:rPr>
                              <w:t>部会</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0F9DC" id="_x0000_t202" coordsize="21600,21600" o:spt="202" path="m,l,21600r21600,l21600,xe">
                <v:stroke joinstyle="miter"/>
                <v:path gradientshapeok="t" o:connecttype="rect"/>
              </v:shapetype>
              <v:shape id="テキスト ボックス 3" o:spid="_x0000_s1026" type="#_x0000_t202" style="position:absolute;left:0;text-align:left;margin-left:-39.9pt;margin-top:20.65pt;width:53.3pt;height:205.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" filled="f" stroked="f" strokeweight=".5pt">
                <v:textbox style="layout-flow:vertical">
                  <w:txbxContent>
                    <w:p w:rsidR="00D62421" w:rsidRPr="00C8435A" w:rsidRDefault="00D62421" w:rsidP="00BD773C">
                      <w:pPr>
                        <w:pStyle w:val="aa"/>
                        <w:numPr>
                          <w:ilvl w:val="0"/>
                          <w:numId w:val="3"/>
                        </w:numPr>
                        <w:ind w:leftChars="0"/>
                        <w:rPr>
                          <w:rFonts w:ascii="HGPｺﾞｼｯｸM" w:eastAsia="HGPｺﾞｼｯｸM"/>
                          <w:sz w:val="32"/>
                        </w:rPr>
                      </w:pPr>
                      <w:r w:rsidRPr="00C8435A">
                        <w:rPr>
                          <w:rFonts w:ascii="HGPｺﾞｼｯｸM" w:eastAsia="HGPｺﾞｼｯｸM" w:hint="eastAsia"/>
                          <w:sz w:val="32"/>
                        </w:rPr>
                        <w:t>手話言語条例評価</w:t>
                      </w:r>
                      <w:r w:rsidRPr="00C8435A">
                        <w:rPr>
                          <w:rFonts w:ascii="HGPｺﾞｼｯｸM" w:eastAsia="HGPｺﾞｼｯｸM"/>
                          <w:sz w:val="32"/>
                        </w:rPr>
                        <w:t>部会</w:t>
                      </w:r>
                    </w:p>
                  </w:txbxContent>
                </v:textbox>
                <w10:wrap anchorx="margin"/>
              </v:shape>
            </w:pict>
          </mc:Fallback>
        </mc:AlternateContent>
      </w:r>
      <w:r w:rsidR="00D62421" w:rsidRPr="00D3203A">
        <w:rPr>
          <w:noProof/>
        </w:rPr>
        <mc:AlternateContent>
          <mc:Choice Requires="wps">
            <w:drawing>
              <wp:anchor distT="0" distB="0" distL="114300" distR="114300" simplePos="0" relativeHeight="251661312" behindDoc="0" locked="0" layoutInCell="1" allowOverlap="1" wp14:anchorId="0A3A87A8" wp14:editId="0272ED76">
                <wp:simplePos x="0" y="0"/>
                <wp:positionH relativeFrom="leftMargin">
                  <wp:posOffset>281163</wp:posOffset>
                </wp:positionH>
                <wp:positionV relativeFrom="paragraph">
                  <wp:posOffset>4629880</wp:posOffset>
                </wp:positionV>
                <wp:extent cx="425450" cy="156019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425450" cy="1560195"/>
                        </a:xfrm>
                        <a:prstGeom prst="rect">
                          <a:avLst/>
                        </a:prstGeom>
                        <a:noFill/>
                        <a:ln w="6350">
                          <a:noFill/>
                        </a:ln>
                      </wps:spPr>
                      <wps:txbx>
                        <w:txbxContent>
                          <w:p w:rsidR="00D62421" w:rsidRPr="00C8435A" w:rsidRDefault="00676557" w:rsidP="00D62421">
                            <w:pPr>
                              <w:jc w:val="center"/>
                              <w:rPr>
                                <w:rFonts w:ascii="HGPｺﾞｼｯｸM" w:eastAsia="HGPｺﾞｼｯｸM"/>
                                <w:sz w:val="24"/>
                              </w:rPr>
                            </w:pPr>
                            <w:r w:rsidRPr="00C8435A">
                              <w:rPr>
                                <w:rFonts w:ascii="HGPｺﾞｼｯｸM" w:eastAsia="HGPｺﾞｼｯｸM" w:hint="eastAsia"/>
                                <w:sz w:val="24"/>
                              </w:rPr>
                              <w:t>48</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A87A8" id="テキスト ボックス 5" o:spid="_x0000_s1027" type="#_x0000_t202" style="position:absolute;left:0;text-align:left;margin-left:22.15pt;margin-top:364.55pt;width:33.5pt;height:122.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" filled="f" stroked="f" strokeweight=".5pt">
                <v:textbox style="layout-flow:vertical">
                  <w:txbxContent>
                    <w:p w:rsidR="00D62421" w:rsidRPr="00C8435A" w:rsidRDefault="00676557" w:rsidP="00D62421">
                      <w:pPr>
                        <w:jc w:val="center"/>
                        <w:rPr>
                          <w:rFonts w:ascii="HGPｺﾞｼｯｸM" w:eastAsia="HGPｺﾞｼｯｸM"/>
                          <w:sz w:val="24"/>
                        </w:rPr>
                      </w:pPr>
                      <w:r w:rsidRPr="00C8435A">
                        <w:rPr>
                          <w:rFonts w:ascii="HGPｺﾞｼｯｸM" w:eastAsia="HGPｺﾞｼｯｸM" w:hint="eastAsia"/>
                          <w:sz w:val="24"/>
                        </w:rPr>
                        <w:t>48</w:t>
                      </w:r>
                    </w:p>
                  </w:txbxContent>
                </v:textbox>
                <w10:wrap anchorx="margin"/>
              </v:shape>
            </w:pict>
          </mc:Fallback>
        </mc:AlternateContent>
      </w:r>
      <w:r w:rsidR="00A56D23" w:rsidRPr="00101A34">
        <w:rPr>
          <w:rFonts w:ascii="ＭＳ ゴシック" w:eastAsia="ＭＳ ゴシック" w:hAnsi="ＭＳ ゴシック" w:hint="eastAsia"/>
          <w:sz w:val="28"/>
          <w:szCs w:val="24"/>
        </w:rPr>
        <w:t>■</w:t>
      </w:r>
      <w:r w:rsidR="008F2DB4">
        <w:rPr>
          <w:rFonts w:ascii="ＭＳ ゴシック" w:eastAsia="ＭＳ ゴシック" w:hAnsi="ＭＳ ゴシック" w:hint="eastAsia"/>
          <w:sz w:val="28"/>
          <w:szCs w:val="24"/>
        </w:rPr>
        <w:t>手話言語条例に基づく施策</w:t>
      </w:r>
      <w:r w:rsidR="00BA678B" w:rsidRPr="00101A34">
        <w:rPr>
          <w:rFonts w:ascii="ＭＳ ゴシック" w:eastAsia="ＭＳ ゴシック" w:hAnsi="ＭＳ ゴシック" w:hint="eastAsia"/>
          <w:sz w:val="28"/>
          <w:szCs w:val="24"/>
        </w:rPr>
        <w:t>の実施状況</w:t>
      </w:r>
    </w:p>
    <w:tbl>
      <w:tblPr>
        <w:tblStyle w:val="a3"/>
        <w:tblW w:w="21262" w:type="dxa"/>
        <w:tblInd w:w="284" w:type="dxa"/>
        <w:tblLook w:val="04A0" w:firstRow="1" w:lastRow="0" w:firstColumn="1" w:lastColumn="0" w:noHBand="0" w:noVBand="1"/>
      </w:tblPr>
      <w:tblGrid>
        <w:gridCol w:w="1134"/>
        <w:gridCol w:w="3402"/>
        <w:gridCol w:w="4673"/>
        <w:gridCol w:w="4205"/>
        <w:gridCol w:w="3879"/>
        <w:gridCol w:w="3969"/>
      </w:tblGrid>
      <w:tr w:rsidR="00096025" w:rsidRPr="004702FA" w:rsidTr="005E0ED8">
        <w:tc>
          <w:tcPr>
            <w:tcW w:w="1134" w:type="dxa"/>
            <w:vMerge w:val="restart"/>
            <w:tcBorders>
              <w:top w:val="nil"/>
              <w:left w:val="nil"/>
            </w:tcBorders>
            <w:shd w:val="clear" w:color="auto" w:fill="auto"/>
            <w:vAlign w:val="center"/>
          </w:tcPr>
          <w:p w:rsidR="00096025" w:rsidRPr="005E0ED8" w:rsidRDefault="00096025" w:rsidP="0036434A">
            <w:pPr>
              <w:spacing w:line="0" w:lineRule="atLeast"/>
              <w:jc w:val="center"/>
              <w:rPr>
                <w:rFonts w:ascii="ＭＳ ゴシック" w:eastAsia="ＭＳ ゴシック" w:hAnsi="ＭＳ ゴシック"/>
                <w:sz w:val="22"/>
                <w:szCs w:val="24"/>
              </w:rPr>
            </w:pPr>
          </w:p>
        </w:tc>
        <w:tc>
          <w:tcPr>
            <w:tcW w:w="3402" w:type="dxa"/>
            <w:vMerge w:val="restart"/>
            <w:shd w:val="pct15" w:color="auto" w:fill="auto"/>
            <w:vAlign w:val="center"/>
          </w:tcPr>
          <w:p w:rsidR="00096025" w:rsidRPr="005E0ED8" w:rsidRDefault="00096025" w:rsidP="0036434A">
            <w:pPr>
              <w:spacing w:line="0" w:lineRule="atLeast"/>
              <w:jc w:val="center"/>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施策</w:t>
            </w:r>
          </w:p>
        </w:tc>
        <w:tc>
          <w:tcPr>
            <w:tcW w:w="4673" w:type="dxa"/>
            <w:vMerge w:val="restart"/>
            <w:shd w:val="pct15" w:color="auto" w:fill="auto"/>
            <w:vAlign w:val="center"/>
          </w:tcPr>
          <w:p w:rsidR="00096025" w:rsidRPr="005E0ED8" w:rsidRDefault="00096025" w:rsidP="00E22EA7">
            <w:pPr>
              <w:spacing w:line="0" w:lineRule="atLeast"/>
              <w:jc w:val="center"/>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目標</w:t>
            </w:r>
          </w:p>
        </w:tc>
        <w:tc>
          <w:tcPr>
            <w:tcW w:w="4205" w:type="dxa"/>
            <w:tcBorders>
              <w:right w:val="nil"/>
            </w:tcBorders>
            <w:shd w:val="pct15" w:color="auto" w:fill="auto"/>
            <w:vAlign w:val="center"/>
          </w:tcPr>
          <w:p w:rsidR="00096025" w:rsidRPr="005E0ED8" w:rsidRDefault="00096025" w:rsidP="00380A7C">
            <w:pPr>
              <w:spacing w:line="0" w:lineRule="atLeast"/>
              <w:jc w:val="center"/>
              <w:rPr>
                <w:rFonts w:ascii="ＭＳ ゴシック" w:eastAsia="ＭＳ ゴシック" w:hAnsi="ＭＳ ゴシック"/>
                <w:sz w:val="22"/>
                <w:szCs w:val="24"/>
              </w:rPr>
            </w:pPr>
          </w:p>
        </w:tc>
        <w:tc>
          <w:tcPr>
            <w:tcW w:w="3879" w:type="dxa"/>
            <w:tcBorders>
              <w:left w:val="nil"/>
              <w:right w:val="nil"/>
            </w:tcBorders>
            <w:shd w:val="pct15" w:color="auto" w:fill="auto"/>
            <w:vAlign w:val="center"/>
          </w:tcPr>
          <w:p w:rsidR="00096025" w:rsidRPr="005E0ED8" w:rsidRDefault="00096025" w:rsidP="00380A7C">
            <w:pPr>
              <w:spacing w:line="0" w:lineRule="atLeast"/>
              <w:jc w:val="center"/>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実績等</w:t>
            </w:r>
          </w:p>
        </w:tc>
        <w:tc>
          <w:tcPr>
            <w:tcW w:w="3969" w:type="dxa"/>
            <w:tcBorders>
              <w:left w:val="nil"/>
            </w:tcBorders>
            <w:shd w:val="pct15" w:color="auto" w:fill="auto"/>
            <w:vAlign w:val="center"/>
          </w:tcPr>
          <w:p w:rsidR="00096025" w:rsidRPr="005E0ED8" w:rsidRDefault="00096025" w:rsidP="00380A7C">
            <w:pPr>
              <w:spacing w:line="0" w:lineRule="atLeast"/>
              <w:jc w:val="center"/>
              <w:rPr>
                <w:rFonts w:ascii="ＭＳ ゴシック" w:eastAsia="ＭＳ ゴシック" w:hAnsi="ＭＳ ゴシック"/>
                <w:sz w:val="22"/>
                <w:szCs w:val="24"/>
              </w:rPr>
            </w:pPr>
          </w:p>
        </w:tc>
      </w:tr>
      <w:tr w:rsidR="001A7F23" w:rsidRPr="004702FA" w:rsidTr="005E0ED8">
        <w:tc>
          <w:tcPr>
            <w:tcW w:w="1134" w:type="dxa"/>
            <w:vMerge/>
            <w:tcBorders>
              <w:left w:val="nil"/>
              <w:bottom w:val="single" w:sz="4" w:space="0" w:color="auto"/>
            </w:tcBorders>
            <w:shd w:val="clear" w:color="auto" w:fill="auto"/>
            <w:vAlign w:val="center"/>
          </w:tcPr>
          <w:p w:rsidR="001A7F23" w:rsidRPr="005E0ED8" w:rsidRDefault="001A7F23" w:rsidP="00A56D23">
            <w:pPr>
              <w:spacing w:line="0" w:lineRule="atLeast"/>
              <w:jc w:val="center"/>
              <w:rPr>
                <w:rFonts w:ascii="ＭＳ ゴシック" w:eastAsia="ＭＳ ゴシック" w:hAnsi="ＭＳ ゴシック"/>
                <w:sz w:val="22"/>
                <w:szCs w:val="24"/>
              </w:rPr>
            </w:pPr>
          </w:p>
        </w:tc>
        <w:tc>
          <w:tcPr>
            <w:tcW w:w="3402" w:type="dxa"/>
            <w:vMerge/>
            <w:shd w:val="pct15" w:color="auto" w:fill="auto"/>
            <w:vAlign w:val="center"/>
          </w:tcPr>
          <w:p w:rsidR="001A7F23" w:rsidRPr="005E0ED8" w:rsidRDefault="001A7F23" w:rsidP="00A56D23">
            <w:pPr>
              <w:spacing w:line="0" w:lineRule="atLeast"/>
              <w:jc w:val="center"/>
              <w:rPr>
                <w:rFonts w:ascii="ＭＳ ゴシック" w:eastAsia="ＭＳ ゴシック" w:hAnsi="ＭＳ ゴシック"/>
                <w:sz w:val="22"/>
                <w:szCs w:val="24"/>
              </w:rPr>
            </w:pPr>
          </w:p>
        </w:tc>
        <w:tc>
          <w:tcPr>
            <w:tcW w:w="4673" w:type="dxa"/>
            <w:vMerge/>
            <w:shd w:val="pct15" w:color="auto" w:fill="auto"/>
          </w:tcPr>
          <w:p w:rsidR="001A7F23" w:rsidRPr="005E0ED8" w:rsidRDefault="001A7F23" w:rsidP="00E22EA7">
            <w:pPr>
              <w:spacing w:line="0" w:lineRule="atLeast"/>
              <w:jc w:val="center"/>
              <w:rPr>
                <w:rFonts w:ascii="ＭＳ ゴシック" w:eastAsia="ＭＳ ゴシック" w:hAnsi="ＭＳ ゴシック"/>
                <w:sz w:val="22"/>
                <w:szCs w:val="24"/>
              </w:rPr>
            </w:pPr>
          </w:p>
        </w:tc>
        <w:tc>
          <w:tcPr>
            <w:tcW w:w="4205" w:type="dxa"/>
            <w:shd w:val="pct15" w:color="auto" w:fill="auto"/>
            <w:vAlign w:val="center"/>
          </w:tcPr>
          <w:p w:rsidR="001A7F23" w:rsidRPr="005E0ED8" w:rsidRDefault="001A7F23" w:rsidP="00380A7C">
            <w:pPr>
              <w:spacing w:line="0" w:lineRule="atLeast"/>
              <w:jc w:val="center"/>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Ｈ29年度</w:t>
            </w:r>
          </w:p>
        </w:tc>
        <w:tc>
          <w:tcPr>
            <w:tcW w:w="3879" w:type="dxa"/>
            <w:shd w:val="pct15" w:color="auto" w:fill="auto"/>
            <w:vAlign w:val="center"/>
          </w:tcPr>
          <w:p w:rsidR="001A7F23" w:rsidRPr="005E0ED8" w:rsidRDefault="001A7F23" w:rsidP="00380A7C">
            <w:pPr>
              <w:spacing w:line="0" w:lineRule="atLeast"/>
              <w:jc w:val="center"/>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Ｈ30年度</w:t>
            </w:r>
          </w:p>
        </w:tc>
        <w:tc>
          <w:tcPr>
            <w:tcW w:w="3969" w:type="dxa"/>
            <w:shd w:val="pct15" w:color="auto" w:fill="auto"/>
            <w:vAlign w:val="center"/>
          </w:tcPr>
          <w:p w:rsidR="001A7F23" w:rsidRPr="005E0ED8" w:rsidRDefault="001A7F23" w:rsidP="00380A7C">
            <w:pPr>
              <w:spacing w:line="0" w:lineRule="atLeast"/>
              <w:jc w:val="center"/>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Ｒ１年度（12月末時点）</w:t>
            </w:r>
          </w:p>
        </w:tc>
      </w:tr>
      <w:tr w:rsidR="00AE3DA5" w:rsidRPr="004702FA" w:rsidTr="005E0ED8">
        <w:trPr>
          <w:trHeight w:val="1105"/>
        </w:trPr>
        <w:tc>
          <w:tcPr>
            <w:tcW w:w="1134" w:type="dxa"/>
            <w:vMerge w:val="restart"/>
            <w:shd w:val="pct15" w:color="auto" w:fill="auto"/>
            <w:vAlign w:val="center"/>
          </w:tcPr>
          <w:p w:rsidR="00AE3DA5" w:rsidRPr="005E0ED8" w:rsidRDefault="00096025" w:rsidP="005C0E79">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§３</w:t>
            </w:r>
          </w:p>
          <w:p w:rsidR="00AE3DA5" w:rsidRPr="005E0ED8" w:rsidRDefault="00096025" w:rsidP="008A0715">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くらす</w:t>
            </w:r>
          </w:p>
        </w:tc>
        <w:tc>
          <w:tcPr>
            <w:tcW w:w="3402" w:type="dxa"/>
            <w:vAlign w:val="center"/>
          </w:tcPr>
          <w:p w:rsidR="00A720AB" w:rsidRPr="005E0ED8" w:rsidRDefault="00AE3DA5" w:rsidP="00A720AB">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条例施策の企画</w:t>
            </w:r>
            <w:r w:rsidR="00A720AB" w:rsidRPr="005E0ED8">
              <w:rPr>
                <w:rFonts w:ascii="ＭＳ ゴシック" w:eastAsia="ＭＳ ゴシック" w:hAnsi="ＭＳ ゴシック" w:hint="eastAsia"/>
                <w:sz w:val="22"/>
                <w:szCs w:val="24"/>
              </w:rPr>
              <w:t>調整</w:t>
            </w:r>
            <w:r w:rsidRPr="005E0ED8">
              <w:rPr>
                <w:rFonts w:ascii="ＭＳ ゴシック" w:eastAsia="ＭＳ ゴシック" w:hAnsi="ＭＳ ゴシック" w:hint="eastAsia"/>
                <w:sz w:val="22"/>
                <w:szCs w:val="24"/>
              </w:rPr>
              <w:t>等を担う</w:t>
            </w:r>
          </w:p>
          <w:p w:rsidR="00AE3DA5" w:rsidRPr="005E0ED8" w:rsidRDefault="00AE3DA5" w:rsidP="004D343A">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「タスクフォース」</w:t>
            </w:r>
            <w:r w:rsidR="00A720AB" w:rsidRPr="005E0ED8">
              <w:rPr>
                <w:rFonts w:ascii="ＭＳ ゴシック" w:eastAsia="ＭＳ ゴシック" w:hAnsi="ＭＳ ゴシック" w:hint="eastAsia"/>
                <w:sz w:val="22"/>
                <w:szCs w:val="24"/>
              </w:rPr>
              <w:t>の設置運営</w:t>
            </w:r>
          </w:p>
        </w:tc>
        <w:tc>
          <w:tcPr>
            <w:tcW w:w="4673" w:type="dxa"/>
            <w:vAlign w:val="center"/>
          </w:tcPr>
          <w:p w:rsidR="00AE3DA5" w:rsidRPr="005E0ED8" w:rsidRDefault="00AE3DA5" w:rsidP="002D4F68">
            <w:pPr>
              <w:spacing w:line="0" w:lineRule="atLeast"/>
              <w:ind w:left="220" w:hangingChars="100" w:hanging="22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w:t>
            </w:r>
            <w:r w:rsidR="00A720AB" w:rsidRPr="005E0ED8">
              <w:rPr>
                <w:rFonts w:ascii="UD デジタル 教科書体 NP-R" w:eastAsia="UD デジタル 教科書体 NP-R" w:hint="eastAsia"/>
                <w:sz w:val="22"/>
                <w:szCs w:val="24"/>
              </w:rPr>
              <w:t>手話言語獲得・習得環境整備に係る高度専門性と連携体制確保</w:t>
            </w:r>
          </w:p>
          <w:p w:rsidR="001A7F23" w:rsidRPr="005E0ED8" w:rsidRDefault="001A7F23" w:rsidP="00A720AB">
            <w:pPr>
              <w:spacing w:line="0" w:lineRule="atLeast"/>
              <w:ind w:left="220" w:hangingChars="100" w:hanging="22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w:t>
            </w:r>
            <w:r w:rsidR="00A720AB" w:rsidRPr="005E0ED8">
              <w:rPr>
                <w:rFonts w:ascii="UD デジタル 教科書体 NP-R" w:eastAsia="UD デジタル 教科書体 NP-R" w:hint="eastAsia"/>
                <w:sz w:val="22"/>
                <w:szCs w:val="24"/>
              </w:rPr>
              <w:t>手話言語獲得等に係る有効性の</w:t>
            </w:r>
          </w:p>
          <w:p w:rsidR="00A720AB" w:rsidRPr="005E0ED8" w:rsidRDefault="00A720AB" w:rsidP="00A720AB">
            <w:pPr>
              <w:spacing w:line="0" w:lineRule="atLeast"/>
              <w:ind w:left="220" w:hangingChars="100" w:hanging="22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 xml:space="preserve">　調査研究の計画的実施等</w:t>
            </w:r>
          </w:p>
        </w:tc>
        <w:tc>
          <w:tcPr>
            <w:tcW w:w="4205" w:type="dxa"/>
            <w:vAlign w:val="center"/>
          </w:tcPr>
          <w:p w:rsidR="00AE3DA5" w:rsidRPr="005E0ED8" w:rsidRDefault="00AE3DA5" w:rsidP="00380A7C">
            <w:pPr>
              <w:spacing w:line="0" w:lineRule="atLeast"/>
              <w:jc w:val="center"/>
              <w:rPr>
                <w:sz w:val="22"/>
              </w:rPr>
            </w:pPr>
            <w:r w:rsidRPr="005E0ED8">
              <w:rPr>
                <w:rFonts w:hint="eastAsia"/>
                <w:sz w:val="22"/>
              </w:rPr>
              <w:t>－</w:t>
            </w:r>
          </w:p>
        </w:tc>
        <w:tc>
          <w:tcPr>
            <w:tcW w:w="3879" w:type="dxa"/>
            <w:vAlign w:val="center"/>
          </w:tcPr>
          <w:p w:rsidR="00AE3DA5" w:rsidRPr="005E0ED8" w:rsidRDefault="00AE3DA5" w:rsidP="00380A7C">
            <w:pPr>
              <w:spacing w:line="0" w:lineRule="atLeast"/>
              <w:jc w:val="center"/>
              <w:rPr>
                <w:sz w:val="22"/>
              </w:rPr>
            </w:pPr>
            <w:r w:rsidRPr="005E0ED8">
              <w:rPr>
                <w:rFonts w:hint="eastAsia"/>
                <w:sz w:val="22"/>
              </w:rPr>
              <w:t>－</w:t>
            </w:r>
          </w:p>
        </w:tc>
        <w:tc>
          <w:tcPr>
            <w:tcW w:w="3969" w:type="dxa"/>
            <w:vAlign w:val="center"/>
          </w:tcPr>
          <w:p w:rsidR="00AE3DA5" w:rsidRPr="005E0ED8" w:rsidRDefault="00AE3DA5" w:rsidP="004D343A">
            <w:pPr>
              <w:spacing w:line="0" w:lineRule="atLeast"/>
              <w:ind w:leftChars="100" w:left="21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関連施策の年間計画</w:t>
            </w:r>
            <w:r w:rsidR="004D343A" w:rsidRPr="005E0ED8">
              <w:rPr>
                <w:rFonts w:ascii="UD デジタル 教科書体 NP-R" w:eastAsia="UD デジタル 教科書体 NP-R" w:hint="eastAsia"/>
                <w:sz w:val="22"/>
                <w:szCs w:val="24"/>
              </w:rPr>
              <w:t>の策定等</w:t>
            </w:r>
          </w:p>
        </w:tc>
      </w:tr>
      <w:tr w:rsidR="008873FE" w:rsidRPr="004702FA" w:rsidTr="005E0ED8">
        <w:trPr>
          <w:trHeight w:val="6356"/>
        </w:trPr>
        <w:tc>
          <w:tcPr>
            <w:tcW w:w="1134" w:type="dxa"/>
            <w:vMerge/>
            <w:shd w:val="pct15" w:color="auto" w:fill="auto"/>
            <w:vAlign w:val="center"/>
          </w:tcPr>
          <w:p w:rsidR="008873FE" w:rsidRPr="005E0ED8" w:rsidRDefault="008873FE" w:rsidP="008A0715">
            <w:pPr>
              <w:spacing w:line="0" w:lineRule="atLeast"/>
              <w:rPr>
                <w:rFonts w:ascii="ＭＳ ゴシック" w:eastAsia="ＭＳ ゴシック" w:hAnsi="ＭＳ ゴシック"/>
                <w:sz w:val="22"/>
                <w:szCs w:val="24"/>
              </w:rPr>
            </w:pPr>
          </w:p>
        </w:tc>
        <w:tc>
          <w:tcPr>
            <w:tcW w:w="3402" w:type="dxa"/>
            <w:vAlign w:val="center"/>
          </w:tcPr>
          <w:p w:rsidR="008873FE" w:rsidRPr="005E0ED8" w:rsidRDefault="008873FE" w:rsidP="00096025">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関係機関との連携による</w:t>
            </w:r>
          </w:p>
          <w:p w:rsidR="008873FE" w:rsidRPr="005E0ED8" w:rsidRDefault="008873FE" w:rsidP="004D343A">
            <w:pPr>
              <w:spacing w:line="0" w:lineRule="atLeast"/>
              <w:ind w:left="220" w:hangingChars="100" w:hanging="220"/>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手話獲得等早期支援の</w:t>
            </w:r>
            <w:r w:rsidR="004D343A" w:rsidRPr="005E0ED8">
              <w:rPr>
                <w:rFonts w:ascii="ＭＳ ゴシック" w:eastAsia="ＭＳ ゴシック" w:hAnsi="ＭＳ ゴシック" w:hint="eastAsia"/>
                <w:sz w:val="22"/>
                <w:szCs w:val="24"/>
              </w:rPr>
              <w:t>展開</w:t>
            </w:r>
          </w:p>
        </w:tc>
        <w:tc>
          <w:tcPr>
            <w:tcW w:w="4673" w:type="dxa"/>
          </w:tcPr>
          <w:p w:rsidR="008873FE" w:rsidRPr="005E0ED8" w:rsidRDefault="008873FE" w:rsidP="008873FE">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○新生児聴覚スクリーニング検査後の相談体制に係る関係機関との連携体制・ワンストップ相談体制の確保</w:t>
            </w:r>
          </w:p>
          <w:p w:rsidR="008873FE" w:rsidRPr="005E0ED8" w:rsidRDefault="008873FE" w:rsidP="008873FE">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○特に０歳代における公的制度の空白期間への対応（手話による確かな発達支援の実施・1歳以降は手話と音声の併用へ）</w:t>
            </w:r>
          </w:p>
          <w:p w:rsidR="008873FE" w:rsidRPr="005E0ED8" w:rsidRDefault="008873FE" w:rsidP="008873FE">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○支援等に係る専門人材の確保・派遣等の展開</w:t>
            </w:r>
          </w:p>
          <w:p w:rsidR="008873FE" w:rsidRPr="005E0ED8" w:rsidRDefault="008F2DB4" w:rsidP="008873FE">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○上記を含む条例に基づく施策に係る</w:t>
            </w:r>
            <w:r w:rsidR="008873FE" w:rsidRPr="005E0ED8">
              <w:rPr>
                <w:rFonts w:ascii="UD デジタル 教科書体 NP-R" w:eastAsia="UD デジタル 教科書体 NP-R" w:hint="eastAsia"/>
                <w:sz w:val="22"/>
                <w:szCs w:val="24"/>
              </w:rPr>
              <w:t>中核拠点機能の府立福祉情報コミュニケー</w:t>
            </w:r>
            <w:r w:rsidRPr="005E0ED8">
              <w:rPr>
                <w:rFonts w:ascii="UD デジタル 教科書体 NP-R" w:eastAsia="UD デジタル 教科書体 NP-R" w:hint="eastAsia"/>
                <w:sz w:val="22"/>
                <w:szCs w:val="24"/>
              </w:rPr>
              <w:t xml:space="preserve">　</w:t>
            </w:r>
            <w:r w:rsidR="008873FE" w:rsidRPr="005E0ED8">
              <w:rPr>
                <w:rFonts w:ascii="UD デジタル 教科書体 NP-R" w:eastAsia="UD デジタル 教科書体 NP-R" w:hint="eastAsia"/>
                <w:sz w:val="22"/>
                <w:szCs w:val="24"/>
              </w:rPr>
              <w:t>ションセンターにおける発揮</w:t>
            </w:r>
            <w:r w:rsidRPr="005E0ED8">
              <w:rPr>
                <w:rFonts w:ascii="UD デジタル 教科書体 NP-R" w:eastAsia="UD デジタル 教科書体 NP-R" w:hint="eastAsia"/>
                <w:sz w:val="22"/>
                <w:szCs w:val="24"/>
              </w:rPr>
              <w:t>（別添参照）</w:t>
            </w:r>
          </w:p>
        </w:tc>
        <w:tc>
          <w:tcPr>
            <w:tcW w:w="4205" w:type="dxa"/>
          </w:tcPr>
          <w:p w:rsidR="008873FE" w:rsidRPr="005E0ED8" w:rsidRDefault="008873FE" w:rsidP="00EB5559">
            <w:pPr>
              <w:spacing w:line="0" w:lineRule="atLeast"/>
              <w:ind w:left="440" w:hangingChars="200" w:hanging="440"/>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■関係機関ネットワーク</w:t>
            </w:r>
            <w:r w:rsidR="00EB5559" w:rsidRPr="005E0ED8">
              <w:rPr>
                <w:rFonts w:ascii="ＭＳ ゴシック" w:eastAsia="ＭＳ ゴシック" w:hAnsi="ＭＳ ゴシック" w:hint="eastAsia"/>
                <w:sz w:val="22"/>
                <w:szCs w:val="24"/>
              </w:rPr>
              <w:t xml:space="preserve">会議　</w:t>
            </w:r>
            <w:r w:rsidRPr="005E0ED8">
              <w:rPr>
                <w:rFonts w:ascii="UD デジタル 教科書体 NP-R" w:eastAsia="UD デジタル 教科書体 NP-R" w:hint="eastAsia"/>
                <w:sz w:val="22"/>
                <w:szCs w:val="24"/>
              </w:rPr>
              <w:t>２回</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■手話言語獲得支援</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○０～６歳児</w:t>
            </w:r>
            <w:r w:rsidR="004F6A14" w:rsidRPr="005E0ED8">
              <w:rPr>
                <w:rFonts w:ascii="ＭＳ ゴシック" w:eastAsia="ＭＳ ゴシック" w:hAnsi="ＭＳ ゴシック" w:hint="eastAsia"/>
                <w:sz w:val="22"/>
                <w:szCs w:val="24"/>
              </w:rPr>
              <w:t>支援</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18回・のべ524人※</w:t>
            </w:r>
          </w:p>
          <w:p w:rsidR="008873FE" w:rsidRPr="005E0ED8" w:rsidRDefault="008873FE" w:rsidP="00251E7B">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w:t>
            </w:r>
            <w:r w:rsidR="00251E7B" w:rsidRPr="005E0ED8">
              <w:rPr>
                <w:rFonts w:ascii="UD デジタル 教科書体 NP-R" w:eastAsia="UD デジタル 教科書体 NP-R" w:hint="eastAsia"/>
                <w:sz w:val="22"/>
                <w:szCs w:val="24"/>
              </w:rPr>
              <w:t>H29年度のみ子どものみの数</w:t>
            </w:r>
          </w:p>
        </w:tc>
        <w:tc>
          <w:tcPr>
            <w:tcW w:w="3879" w:type="dxa"/>
          </w:tcPr>
          <w:p w:rsidR="008873FE" w:rsidRPr="005E0ED8" w:rsidRDefault="008873FE" w:rsidP="00EB5559">
            <w:pPr>
              <w:spacing w:line="0" w:lineRule="atLeast"/>
              <w:ind w:left="440" w:hangingChars="200" w:hanging="440"/>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 xml:space="preserve">■関係機関ネットワーク会議　</w:t>
            </w:r>
            <w:r w:rsidRPr="005E0ED8">
              <w:rPr>
                <w:rFonts w:ascii="UD デジタル 教科書体 NP-R" w:eastAsia="UD デジタル 教科書体 NP-R" w:hint="eastAsia"/>
                <w:sz w:val="22"/>
                <w:szCs w:val="24"/>
              </w:rPr>
              <w:t>２回</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■相談支援</w:t>
            </w:r>
          </w:p>
          <w:p w:rsidR="008873FE" w:rsidRPr="005E0ED8" w:rsidRDefault="008873FE" w:rsidP="008873FE">
            <w:pPr>
              <w:spacing w:line="0" w:lineRule="atLeast"/>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○ひだまり・MOE</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相談件数：のべ70件</w:t>
            </w:r>
          </w:p>
          <w:p w:rsidR="008873FE" w:rsidRPr="005E0ED8" w:rsidRDefault="008873FE" w:rsidP="008873FE">
            <w:pPr>
              <w:spacing w:line="0" w:lineRule="atLeas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 xml:space="preserve">　つなぎ　：36件</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○ゆうなぎ園</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相談件数：のべ62件</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つなぎ（MOEへ）：0件</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○ぴょんぴょん教室</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相談件数：のべ154件</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つなぎ（MOEへ）：3件</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■手話言語獲得支援</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○０～２歳児</w:t>
            </w:r>
            <w:r w:rsidR="004F6A14" w:rsidRPr="005E0ED8">
              <w:rPr>
                <w:rFonts w:ascii="ＭＳ ゴシック" w:eastAsia="ＭＳ ゴシック" w:hAnsi="ＭＳ ゴシック" w:hint="eastAsia"/>
                <w:sz w:val="22"/>
                <w:szCs w:val="24"/>
              </w:rPr>
              <w:t>支援</w:t>
            </w:r>
          </w:p>
          <w:p w:rsidR="008873FE" w:rsidRPr="005E0ED8" w:rsidRDefault="008873FE" w:rsidP="008873FE">
            <w:pPr>
              <w:spacing w:line="0" w:lineRule="atLeast"/>
              <w:ind w:firstLine="24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45回・のべ303人</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○０～６歳児</w:t>
            </w:r>
            <w:r w:rsidR="004F6A14" w:rsidRPr="005E0ED8">
              <w:rPr>
                <w:rFonts w:ascii="ＭＳ ゴシック" w:eastAsia="ＭＳ ゴシック" w:hAnsi="ＭＳ ゴシック" w:hint="eastAsia"/>
                <w:sz w:val="22"/>
                <w:szCs w:val="24"/>
              </w:rPr>
              <w:t>支援</w:t>
            </w:r>
          </w:p>
          <w:p w:rsidR="008873FE" w:rsidRPr="005E0ED8" w:rsidRDefault="008873FE" w:rsidP="004D343A">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22回・のべ627人</w:t>
            </w:r>
          </w:p>
        </w:tc>
        <w:tc>
          <w:tcPr>
            <w:tcW w:w="3969" w:type="dxa"/>
          </w:tcPr>
          <w:p w:rsidR="008873FE" w:rsidRPr="005E0ED8" w:rsidRDefault="008873FE" w:rsidP="00EB5559">
            <w:pPr>
              <w:spacing w:line="0" w:lineRule="atLeast"/>
              <w:ind w:left="440" w:hangingChars="200" w:hanging="440"/>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 xml:space="preserve">■関係機関ネットワーク会議　</w:t>
            </w:r>
            <w:r w:rsidRPr="005E0ED8">
              <w:rPr>
                <w:rFonts w:ascii="UD デジタル 教科書体 NP-R" w:eastAsia="UD デジタル 教科書体 NP-R" w:hint="eastAsia"/>
                <w:sz w:val="22"/>
                <w:szCs w:val="24"/>
              </w:rPr>
              <w:t>２回</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■相談支援</w:t>
            </w:r>
          </w:p>
          <w:p w:rsidR="008873FE" w:rsidRPr="005E0ED8" w:rsidRDefault="008873FE" w:rsidP="008873FE">
            <w:pPr>
              <w:spacing w:line="0" w:lineRule="atLeast"/>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○ひだまり・MOE</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相談件数：のべ52件</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つなぎ　：27件</w:t>
            </w:r>
          </w:p>
          <w:p w:rsidR="008873FE" w:rsidRPr="005E0ED8" w:rsidRDefault="008873FE" w:rsidP="008873FE">
            <w:pPr>
              <w:spacing w:line="0" w:lineRule="atLeast"/>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○ゆうなぎ園</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相談件数：のべ125件</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つなぎ（MOEへ）：0件</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○ぴょんぴょん教室</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相談件数：のべ190件</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つなぎ（MOEへ）：0件</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■手話言語獲得支援</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○０～２歳児</w:t>
            </w:r>
            <w:r w:rsidR="004F6A14" w:rsidRPr="005E0ED8">
              <w:rPr>
                <w:rFonts w:ascii="ＭＳ ゴシック" w:eastAsia="ＭＳ ゴシック" w:hAnsi="ＭＳ ゴシック" w:hint="eastAsia"/>
                <w:sz w:val="22"/>
                <w:szCs w:val="24"/>
              </w:rPr>
              <w:t>支援</w:t>
            </w:r>
          </w:p>
          <w:p w:rsidR="008873FE" w:rsidRPr="005E0ED8" w:rsidRDefault="008873FE" w:rsidP="008873FE">
            <w:pPr>
              <w:spacing w:line="0" w:lineRule="atLeast"/>
              <w:ind w:firstLine="24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33回・のべ598人</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○０～６歳児</w:t>
            </w:r>
            <w:r w:rsidR="004F6A14" w:rsidRPr="005E0ED8">
              <w:rPr>
                <w:rFonts w:ascii="ＭＳ ゴシック" w:eastAsia="ＭＳ ゴシック" w:hAnsi="ＭＳ ゴシック" w:hint="eastAsia"/>
                <w:sz w:val="22"/>
                <w:szCs w:val="24"/>
              </w:rPr>
              <w:t>支援</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17回・のべ819人</w:t>
            </w:r>
          </w:p>
          <w:p w:rsidR="008873FE" w:rsidRPr="005E0ED8" w:rsidRDefault="008873FE" w:rsidP="008873FE">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○専門人材確保</w:t>
            </w:r>
            <w:r w:rsidR="004D343A" w:rsidRPr="005E0ED8">
              <w:rPr>
                <w:rFonts w:ascii="ＭＳ ゴシック" w:eastAsia="ＭＳ ゴシック" w:hAnsi="ＭＳ ゴシック" w:hint="eastAsia"/>
                <w:sz w:val="22"/>
                <w:szCs w:val="24"/>
              </w:rPr>
              <w:t>（登録）</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リーダー：24人</w:t>
            </w:r>
          </w:p>
          <w:p w:rsidR="008873FE" w:rsidRPr="005E0ED8" w:rsidRDefault="008873FE" w:rsidP="008873FE">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スタッフ：36人</w:t>
            </w:r>
          </w:p>
        </w:tc>
      </w:tr>
      <w:tr w:rsidR="004D343A" w:rsidRPr="004702FA" w:rsidTr="005E0ED8">
        <w:trPr>
          <w:trHeight w:val="1407"/>
        </w:trPr>
        <w:tc>
          <w:tcPr>
            <w:tcW w:w="1134" w:type="dxa"/>
            <w:vMerge/>
            <w:shd w:val="pct15" w:color="auto" w:fill="auto"/>
            <w:vAlign w:val="center"/>
          </w:tcPr>
          <w:p w:rsidR="004D343A" w:rsidRPr="005E0ED8" w:rsidRDefault="004D343A" w:rsidP="008A0715">
            <w:pPr>
              <w:spacing w:line="0" w:lineRule="atLeast"/>
              <w:rPr>
                <w:rFonts w:ascii="ＭＳ ゴシック" w:eastAsia="ＭＳ ゴシック" w:hAnsi="ＭＳ ゴシック"/>
                <w:sz w:val="22"/>
                <w:szCs w:val="24"/>
              </w:rPr>
            </w:pPr>
          </w:p>
        </w:tc>
        <w:tc>
          <w:tcPr>
            <w:tcW w:w="3402" w:type="dxa"/>
            <w:vAlign w:val="center"/>
          </w:tcPr>
          <w:p w:rsidR="004D343A" w:rsidRPr="005E0ED8" w:rsidRDefault="004D343A" w:rsidP="008A0715">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聴覚障がい者を対象とした</w:t>
            </w:r>
          </w:p>
          <w:p w:rsidR="004D343A" w:rsidRPr="005E0ED8" w:rsidRDefault="004D343A" w:rsidP="008A0715">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手話習得支援の展開</w:t>
            </w:r>
          </w:p>
        </w:tc>
        <w:tc>
          <w:tcPr>
            <w:tcW w:w="4673" w:type="dxa"/>
          </w:tcPr>
          <w:p w:rsidR="004D343A" w:rsidRPr="005E0ED8" w:rsidRDefault="004D343A" w:rsidP="00EB5559">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○より幅広い地域でより幅広い人が参加</w:t>
            </w:r>
            <w:r w:rsidR="00096025" w:rsidRPr="005E0ED8">
              <w:rPr>
                <w:rFonts w:ascii="UD デジタル 教科書体 NP-R" w:eastAsia="UD デジタル 教科書体 NP-R" w:hint="eastAsia"/>
                <w:sz w:val="22"/>
                <w:szCs w:val="24"/>
              </w:rPr>
              <w:t xml:space="preserve">　</w:t>
            </w:r>
            <w:r w:rsidRPr="005E0ED8">
              <w:rPr>
                <w:rFonts w:ascii="UD デジタル 教科書体 NP-R" w:eastAsia="UD デジタル 教科書体 NP-R" w:hint="eastAsia"/>
                <w:sz w:val="22"/>
                <w:szCs w:val="24"/>
              </w:rPr>
              <w:t>できる手法の確立等</w:t>
            </w:r>
          </w:p>
        </w:tc>
        <w:tc>
          <w:tcPr>
            <w:tcW w:w="4205" w:type="dxa"/>
            <w:vAlign w:val="center"/>
          </w:tcPr>
          <w:p w:rsidR="004D343A" w:rsidRPr="005E0ED8" w:rsidRDefault="004D343A" w:rsidP="00380A7C">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■中途失聴者向け手話講座</w:t>
            </w:r>
          </w:p>
          <w:p w:rsidR="004D343A" w:rsidRPr="005E0ED8" w:rsidRDefault="004D343A" w:rsidP="004D343A">
            <w:pPr>
              <w:spacing w:line="0" w:lineRule="atLeast"/>
              <w:ind w:firstLineChars="100" w:firstLine="22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17回・のべ334人</w:t>
            </w:r>
          </w:p>
          <w:p w:rsidR="004D343A" w:rsidRPr="005E0ED8" w:rsidRDefault="004D343A" w:rsidP="00380A7C">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■国際手話ボランティア養成講座</w:t>
            </w:r>
          </w:p>
          <w:p w:rsidR="004D343A" w:rsidRPr="005E0ED8" w:rsidRDefault="004D343A" w:rsidP="004D343A">
            <w:pPr>
              <w:spacing w:line="0" w:lineRule="atLeast"/>
              <w:ind w:firstLineChars="100" w:firstLine="22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21回・のべ204人</w:t>
            </w:r>
          </w:p>
        </w:tc>
        <w:tc>
          <w:tcPr>
            <w:tcW w:w="3879" w:type="dxa"/>
            <w:vAlign w:val="center"/>
          </w:tcPr>
          <w:p w:rsidR="004D343A" w:rsidRPr="005E0ED8" w:rsidRDefault="004D343A" w:rsidP="00380A7C">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■中途失聴者向け手話講座</w:t>
            </w:r>
          </w:p>
          <w:p w:rsidR="004D343A" w:rsidRPr="005E0ED8" w:rsidRDefault="004D343A" w:rsidP="004D343A">
            <w:pPr>
              <w:spacing w:line="0" w:lineRule="atLeast"/>
              <w:ind w:firstLineChars="100" w:firstLine="22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21回・のべ622人</w:t>
            </w:r>
          </w:p>
          <w:p w:rsidR="004D343A" w:rsidRPr="005E0ED8" w:rsidRDefault="004D343A" w:rsidP="00380A7C">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■国際手話ボランティア養成講座</w:t>
            </w:r>
          </w:p>
          <w:p w:rsidR="004D343A" w:rsidRPr="005E0ED8" w:rsidRDefault="004D343A" w:rsidP="004D343A">
            <w:pPr>
              <w:spacing w:line="0" w:lineRule="atLeast"/>
              <w:ind w:firstLineChars="100" w:firstLine="22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22回・のべ110人</w:t>
            </w:r>
          </w:p>
        </w:tc>
        <w:tc>
          <w:tcPr>
            <w:tcW w:w="3969" w:type="dxa"/>
            <w:vAlign w:val="center"/>
          </w:tcPr>
          <w:p w:rsidR="004D343A" w:rsidRPr="005E0ED8" w:rsidRDefault="004D343A" w:rsidP="00380A7C">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■中途失聴者向け手話講座</w:t>
            </w:r>
          </w:p>
          <w:p w:rsidR="004D343A" w:rsidRPr="005E0ED8" w:rsidRDefault="004D343A" w:rsidP="004D343A">
            <w:pPr>
              <w:spacing w:line="0" w:lineRule="atLeast"/>
              <w:ind w:firstLineChars="100" w:firstLine="22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18回・のべ810人</w:t>
            </w:r>
          </w:p>
          <w:p w:rsidR="004D343A" w:rsidRPr="005E0ED8" w:rsidRDefault="004D343A" w:rsidP="00380A7C">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■国際手話ボランティア養成講座</w:t>
            </w:r>
          </w:p>
          <w:p w:rsidR="004D343A" w:rsidRPr="005E0ED8" w:rsidRDefault="004D343A" w:rsidP="004D343A">
            <w:pPr>
              <w:spacing w:line="0" w:lineRule="atLeast"/>
              <w:ind w:firstLineChars="100" w:firstLine="220"/>
              <w:jc w:val="lef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16回・のべ104人</w:t>
            </w:r>
          </w:p>
        </w:tc>
      </w:tr>
      <w:tr w:rsidR="00EB5559" w:rsidRPr="004702FA" w:rsidTr="005E0ED8">
        <w:trPr>
          <w:trHeight w:val="1332"/>
        </w:trPr>
        <w:tc>
          <w:tcPr>
            <w:tcW w:w="1134" w:type="dxa"/>
            <w:shd w:val="pct15" w:color="auto" w:fill="auto"/>
            <w:vAlign w:val="center"/>
          </w:tcPr>
          <w:p w:rsidR="00EB5559" w:rsidRPr="005E0ED8" w:rsidRDefault="00096025" w:rsidP="00AE3DA5">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§４</w:t>
            </w:r>
          </w:p>
          <w:p w:rsidR="00EB5559" w:rsidRPr="005E0ED8" w:rsidRDefault="00EB5559" w:rsidP="008A0715">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学ぶ</w:t>
            </w:r>
          </w:p>
        </w:tc>
        <w:tc>
          <w:tcPr>
            <w:tcW w:w="3402" w:type="dxa"/>
            <w:vAlign w:val="center"/>
          </w:tcPr>
          <w:p w:rsidR="00EB5559" w:rsidRPr="005E0ED8" w:rsidRDefault="00EB5559" w:rsidP="008A0715">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教員等の手話の習得支援の展開</w:t>
            </w:r>
          </w:p>
        </w:tc>
        <w:tc>
          <w:tcPr>
            <w:tcW w:w="4673" w:type="dxa"/>
          </w:tcPr>
          <w:p w:rsidR="00EB5559" w:rsidRPr="005E0ED8" w:rsidRDefault="00EB5559" w:rsidP="00EB5559">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○「手話で学び、手話を学ぶ」ことができる環境の整備</w:t>
            </w:r>
          </w:p>
          <w:p w:rsidR="00EB5559" w:rsidRPr="005E0ED8" w:rsidRDefault="00EB5559" w:rsidP="00EB5559">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○カリキュラム・テキスト等の確立</w:t>
            </w:r>
          </w:p>
        </w:tc>
        <w:tc>
          <w:tcPr>
            <w:tcW w:w="4205" w:type="dxa"/>
          </w:tcPr>
          <w:p w:rsidR="00EB5559" w:rsidRPr="005E0ED8" w:rsidRDefault="00EB5559" w:rsidP="00EB5559">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■聴覚支援学校教員への手話講座</w:t>
            </w:r>
          </w:p>
          <w:p w:rsidR="00EB5559" w:rsidRPr="005E0ED8" w:rsidRDefault="00096025" w:rsidP="00EB5559">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４校・</w:t>
            </w:r>
            <w:r w:rsidR="00EB5559" w:rsidRPr="005E0ED8">
              <w:rPr>
                <w:rFonts w:ascii="UD デジタル 教科書体 NP-R" w:eastAsia="UD デジタル 教科書体 NP-R" w:hint="eastAsia"/>
                <w:sz w:val="22"/>
                <w:szCs w:val="24"/>
              </w:rPr>
              <w:t>59回・のべ708人</w:t>
            </w:r>
          </w:p>
        </w:tc>
        <w:tc>
          <w:tcPr>
            <w:tcW w:w="3879" w:type="dxa"/>
          </w:tcPr>
          <w:p w:rsidR="00EB5559" w:rsidRPr="005E0ED8" w:rsidRDefault="00EB5559" w:rsidP="00EB5559">
            <w:pPr>
              <w:spacing w:line="0" w:lineRule="atLeast"/>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■聴覚支援学校教員への手話講座</w:t>
            </w:r>
          </w:p>
          <w:p w:rsidR="00EB5559" w:rsidRPr="005E0ED8" w:rsidRDefault="00096025" w:rsidP="00EB5559">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４校・</w:t>
            </w:r>
            <w:r w:rsidR="00EB5559" w:rsidRPr="005E0ED8">
              <w:rPr>
                <w:rFonts w:ascii="UD デジタル 教科書体 NP-R" w:eastAsia="UD デジタル 教科書体 NP-R" w:hint="eastAsia"/>
                <w:sz w:val="22"/>
                <w:szCs w:val="24"/>
              </w:rPr>
              <w:t>57回・のべ381人</w:t>
            </w:r>
          </w:p>
          <w:p w:rsidR="00EB5559" w:rsidRPr="005E0ED8" w:rsidRDefault="00EB5559" w:rsidP="00EB5559">
            <w:pPr>
              <w:spacing w:line="0" w:lineRule="atLeast"/>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■難聴学級等の教員への手話講座</w:t>
            </w:r>
          </w:p>
          <w:p w:rsidR="00EB5559" w:rsidRPr="005E0ED8" w:rsidRDefault="00EB5559" w:rsidP="00EB5559">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１回・23人</w:t>
            </w:r>
          </w:p>
        </w:tc>
        <w:tc>
          <w:tcPr>
            <w:tcW w:w="3969" w:type="dxa"/>
          </w:tcPr>
          <w:p w:rsidR="00EB5559" w:rsidRPr="005E0ED8" w:rsidRDefault="00EB5559" w:rsidP="00EB5559">
            <w:pPr>
              <w:spacing w:line="0" w:lineRule="atLeast"/>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■聴覚支援学校教員への手話講座</w:t>
            </w:r>
          </w:p>
          <w:p w:rsidR="00EB5559" w:rsidRPr="005E0ED8" w:rsidRDefault="00096025" w:rsidP="00EB5559">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４校・</w:t>
            </w:r>
            <w:r w:rsidR="00EB5559" w:rsidRPr="005E0ED8">
              <w:rPr>
                <w:rFonts w:ascii="UD デジタル 教科書体 NP-R" w:eastAsia="UD デジタル 教科書体 NP-R" w:hint="eastAsia"/>
                <w:sz w:val="22"/>
                <w:szCs w:val="24"/>
              </w:rPr>
              <w:t>48回・のべ382人</w:t>
            </w:r>
          </w:p>
          <w:p w:rsidR="00EB5559" w:rsidRPr="005E0ED8" w:rsidRDefault="00EB5559" w:rsidP="00EB5559">
            <w:pPr>
              <w:spacing w:line="0" w:lineRule="atLeast"/>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■難聴学級等の教員への手話講座</w:t>
            </w:r>
          </w:p>
          <w:p w:rsidR="00EB5559" w:rsidRPr="005E0ED8" w:rsidRDefault="00EB5559" w:rsidP="00EB5559">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１回・14人</w:t>
            </w:r>
          </w:p>
        </w:tc>
      </w:tr>
      <w:tr w:rsidR="00EB5559" w:rsidRPr="004702FA" w:rsidTr="005E0ED8">
        <w:trPr>
          <w:trHeight w:val="2515"/>
        </w:trPr>
        <w:tc>
          <w:tcPr>
            <w:tcW w:w="1134" w:type="dxa"/>
            <w:shd w:val="pct15" w:color="auto" w:fill="auto"/>
            <w:vAlign w:val="center"/>
          </w:tcPr>
          <w:p w:rsidR="00EB5559" w:rsidRPr="005E0ED8" w:rsidRDefault="00096025" w:rsidP="00AE3DA5">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lastRenderedPageBreak/>
              <w:t>§５</w:t>
            </w:r>
          </w:p>
          <w:p w:rsidR="00EB5559" w:rsidRPr="005E0ED8" w:rsidRDefault="00EB5559" w:rsidP="00AE3DA5">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働く</w:t>
            </w:r>
          </w:p>
        </w:tc>
        <w:tc>
          <w:tcPr>
            <w:tcW w:w="3402" w:type="dxa"/>
            <w:vAlign w:val="center"/>
          </w:tcPr>
          <w:p w:rsidR="00EB5559" w:rsidRPr="005E0ED8" w:rsidRDefault="00EB5559" w:rsidP="00EB5559">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手話に関して取組む企業等との</w:t>
            </w:r>
          </w:p>
          <w:p w:rsidR="00EB5559" w:rsidRPr="005E0ED8" w:rsidRDefault="00EB5559" w:rsidP="00EB5559">
            <w:pPr>
              <w:spacing w:line="0" w:lineRule="atLeast"/>
              <w:jc w:val="lef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協働の展開</w:t>
            </w:r>
          </w:p>
        </w:tc>
        <w:tc>
          <w:tcPr>
            <w:tcW w:w="4673" w:type="dxa"/>
          </w:tcPr>
          <w:p w:rsidR="00EB5559" w:rsidRPr="005E0ED8" w:rsidRDefault="00EB5559" w:rsidP="00096025">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○手話力を評価するなど手話に取組む企業との協定の締結などの連携確保</w:t>
            </w:r>
          </w:p>
        </w:tc>
        <w:tc>
          <w:tcPr>
            <w:tcW w:w="4205" w:type="dxa"/>
          </w:tcPr>
          <w:p w:rsidR="00EB5559" w:rsidRPr="005E0ED8" w:rsidRDefault="00EB5559" w:rsidP="00EB5559">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■業界団体等への手話講座</w:t>
            </w:r>
          </w:p>
          <w:p w:rsidR="00EB5559" w:rsidRPr="005E0ED8" w:rsidRDefault="00EB5559" w:rsidP="00EB5559">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２回・57人</w:t>
            </w:r>
          </w:p>
          <w:p w:rsidR="00EB5559" w:rsidRPr="005E0ED8" w:rsidRDefault="00EB5559" w:rsidP="00EB5559">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■協定締結</w:t>
            </w:r>
          </w:p>
          <w:p w:rsidR="00EB5559" w:rsidRPr="005E0ED8" w:rsidRDefault="00EB5559" w:rsidP="00EB5559">
            <w:pPr>
              <w:spacing w:line="0" w:lineRule="atLeas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・（公社）大阪聴力障害者協会</w:t>
            </w:r>
          </w:p>
          <w:p w:rsidR="00EB5559" w:rsidRPr="005E0ED8" w:rsidRDefault="00EB5559" w:rsidP="00EB5559">
            <w:pPr>
              <w:spacing w:line="0" w:lineRule="atLeas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・（株）ｻｲﾚﾝﾄﾎﾞｲｽ</w:t>
            </w:r>
          </w:p>
          <w:p w:rsidR="00EB5559" w:rsidRPr="005E0ED8" w:rsidRDefault="00EB5559" w:rsidP="00EB5559">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■ﾊｰﾄﾌﾙ企業ﾁｬﾚﾝｼﾞ応援賞</w:t>
            </w:r>
          </w:p>
          <w:p w:rsidR="00EB5559" w:rsidRPr="005E0ED8" w:rsidRDefault="00EB5559" w:rsidP="00EB5559">
            <w:pPr>
              <w:spacing w:line="0" w:lineRule="atLeas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・（一社）手話ｴﾝﾀｰﾃｲﾒﾝﾄ発信団</w:t>
            </w:r>
            <w:proofErr w:type="spellStart"/>
            <w:r w:rsidRPr="005E0ED8">
              <w:rPr>
                <w:rFonts w:ascii="UD デジタル 教科書体 NP-R" w:eastAsia="UD デジタル 教科書体 NP-R"/>
                <w:sz w:val="22"/>
                <w:szCs w:val="24"/>
              </w:rPr>
              <w:t>oioi</w:t>
            </w:r>
            <w:proofErr w:type="spellEnd"/>
          </w:p>
        </w:tc>
        <w:tc>
          <w:tcPr>
            <w:tcW w:w="3879" w:type="dxa"/>
          </w:tcPr>
          <w:p w:rsidR="00EB5559" w:rsidRPr="005E0ED8" w:rsidRDefault="00EB5559" w:rsidP="00EB5559">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■業界団体等への手話講座</w:t>
            </w:r>
          </w:p>
          <w:p w:rsidR="00EB5559" w:rsidRPr="005E0ED8" w:rsidRDefault="00EB5559" w:rsidP="00EB5559">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２回・50人</w:t>
            </w:r>
          </w:p>
          <w:p w:rsidR="00EB5559" w:rsidRPr="005E0ED8" w:rsidRDefault="00EB5559" w:rsidP="00EB5559">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■ﾊｰﾄﾌﾙ企業ﾁｬﾚﾝｼﾞ応援賞</w:t>
            </w:r>
          </w:p>
          <w:p w:rsidR="00EB5559" w:rsidRPr="005E0ED8" w:rsidRDefault="00EB5559" w:rsidP="00EB5559">
            <w:pPr>
              <w:spacing w:line="0" w:lineRule="atLeas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・（株）ｻｲﾚﾝﾄﾎﾞｲｽ</w:t>
            </w:r>
          </w:p>
          <w:p w:rsidR="00EB5559" w:rsidRPr="005E0ED8" w:rsidRDefault="00EB5559" w:rsidP="00EB5559">
            <w:pPr>
              <w:spacing w:line="0" w:lineRule="atLeast"/>
              <w:rPr>
                <w:rFonts w:ascii="UD デジタル 教科書体 NP-R" w:eastAsia="UD デジタル 教科書体 NP-R"/>
                <w:sz w:val="22"/>
                <w:szCs w:val="24"/>
              </w:rPr>
            </w:pPr>
            <w:r w:rsidRPr="005E0ED8">
              <w:rPr>
                <w:rFonts w:ascii="ＭＳ ゴシック" w:eastAsia="ＭＳ ゴシック" w:hAnsi="ＭＳ ゴシック" w:hint="eastAsia"/>
                <w:sz w:val="22"/>
                <w:szCs w:val="24"/>
              </w:rPr>
              <w:t>■大阪府手話言語ＰＲ大使</w:t>
            </w:r>
          </w:p>
          <w:p w:rsidR="00EB5559" w:rsidRPr="005E0ED8" w:rsidRDefault="00EB5559" w:rsidP="00EB5559">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・「HANDSIGN」が就任</w:t>
            </w:r>
          </w:p>
        </w:tc>
        <w:tc>
          <w:tcPr>
            <w:tcW w:w="3969" w:type="dxa"/>
          </w:tcPr>
          <w:p w:rsidR="00EB5559" w:rsidRPr="005E0ED8" w:rsidRDefault="00EB5559" w:rsidP="00EB5559">
            <w:pPr>
              <w:spacing w:line="0" w:lineRule="atLeas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■業界団体等への手話講座</w:t>
            </w:r>
          </w:p>
          <w:p w:rsidR="00EB5559" w:rsidRPr="005E0ED8" w:rsidRDefault="00EB5559" w:rsidP="00EB5559">
            <w:pPr>
              <w:spacing w:line="0" w:lineRule="atLeast"/>
              <w:ind w:firstLineChars="100" w:firstLine="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１回・18人</w:t>
            </w:r>
          </w:p>
          <w:p w:rsidR="00EB5559" w:rsidRPr="005E0ED8" w:rsidRDefault="00EB5559" w:rsidP="00EB5559">
            <w:pPr>
              <w:spacing w:line="0" w:lineRule="atLeast"/>
              <w:rPr>
                <w:rFonts w:ascii="ＭＳ ゴシック" w:eastAsia="ＭＳ ゴシック" w:hAnsi="ＭＳ ゴシック"/>
                <w:sz w:val="22"/>
                <w:szCs w:val="24"/>
              </w:rPr>
            </w:pPr>
            <w:r w:rsidRPr="005E0ED8">
              <w:rPr>
                <w:rFonts w:ascii="ＭＳ ゴシック" w:eastAsia="ＭＳ ゴシック" w:hAnsi="ＭＳ ゴシック" w:hint="eastAsia"/>
                <w:sz w:val="22"/>
                <w:szCs w:val="24"/>
              </w:rPr>
              <w:t>■協定締結</w:t>
            </w:r>
          </w:p>
          <w:p w:rsidR="00EB5559" w:rsidRPr="005E0ED8" w:rsidRDefault="00EB5559" w:rsidP="00EB5559">
            <w:pPr>
              <w:spacing w:line="0" w:lineRule="atLeast"/>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・国立民族学博物館</w:t>
            </w:r>
          </w:p>
          <w:p w:rsidR="00096025" w:rsidRPr="005E0ED8" w:rsidRDefault="00096025" w:rsidP="00096025">
            <w:pPr>
              <w:spacing w:line="0" w:lineRule="atLeast"/>
              <w:ind w:left="220" w:hangingChars="100" w:hanging="220"/>
              <w:rPr>
                <w:rFonts w:ascii="UD デジタル 教科書体 NP-R" w:eastAsia="UD デジタル 教科書体 NP-R"/>
                <w:sz w:val="22"/>
                <w:szCs w:val="24"/>
              </w:rPr>
            </w:pPr>
          </w:p>
          <w:p w:rsidR="00EB5559" w:rsidRPr="005E0ED8" w:rsidRDefault="00EB5559" w:rsidP="00096025">
            <w:pPr>
              <w:spacing w:line="0" w:lineRule="atLeast"/>
              <w:ind w:left="220" w:hangingChars="100" w:hanging="220"/>
              <w:rPr>
                <w:rFonts w:ascii="UD デジタル 教科書体 NP-R" w:eastAsia="UD デジタル 教科書体 NP-R"/>
                <w:sz w:val="22"/>
                <w:szCs w:val="24"/>
              </w:rPr>
            </w:pPr>
            <w:r w:rsidRPr="005E0ED8">
              <w:rPr>
                <w:rFonts w:ascii="UD デジタル 教科書体 NP-R" w:eastAsia="UD デジタル 教科書体 NP-R" w:hint="eastAsia"/>
                <w:sz w:val="22"/>
                <w:szCs w:val="24"/>
              </w:rPr>
              <w:t>※ﾊｰﾄﾌﾙ企業ﾁｬﾚﾝｼﾞ応援賞については、</w:t>
            </w:r>
            <w:r w:rsidR="00BC1FDF" w:rsidRPr="005E0ED8">
              <w:rPr>
                <w:rFonts w:ascii="UD デジタル 教科書体 NP-R" w:eastAsia="UD デジタル 教科書体 NP-R" w:hint="eastAsia"/>
                <w:sz w:val="22"/>
                <w:szCs w:val="24"/>
              </w:rPr>
              <w:t>既存の表彰に統合</w:t>
            </w:r>
            <w:r w:rsidR="00096025" w:rsidRPr="005E0ED8">
              <w:rPr>
                <w:rFonts w:ascii="UD デジタル 教科書体 NP-R" w:eastAsia="UD デジタル 教科書体 NP-R" w:hint="eastAsia"/>
                <w:sz w:val="22"/>
                <w:szCs w:val="24"/>
              </w:rPr>
              <w:t>。</w:t>
            </w:r>
          </w:p>
        </w:tc>
      </w:tr>
    </w:tbl>
    <w:p w:rsidR="00BA678B" w:rsidRPr="000345A6" w:rsidRDefault="00BA678B" w:rsidP="004446C9">
      <w:pPr>
        <w:spacing w:line="0" w:lineRule="atLeast"/>
        <w:rPr>
          <w:rFonts w:ascii="UD デジタル 教科書体 NP-R" w:eastAsia="UD デジタル 教科書体 NP-R"/>
          <w:sz w:val="24"/>
        </w:rPr>
      </w:pPr>
    </w:p>
    <w:sectPr w:rsidR="00BA678B" w:rsidRPr="000345A6" w:rsidSect="000924E2">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568"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14E" w:rsidRDefault="001E214E" w:rsidP="001E214E">
      <w:r>
        <w:separator/>
      </w:r>
    </w:p>
  </w:endnote>
  <w:endnote w:type="continuationSeparator" w:id="0">
    <w:p w:rsidR="001E214E" w:rsidRDefault="001E214E" w:rsidP="001E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69" w:rsidRDefault="00D555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69" w:rsidRDefault="00D5556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69" w:rsidRDefault="00D555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14E" w:rsidRDefault="001E214E" w:rsidP="001E214E">
      <w:r>
        <w:separator/>
      </w:r>
    </w:p>
  </w:footnote>
  <w:footnote w:type="continuationSeparator" w:id="0">
    <w:p w:rsidR="001E214E" w:rsidRDefault="001E214E" w:rsidP="001E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69" w:rsidRDefault="00D5556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69" w:rsidRDefault="00D5556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69" w:rsidRDefault="00D555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E92"/>
    <w:multiLevelType w:val="hybridMultilevel"/>
    <w:tmpl w:val="258023C8"/>
    <w:lvl w:ilvl="0" w:tplc="A6FEC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877D9"/>
    <w:multiLevelType w:val="hybridMultilevel"/>
    <w:tmpl w:val="BFC0A2F2"/>
    <w:lvl w:ilvl="0" w:tplc="F216DAD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16330"/>
    <w:multiLevelType w:val="hybridMultilevel"/>
    <w:tmpl w:val="0136DDF0"/>
    <w:lvl w:ilvl="0" w:tplc="C3AAD4B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8B"/>
    <w:rsid w:val="000345A6"/>
    <w:rsid w:val="00050543"/>
    <w:rsid w:val="00053395"/>
    <w:rsid w:val="000713D2"/>
    <w:rsid w:val="000924E2"/>
    <w:rsid w:val="00096025"/>
    <w:rsid w:val="00101A34"/>
    <w:rsid w:val="00120ED2"/>
    <w:rsid w:val="00153EB3"/>
    <w:rsid w:val="001554C2"/>
    <w:rsid w:val="001A16B7"/>
    <w:rsid w:val="001A7F23"/>
    <w:rsid w:val="001E214E"/>
    <w:rsid w:val="00251E7B"/>
    <w:rsid w:val="00271D52"/>
    <w:rsid w:val="002854AB"/>
    <w:rsid w:val="002A7199"/>
    <w:rsid w:val="002D4F68"/>
    <w:rsid w:val="00313E69"/>
    <w:rsid w:val="0036434A"/>
    <w:rsid w:val="003676B8"/>
    <w:rsid w:val="00380A7C"/>
    <w:rsid w:val="003935F4"/>
    <w:rsid w:val="003A5C82"/>
    <w:rsid w:val="003C6506"/>
    <w:rsid w:val="003F4837"/>
    <w:rsid w:val="00402C18"/>
    <w:rsid w:val="00424160"/>
    <w:rsid w:val="004446C9"/>
    <w:rsid w:val="004702FA"/>
    <w:rsid w:val="00476CAA"/>
    <w:rsid w:val="004D343A"/>
    <w:rsid w:val="004E5D7E"/>
    <w:rsid w:val="004F6A14"/>
    <w:rsid w:val="00540CCB"/>
    <w:rsid w:val="005C0E79"/>
    <w:rsid w:val="005D04C5"/>
    <w:rsid w:val="005E0ED8"/>
    <w:rsid w:val="00624468"/>
    <w:rsid w:val="00634F03"/>
    <w:rsid w:val="00665D5B"/>
    <w:rsid w:val="006742CF"/>
    <w:rsid w:val="00676557"/>
    <w:rsid w:val="00704BDA"/>
    <w:rsid w:val="00734182"/>
    <w:rsid w:val="00734B43"/>
    <w:rsid w:val="0074490D"/>
    <w:rsid w:val="00754DA3"/>
    <w:rsid w:val="008640B9"/>
    <w:rsid w:val="008873FE"/>
    <w:rsid w:val="008A0715"/>
    <w:rsid w:val="008F2DB4"/>
    <w:rsid w:val="009208C3"/>
    <w:rsid w:val="0097611B"/>
    <w:rsid w:val="00977A6A"/>
    <w:rsid w:val="009E561C"/>
    <w:rsid w:val="00A00556"/>
    <w:rsid w:val="00A22979"/>
    <w:rsid w:val="00A24E7D"/>
    <w:rsid w:val="00A56D23"/>
    <w:rsid w:val="00A720AB"/>
    <w:rsid w:val="00A7589C"/>
    <w:rsid w:val="00A8105C"/>
    <w:rsid w:val="00AE3DA5"/>
    <w:rsid w:val="00B30345"/>
    <w:rsid w:val="00B82570"/>
    <w:rsid w:val="00BA678B"/>
    <w:rsid w:val="00BC1FDF"/>
    <w:rsid w:val="00BD773C"/>
    <w:rsid w:val="00C36F25"/>
    <w:rsid w:val="00C602DE"/>
    <w:rsid w:val="00C8435A"/>
    <w:rsid w:val="00C96642"/>
    <w:rsid w:val="00CA7C24"/>
    <w:rsid w:val="00D13820"/>
    <w:rsid w:val="00D55569"/>
    <w:rsid w:val="00D62421"/>
    <w:rsid w:val="00D62A70"/>
    <w:rsid w:val="00D82AEA"/>
    <w:rsid w:val="00DC188F"/>
    <w:rsid w:val="00DE5D88"/>
    <w:rsid w:val="00E22EA7"/>
    <w:rsid w:val="00E62A83"/>
    <w:rsid w:val="00E64949"/>
    <w:rsid w:val="00EB5559"/>
    <w:rsid w:val="00EF3196"/>
    <w:rsid w:val="00EF34C1"/>
    <w:rsid w:val="00F70427"/>
    <w:rsid w:val="00F86F01"/>
    <w:rsid w:val="00FB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58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589C"/>
    <w:rPr>
      <w:rFonts w:asciiTheme="majorHAnsi" w:eastAsiaTheme="majorEastAsia" w:hAnsiTheme="majorHAnsi" w:cstheme="majorBidi"/>
      <w:sz w:val="18"/>
      <w:szCs w:val="18"/>
    </w:rPr>
  </w:style>
  <w:style w:type="paragraph" w:styleId="a6">
    <w:name w:val="header"/>
    <w:basedOn w:val="a"/>
    <w:link w:val="a7"/>
    <w:uiPriority w:val="99"/>
    <w:unhideWhenUsed/>
    <w:rsid w:val="001E214E"/>
    <w:pPr>
      <w:tabs>
        <w:tab w:val="center" w:pos="4252"/>
        <w:tab w:val="right" w:pos="8504"/>
      </w:tabs>
      <w:snapToGrid w:val="0"/>
    </w:pPr>
  </w:style>
  <w:style w:type="character" w:customStyle="1" w:styleId="a7">
    <w:name w:val="ヘッダー (文字)"/>
    <w:basedOn w:val="a0"/>
    <w:link w:val="a6"/>
    <w:uiPriority w:val="99"/>
    <w:rsid w:val="001E214E"/>
  </w:style>
  <w:style w:type="paragraph" w:styleId="a8">
    <w:name w:val="footer"/>
    <w:basedOn w:val="a"/>
    <w:link w:val="a9"/>
    <w:uiPriority w:val="99"/>
    <w:unhideWhenUsed/>
    <w:rsid w:val="001E214E"/>
    <w:pPr>
      <w:tabs>
        <w:tab w:val="center" w:pos="4252"/>
        <w:tab w:val="right" w:pos="8504"/>
      </w:tabs>
      <w:snapToGrid w:val="0"/>
    </w:pPr>
  </w:style>
  <w:style w:type="character" w:customStyle="1" w:styleId="a9">
    <w:name w:val="フッター (文字)"/>
    <w:basedOn w:val="a0"/>
    <w:link w:val="a8"/>
    <w:uiPriority w:val="99"/>
    <w:rsid w:val="001E214E"/>
  </w:style>
  <w:style w:type="paragraph" w:styleId="aa">
    <w:name w:val="List Paragraph"/>
    <w:basedOn w:val="a"/>
    <w:uiPriority w:val="34"/>
    <w:qFormat/>
    <w:rsid w:val="00D624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A6CF6-103E-492E-B736-5C579CA6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2020-03-24T02:51:00Z</dcterms:created>
  <dcterms:modified xsi:type="dcterms:W3CDTF">2020-03-24T02:51:00Z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