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w:t>
                            </w:r>
                            <w:r>
                              <w:rPr>
                                <w:rFonts w:asciiTheme="majorEastAsia" w:eastAsiaTheme="majorEastAsia" w:hAnsiTheme="majorEastAsia" w:hint="eastAsia"/>
                                <w:b/>
                                <w:sz w:val="24"/>
                                <w:szCs w:val="24"/>
                              </w:rPr>
                              <w:t>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w:t>
                            </w:r>
                            <w:r w:rsidR="005324A2">
                              <w:rPr>
                                <w:rFonts w:asciiTheme="majorEastAsia" w:eastAsiaTheme="majorEastAsia" w:hAnsiTheme="majorEastAsia" w:hint="eastAsia"/>
                                <w:sz w:val="18"/>
                                <w:szCs w:val="24"/>
                              </w:rPr>
                              <w:t>201</w:t>
                            </w:r>
                            <w:r w:rsidR="005324A2">
                              <w:rPr>
                                <w:rFonts w:asciiTheme="majorEastAsia" w:eastAsiaTheme="majorEastAsia" w:hAnsiTheme="majorEastAsia"/>
                                <w:sz w:val="18"/>
                                <w:szCs w:val="24"/>
                              </w:rPr>
                              <w:t>9</w:t>
                            </w:r>
                            <w:r w:rsidRPr="00562744">
                              <w:rPr>
                                <w:rFonts w:asciiTheme="majorEastAsia" w:eastAsiaTheme="majorEastAsia" w:hAnsiTheme="majorEastAsia" w:hint="eastAsia"/>
                                <w:sz w:val="18"/>
                                <w:szCs w:val="24"/>
                              </w:rPr>
                              <w:t>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w:t>
                      </w:r>
                      <w:r w:rsidR="005324A2">
                        <w:rPr>
                          <w:rFonts w:asciiTheme="majorEastAsia" w:eastAsiaTheme="majorEastAsia" w:hAnsiTheme="majorEastAsia" w:hint="eastAsia"/>
                          <w:sz w:val="18"/>
                          <w:szCs w:val="24"/>
                        </w:rPr>
                        <w:t>201</w:t>
                      </w:r>
                      <w:r w:rsidR="005324A2">
                        <w:rPr>
                          <w:rFonts w:asciiTheme="majorEastAsia" w:eastAsiaTheme="majorEastAsia" w:hAnsiTheme="majorEastAsia"/>
                          <w:sz w:val="18"/>
                          <w:szCs w:val="24"/>
                        </w:rPr>
                        <w:t>9</w:t>
                      </w:r>
                      <w:r w:rsidRPr="00562744">
                        <w:rPr>
                          <w:rFonts w:asciiTheme="majorEastAsia" w:eastAsiaTheme="majorEastAsia" w:hAnsiTheme="majorEastAsia" w:hint="eastAsia"/>
                          <w:sz w:val="18"/>
                          <w:szCs w:val="24"/>
                        </w:rPr>
                        <w:t>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524743" w:rsidP="00DF620E">
      <w:pPr>
        <w:rPr>
          <w:rFonts w:asciiTheme="majorEastAsia" w:eastAsiaTheme="majorEastAsia" w:hAnsiTheme="majorEastAsia" w:hint="eastAsia"/>
          <w:sz w:val="24"/>
          <w:szCs w:val="24"/>
        </w:rPr>
      </w:pPr>
      <w:r w:rsidRPr="00524743">
        <w:drawing>
          <wp:inline distT="0" distB="0" distL="0" distR="0">
            <wp:extent cx="5399709" cy="7534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9709" cy="7534275"/>
                    </a:xfrm>
                    <a:prstGeom prst="rect">
                      <a:avLst/>
                    </a:prstGeom>
                    <a:noFill/>
                    <a:ln>
                      <a:noFill/>
                    </a:ln>
                  </pic:spPr>
                </pic:pic>
              </a:graphicData>
            </a:graphic>
          </wp:inline>
        </w:drawing>
      </w:r>
      <w:bookmarkStart w:id="0" w:name="_GoBack"/>
      <w:bookmarkEnd w:id="0"/>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sz w:val="18"/>
          <w:szCs w:val="24"/>
        </w:rPr>
      </w:pPr>
      <w:r>
        <w:rPr>
          <w:rFonts w:asciiTheme="majorEastAsia" w:eastAsiaTheme="majorEastAsia" w:hAnsiTheme="majorEastAsia"/>
          <w:noProof/>
          <w:szCs w:val="24"/>
        </w:rPr>
        <mc:AlternateContent>
          <mc:Choice Requires="wps">
            <w:drawing>
              <wp:anchor distT="0" distB="0" distL="114300" distR="114300" simplePos="0" relativeHeight="251679232" behindDoc="0" locked="0" layoutInCell="1" allowOverlap="1" wp14:anchorId="6F88CBC2" wp14:editId="6DFDB222">
                <wp:simplePos x="0" y="0"/>
                <wp:positionH relativeFrom="column">
                  <wp:posOffset>-60960</wp:posOffset>
                </wp:positionH>
                <wp:positionV relativeFrom="paragraph">
                  <wp:posOffset>-660400</wp:posOffset>
                </wp:positionV>
                <wp:extent cx="5600700" cy="1228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w:t>
                            </w:r>
                            <w:r w:rsidRPr="00632F3A">
                              <w:rPr>
                                <w:rFonts w:asciiTheme="majorEastAsia" w:eastAsiaTheme="majorEastAsia" w:hAnsiTheme="majorEastAsia" w:hint="eastAsia"/>
                                <w:b/>
                                <w:sz w:val="24"/>
                                <w:szCs w:val="24"/>
                              </w:rPr>
                              <w:t>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CBC2" id="_x0000_t202" coordsize="21600,21600" o:spt="202" path="m,l,21600r21600,l21600,xe">
                <v:stroke joinstyle="miter"/>
                <v:path gradientshapeok="t" o:connecttype="rect"/>
              </v:shapetype>
              <v:shape id="テキスト ボックス 9" o:spid="_x0000_s1028" type="#_x0000_t202" style="position:absolute;left:0;text-align:left;margin-left:-4.8pt;margin-top:-52pt;width:441pt;height:9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" fillcolor="white [3201]" stroked="f" strokeweight=".5pt">
                <v:textbo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r w:rsidRPr="00123533">
        <w:rPr>
          <w:noProof/>
        </w:rPr>
        <w:drawing>
          <wp:anchor distT="0" distB="0" distL="114300" distR="114300" simplePos="0" relativeHeight="251681280" behindDoc="0" locked="0" layoutInCell="1" allowOverlap="1" wp14:anchorId="38A7A87B" wp14:editId="12F74057">
            <wp:simplePos x="0" y="0"/>
            <wp:positionH relativeFrom="column">
              <wp:posOffset>91440</wp:posOffset>
            </wp:positionH>
            <wp:positionV relativeFrom="paragraph">
              <wp:posOffset>111126</wp:posOffset>
            </wp:positionV>
            <wp:extent cx="5447665" cy="720090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185" cy="72015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hint="eastAsia"/>
          <w:sz w:val="24"/>
          <w:szCs w:val="24"/>
        </w:rPr>
      </w:pPr>
    </w:p>
    <w:p w:rsidR="00036FDC" w:rsidRPr="000E32D7" w:rsidRDefault="00036FDC" w:rsidP="00036FDC">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（１）</w:t>
      </w:r>
      <w:r w:rsidRPr="006E677F">
        <w:rPr>
          <w:rFonts w:asciiTheme="majorEastAsia" w:eastAsiaTheme="majorEastAsia" w:hAnsiTheme="majorEastAsia" w:hint="eastAsia"/>
        </w:rPr>
        <w:t>過剰な病床への転換への中止への命令（公的医療機関等）又は要請（民間医療機関）</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5136" behindDoc="0" locked="0" layoutInCell="1" allowOverlap="1" wp14:anchorId="326C1249" wp14:editId="77065BB3">
                <wp:simplePos x="0" y="0"/>
                <wp:positionH relativeFrom="column">
                  <wp:posOffset>158115</wp:posOffset>
                </wp:positionH>
                <wp:positionV relativeFrom="paragraph">
                  <wp:posOffset>63501</wp:posOffset>
                </wp:positionV>
                <wp:extent cx="5238750" cy="2495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w:t>
                            </w:r>
                            <w:r w:rsidRPr="003C48E2">
                              <w:rPr>
                                <w:rFonts w:ascii="Meiryo UI" w:eastAsia="Meiryo UI" w:hAnsi="Meiryo UI" w:hint="eastAsia"/>
                                <w:b/>
                                <w:sz w:val="20"/>
                                <w:szCs w:val="20"/>
                              </w:rPr>
                              <w:t>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1249" id="テキスト ボックス 10" o:spid="_x0000_s1029" type="#_x0000_t202" style="position:absolute;left:0;text-align:left;margin-left:12.45pt;margin-top:5pt;width:412.5pt;height:19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DNM0KDJAgAA4AUAAA4AAAAAAAAAAAAAAAAALgIAAGRycy9lMm9Eb2MueG1sUEsB&#10;Ai0AFAAGAAgAAAAhADyhcajeAAAACQEAAA8AAAAAAAAAAAAAAAAAIwUAAGRycy9kb3ducmV2Lnht&#10;bFBLBQYAAAAABAAEAPMAAAAuBgAAAAA=&#10;" fillcolor="#c6d9f1 [671]" stroked="f" strokeweight=".5pt">
                <v:textbo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49F8D26B" wp14:editId="69AD3E64">
                <wp:simplePos x="0" y="0"/>
                <wp:positionH relativeFrom="column">
                  <wp:posOffset>158115</wp:posOffset>
                </wp:positionH>
                <wp:positionV relativeFrom="paragraph">
                  <wp:posOffset>63500</wp:posOffset>
                </wp:positionV>
                <wp:extent cx="5238750" cy="2619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D26B" id="テキスト ボックス 11" o:spid="_x0000_s1030" type="#_x0000_t202" style="position:absolute;left:0;text-align:left;margin-left:12.45pt;margin-top:5pt;width:412.5pt;height:206.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036FDC" w:rsidRDefault="00036FDC" w:rsidP="00036FD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363F7545" wp14:editId="3B82A3F8">
                <wp:simplePos x="0" y="0"/>
                <wp:positionH relativeFrom="column">
                  <wp:posOffset>110490</wp:posOffset>
                </wp:positionH>
                <wp:positionV relativeFrom="paragraph">
                  <wp:posOffset>82550</wp:posOffset>
                </wp:positionV>
                <wp:extent cx="5238750" cy="2209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w:t>
                            </w:r>
                            <w:r w:rsidRPr="003C48E2">
                              <w:rPr>
                                <w:rFonts w:ascii="Meiryo UI" w:eastAsia="Meiryo UI" w:hAnsi="Meiryo UI" w:hint="eastAsia"/>
                                <w:sz w:val="20"/>
                                <w:szCs w:val="20"/>
                              </w:rPr>
                              <w:t>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F7545" id="テキスト ボックス 12" o:spid="_x0000_s1031" type="#_x0000_t202" style="position:absolute;left:0;text-align:left;margin-left:8.7pt;margin-top:6.5pt;width:412.5pt;height:17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77184" behindDoc="0" locked="0" layoutInCell="1" allowOverlap="1" wp14:anchorId="1DD93B03" wp14:editId="31B9945E">
                <wp:simplePos x="0" y="0"/>
                <wp:positionH relativeFrom="column">
                  <wp:posOffset>114300</wp:posOffset>
                </wp:positionH>
                <wp:positionV relativeFrom="paragraph">
                  <wp:posOffset>180340</wp:posOffset>
                </wp:positionV>
                <wp:extent cx="5238750" cy="2209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w:t>
                            </w:r>
                            <w:r w:rsidRPr="003C48E2">
                              <w:rPr>
                                <w:rFonts w:ascii="Meiryo UI" w:eastAsia="Meiryo UI" w:hAnsi="Meiryo UI" w:hint="eastAsia"/>
                                <w:b/>
                                <w:sz w:val="20"/>
                                <w:szCs w:val="20"/>
                              </w:rPr>
                              <w:t>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3B03" id="テキスト ボックス 13" o:spid="_x0000_s1032" type="#_x0000_t202" style="position:absolute;left:0;text-align:left;margin-left:9pt;margin-top:14.2pt;width:412.5pt;height:17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SizeFsoCAADhBQAADgAAAAAAAAAAAAAAAAAuAgAAZHJzL2Uyb0RvYy54bWxQ&#10;SwECLQAUAAYACAAAACEAR8rPYN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AE" w:rsidRDefault="00F363AE">
    <w:pPr>
      <w:pStyle w:val="a8"/>
      <w:jc w:val="center"/>
    </w:pPr>
  </w:p>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36FDC"/>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4743"/>
    <w:rsid w:val="00527D25"/>
    <w:rsid w:val="005324A2"/>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52CC9"/>
    <w:rsid w:val="00680D94"/>
    <w:rsid w:val="006B5EE4"/>
    <w:rsid w:val="006C55AC"/>
    <w:rsid w:val="006E677F"/>
    <w:rsid w:val="006F0C3B"/>
    <w:rsid w:val="00707699"/>
    <w:rsid w:val="00731D3B"/>
    <w:rsid w:val="007548CB"/>
    <w:rsid w:val="00773632"/>
    <w:rsid w:val="007E6224"/>
    <w:rsid w:val="007F0890"/>
    <w:rsid w:val="007F36CA"/>
    <w:rsid w:val="007F606F"/>
    <w:rsid w:val="0082006D"/>
    <w:rsid w:val="008603B5"/>
    <w:rsid w:val="00867AC6"/>
    <w:rsid w:val="008B35A7"/>
    <w:rsid w:val="008F4E22"/>
    <w:rsid w:val="00934DB1"/>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BF0841"/>
    <w:rsid w:val="00C37B4D"/>
    <w:rsid w:val="00C4203C"/>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65796C"/>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3CB4-69D3-41BE-8F39-F747E0E4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井原　隆</cp:lastModifiedBy>
  <cp:revision>2</cp:revision>
  <cp:lastPrinted>2019-11-14T07:21:00Z</cp:lastPrinted>
  <dcterms:created xsi:type="dcterms:W3CDTF">2020-12-21T10:40:00Z</dcterms:created>
  <dcterms:modified xsi:type="dcterms:W3CDTF">2020-12-21T10:40:00Z</dcterms:modified>
</cp:coreProperties>
</file>