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60" w:rsidRPr="00DC1079" w:rsidRDefault="00CC01CB" w:rsidP="00C249FF">
      <w:pPr>
        <w:widowControl/>
        <w:spacing w:line="0" w:lineRule="atLeast"/>
        <w:ind w:leftChars="105" w:left="281" w:hangingChars="29" w:hanging="61"/>
        <w:jc w:val="left"/>
        <w:rPr>
          <w:rFonts w:ascii="游ゴシック" w:eastAsia="游ゴシック" w:hAnsi="游ゴシック" w:cs="Times New Roman"/>
          <w:b/>
          <w:bCs/>
          <w:color w:val="000000"/>
          <w:kern w:val="24"/>
          <w:sz w:val="20"/>
        </w:rPr>
      </w:pPr>
      <w:r w:rsidRPr="00AE64EC">
        <w:rPr>
          <w:rFonts w:ascii="游ゴシック" w:eastAsia="游ゴシック" w:hAnsi="游ゴシック"/>
          <w:bCs/>
          <w:noProof/>
          <w:color w:val="000000"/>
          <w:kern w:val="24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22FAD" wp14:editId="0D5AFC47">
                <wp:simplePos x="0" y="0"/>
                <wp:positionH relativeFrom="column">
                  <wp:posOffset>8558330</wp:posOffset>
                </wp:positionH>
                <wp:positionV relativeFrom="paragraph">
                  <wp:posOffset>-282282</wp:posOffset>
                </wp:positionV>
                <wp:extent cx="695325" cy="339047"/>
                <wp:effectExtent l="0" t="0" r="28575" b="23495"/>
                <wp:wrapNone/>
                <wp:docPr id="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90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1860" w:rsidRPr="00CC01CB" w:rsidRDefault="00C31860" w:rsidP="008A55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CC01C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資料１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22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73.9pt;margin-top:-22.25pt;width:54.7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" fillcolor="white [3212]" strokecolor="black [3213]">
                <v:textbox>
                  <w:txbxContent>
                    <w:p w:rsidR="00C31860" w:rsidRPr="00CC01CB" w:rsidRDefault="00C31860" w:rsidP="008A55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CC01C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AC5C96" w:rsidRPr="00AE64EC">
        <w:rPr>
          <w:rFonts w:ascii="游ゴシック" w:eastAsia="游ゴシック" w:hAnsi="游ゴシック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-367665</wp:posOffset>
                </wp:positionV>
                <wp:extent cx="9248775" cy="3524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8775" cy="3524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860" w:rsidRPr="00F921B9" w:rsidRDefault="00C31860" w:rsidP="00C249F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F921B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大阪府がん診療拠点病院の指定要件見直しについて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-28.95pt;width:728.2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" fillcolor="#002060" stroked="f" strokeweight="2pt">
                <v:textbox inset="1mm,0,1mm,0">
                  <w:txbxContent>
                    <w:p w:rsidR="00C31860" w:rsidRPr="00F921B9" w:rsidRDefault="00C31860" w:rsidP="00C249F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F921B9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大阪府がん診療拠点病院の指定要件見直しについて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4F9">
        <w:rPr>
          <w:rFonts w:ascii="游ゴシック" w:eastAsia="游ゴシック" w:hAnsi="游ゴシック" w:cs="Times New Roman" w:hint="eastAsia"/>
          <w:b/>
          <w:bCs/>
          <w:color w:val="000000"/>
          <w:kern w:val="24"/>
          <w:sz w:val="20"/>
        </w:rPr>
        <w:t>【府拠点病院の制度について</w:t>
      </w:r>
      <w:r w:rsidR="00C31860" w:rsidRPr="00DC1079">
        <w:rPr>
          <w:rFonts w:ascii="游ゴシック" w:eastAsia="游ゴシック" w:hAnsi="游ゴシック" w:cs="Times New Roman" w:hint="eastAsia"/>
          <w:b/>
          <w:bCs/>
          <w:color w:val="000000"/>
          <w:kern w:val="24"/>
          <w:sz w:val="20"/>
        </w:rPr>
        <w:t>】</w:t>
      </w:r>
    </w:p>
    <w:p w:rsidR="000344F9" w:rsidRDefault="000344F9" w:rsidP="000344F9">
      <w:pPr>
        <w:widowControl/>
        <w:spacing w:line="0" w:lineRule="atLeast"/>
        <w:ind w:firstLineChars="300" w:firstLine="600"/>
        <w:jc w:val="left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>専門的ながん診療機能の充実を図るため、</w:t>
      </w:r>
      <w:r w:rsidR="00A50AF6" w:rsidRPr="00DC1079">
        <w:rPr>
          <w:rFonts w:ascii="游ゴシック" w:eastAsia="游ゴシック" w:hAnsi="游ゴシック" w:hint="eastAsia"/>
          <w:sz w:val="20"/>
          <w:szCs w:val="21"/>
        </w:rPr>
        <w:t>大阪府がん診療拠点病院（</w:t>
      </w:r>
      <w:r>
        <w:rPr>
          <w:rFonts w:ascii="游ゴシック" w:eastAsia="游ゴシック" w:hAnsi="游ゴシック" w:hint="eastAsia"/>
          <w:sz w:val="20"/>
          <w:szCs w:val="21"/>
        </w:rPr>
        <w:t>以下「府拠点病院」という。）を</w:t>
      </w:r>
      <w:r w:rsidR="00C273F2" w:rsidRPr="00DC1079">
        <w:rPr>
          <w:rFonts w:ascii="游ゴシック" w:eastAsia="游ゴシック" w:hAnsi="游ゴシック" w:hint="eastAsia"/>
          <w:sz w:val="20"/>
          <w:szCs w:val="21"/>
        </w:rPr>
        <w:t>指定することにより、</w:t>
      </w:r>
    </w:p>
    <w:p w:rsidR="00C31860" w:rsidRPr="00DC1079" w:rsidRDefault="000344F9" w:rsidP="000344F9">
      <w:pPr>
        <w:widowControl/>
        <w:spacing w:line="0" w:lineRule="atLeast"/>
        <w:ind w:firstLineChars="200" w:firstLine="400"/>
        <w:jc w:val="left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>大阪府におけるがん医療</w:t>
      </w:r>
      <w:r w:rsidR="00DC1079" w:rsidRPr="00DC1079">
        <w:rPr>
          <w:rFonts w:ascii="游ゴシック" w:eastAsia="游ゴシック" w:hAnsi="游ゴシック" w:hint="eastAsia"/>
          <w:sz w:val="20"/>
          <w:szCs w:val="21"/>
        </w:rPr>
        <w:t>水準の向上</w:t>
      </w:r>
      <w:r>
        <w:rPr>
          <w:rFonts w:ascii="游ゴシック" w:eastAsia="游ゴシック" w:hAnsi="游ゴシック" w:hint="eastAsia"/>
          <w:sz w:val="20"/>
          <w:szCs w:val="21"/>
        </w:rPr>
        <w:t>を図るとともに、</w:t>
      </w:r>
      <w:r w:rsidR="00A50AF6" w:rsidRPr="00DC1079">
        <w:rPr>
          <w:rFonts w:ascii="游ゴシック" w:eastAsia="游ゴシック" w:hAnsi="游ゴシック" w:hint="eastAsia"/>
          <w:sz w:val="20"/>
          <w:szCs w:val="21"/>
        </w:rPr>
        <w:t>府民が安心かつ適切ながん医療が選択できることを目的とする。</w:t>
      </w:r>
      <w:r>
        <w:rPr>
          <w:rFonts w:ascii="游ゴシック" w:eastAsia="游ゴシック" w:hAnsi="游ゴシック" w:hint="eastAsia"/>
          <w:sz w:val="20"/>
          <w:szCs w:val="21"/>
        </w:rPr>
        <w:t>（大阪府がん診療拠点病院設置要綱より）</w:t>
      </w:r>
    </w:p>
    <w:p w:rsidR="00C249FF" w:rsidRPr="00DC1079" w:rsidRDefault="00C249FF" w:rsidP="00C249FF">
      <w:pPr>
        <w:widowControl/>
        <w:spacing w:line="0" w:lineRule="atLeast"/>
        <w:ind w:leftChars="105" w:left="278" w:hangingChars="29" w:hanging="58"/>
        <w:jc w:val="left"/>
        <w:rPr>
          <w:rFonts w:ascii="游ゴシック" w:eastAsia="游ゴシック" w:hAnsi="游ゴシック" w:cs="Times New Roman"/>
          <w:b/>
          <w:bCs/>
          <w:color w:val="000000"/>
          <w:kern w:val="24"/>
          <w:sz w:val="20"/>
        </w:rPr>
      </w:pPr>
      <w:r w:rsidRPr="00DC1079">
        <w:rPr>
          <w:rFonts w:ascii="游ゴシック" w:eastAsia="游ゴシック" w:hAnsi="游ゴシック" w:cs="Times New Roman" w:hint="eastAsia"/>
          <w:b/>
          <w:bCs/>
          <w:color w:val="000000"/>
          <w:kern w:val="24"/>
          <w:sz w:val="20"/>
        </w:rPr>
        <w:t>【指定の状況】</w:t>
      </w:r>
    </w:p>
    <w:p w:rsidR="00CE07C5" w:rsidRPr="00DC1079" w:rsidRDefault="00C249FF" w:rsidP="00CE07C5">
      <w:pPr>
        <w:widowControl/>
        <w:spacing w:line="0" w:lineRule="atLeast"/>
        <w:ind w:leftChars="105" w:left="220" w:firstLineChars="200" w:firstLine="400"/>
        <w:jc w:val="left"/>
        <w:rPr>
          <w:rFonts w:ascii="游ゴシック" w:eastAsia="游ゴシック" w:hAnsi="游ゴシック" w:cs="Times New Roman"/>
          <w:color w:val="000000"/>
          <w:kern w:val="24"/>
          <w:sz w:val="20"/>
        </w:rPr>
      </w:pPr>
      <w:r w:rsidRPr="00DC1079">
        <w:rPr>
          <w:rFonts w:ascii="游ゴシック" w:eastAsia="游ゴシック" w:hAnsi="游ゴシック" w:cs="Times New Roman" w:hint="eastAsia"/>
          <w:color w:val="000000"/>
          <w:kern w:val="24"/>
          <w:sz w:val="20"/>
        </w:rPr>
        <w:t>府内のがん医療の向上のため、国指定がん診療連携拠点病院（１７病院、以下国拠点病院）とは別に平成21年度から府独自の拠点</w:t>
      </w:r>
      <w:r w:rsidR="00CE07C5" w:rsidRPr="00DC1079">
        <w:rPr>
          <w:rFonts w:ascii="游ゴシック" w:eastAsia="游ゴシック" w:hAnsi="游ゴシック" w:cs="Times New Roman" w:hint="eastAsia"/>
          <w:color w:val="000000"/>
          <w:kern w:val="24"/>
          <w:sz w:val="20"/>
        </w:rPr>
        <w:t>病院制度</w:t>
      </w:r>
    </w:p>
    <w:p w:rsidR="00C249FF" w:rsidRPr="00DC1079" w:rsidRDefault="00CE07C5" w:rsidP="00C249FF">
      <w:pPr>
        <w:widowControl/>
        <w:spacing w:line="0" w:lineRule="atLeast"/>
        <w:ind w:leftChars="105" w:left="278" w:hangingChars="29" w:hanging="58"/>
        <w:jc w:val="left"/>
        <w:rPr>
          <w:rFonts w:ascii="游ゴシック" w:eastAsia="游ゴシック" w:hAnsi="游ゴシック" w:cs="Times New Roman"/>
          <w:color w:val="000000"/>
          <w:kern w:val="24"/>
          <w:sz w:val="20"/>
        </w:rPr>
      </w:pPr>
      <w:r w:rsidRPr="00DC1079">
        <w:rPr>
          <w:rFonts w:ascii="游ゴシック" w:eastAsia="游ゴシック" w:hAnsi="游ゴシック" w:cs="Times New Roman" w:hint="eastAsia"/>
          <w:color w:val="000000"/>
          <w:kern w:val="24"/>
          <w:sz w:val="20"/>
        </w:rPr>
        <w:t>（「大阪府がん診療拠点病院」（以下、「府拠点病院」）を運用している。</w:t>
      </w:r>
    </w:p>
    <w:tbl>
      <w:tblPr>
        <w:tblStyle w:val="a3"/>
        <w:tblpPr w:leftFromText="142" w:rightFromText="142" w:vertAnchor="page" w:horzAnchor="margin" w:tblpX="421" w:tblpY="2849"/>
        <w:tblW w:w="14029" w:type="dxa"/>
        <w:tblLook w:val="04A0" w:firstRow="1" w:lastRow="0" w:firstColumn="1" w:lastColumn="0" w:noHBand="0" w:noVBand="1"/>
      </w:tblPr>
      <w:tblGrid>
        <w:gridCol w:w="2409"/>
        <w:gridCol w:w="986"/>
        <w:gridCol w:w="1108"/>
        <w:gridCol w:w="1108"/>
        <w:gridCol w:w="1038"/>
        <w:gridCol w:w="1133"/>
        <w:gridCol w:w="991"/>
        <w:gridCol w:w="1133"/>
        <w:gridCol w:w="1133"/>
        <w:gridCol w:w="863"/>
        <w:gridCol w:w="993"/>
        <w:gridCol w:w="1134"/>
      </w:tblGrid>
      <w:tr w:rsidR="00DC1079" w:rsidRPr="00DC1079" w:rsidTr="006928DD">
        <w:tc>
          <w:tcPr>
            <w:tcW w:w="2409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986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H21.４</w:t>
            </w:r>
          </w:p>
        </w:tc>
        <w:tc>
          <w:tcPr>
            <w:tcW w:w="1108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H22.４</w:t>
            </w:r>
          </w:p>
        </w:tc>
        <w:tc>
          <w:tcPr>
            <w:tcW w:w="1108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H23.４</w:t>
            </w:r>
          </w:p>
        </w:tc>
        <w:tc>
          <w:tcPr>
            <w:tcW w:w="1038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H24.4</w:t>
            </w:r>
          </w:p>
        </w:tc>
        <w:tc>
          <w:tcPr>
            <w:tcW w:w="1133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H25.4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H26.8</w:t>
            </w:r>
          </w:p>
        </w:tc>
        <w:tc>
          <w:tcPr>
            <w:tcW w:w="1133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H27.4</w:t>
            </w:r>
          </w:p>
        </w:tc>
        <w:tc>
          <w:tcPr>
            <w:tcW w:w="1133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H28.4</w:t>
            </w:r>
          </w:p>
        </w:tc>
        <w:tc>
          <w:tcPr>
            <w:tcW w:w="863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H29.4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</w:t>
            </w:r>
            <w:r w:rsidRPr="00DC1079"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  <w:t>30</w:t>
            </w: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.4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H31.2現在</w:t>
            </w:r>
          </w:p>
        </w:tc>
      </w:tr>
      <w:tr w:rsidR="00DC1079" w:rsidRPr="00DC1079" w:rsidTr="006928DD">
        <w:tc>
          <w:tcPr>
            <w:tcW w:w="2409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府拠点病院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23</w:t>
            </w:r>
          </w:p>
        </w:tc>
        <w:tc>
          <w:tcPr>
            <w:tcW w:w="1108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32</w:t>
            </w:r>
          </w:p>
        </w:tc>
        <w:tc>
          <w:tcPr>
            <w:tcW w:w="1108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cstheme="minorBidi" w:hint="eastAsia"/>
                <w:noProof/>
                <w:kern w:val="2"/>
                <w:sz w:val="16"/>
                <w:szCs w:val="22"/>
              </w:rPr>
              <w:t>39</w:t>
            </w:r>
          </w:p>
        </w:tc>
        <w:tc>
          <w:tcPr>
            <w:tcW w:w="1038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42</w:t>
            </w:r>
          </w:p>
        </w:tc>
        <w:tc>
          <w:tcPr>
            <w:tcW w:w="1133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42</w:t>
            </w:r>
          </w:p>
        </w:tc>
        <w:tc>
          <w:tcPr>
            <w:tcW w:w="991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40</w:t>
            </w:r>
          </w:p>
        </w:tc>
        <w:tc>
          <w:tcPr>
            <w:tcW w:w="1133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42</w:t>
            </w:r>
          </w:p>
        </w:tc>
        <w:tc>
          <w:tcPr>
            <w:tcW w:w="1133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43</w:t>
            </w:r>
          </w:p>
        </w:tc>
        <w:tc>
          <w:tcPr>
            <w:tcW w:w="863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44</w:t>
            </w:r>
          </w:p>
        </w:tc>
        <w:tc>
          <w:tcPr>
            <w:tcW w:w="1134" w:type="dxa"/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44</w:t>
            </w:r>
          </w:p>
        </w:tc>
      </w:tr>
      <w:tr w:rsidR="00DC1079" w:rsidRPr="00DC1079" w:rsidTr="006928DD"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府拠点病院（肺がん）※１</w:t>
            </w:r>
          </w:p>
        </w:tc>
        <w:tc>
          <w:tcPr>
            <w:tcW w:w="98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noProof/>
                <w:sz w:val="16"/>
              </w:rPr>
            </w:pPr>
            <w:r w:rsidRPr="00DC1079">
              <w:rPr>
                <w:rFonts w:ascii="游ゴシック" w:eastAsia="游ゴシック" w:hAnsi="游ゴシック" w:hint="eastAsia"/>
                <w:noProof/>
                <w:sz w:val="16"/>
              </w:rPr>
              <w:t>3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</w:t>
            </w:r>
          </w:p>
        </w:tc>
      </w:tr>
      <w:tr w:rsidR="00DC1079" w:rsidRPr="00DC1079" w:rsidTr="006928DD"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府拠点病院（小児がん）※２</w:t>
            </w:r>
          </w:p>
        </w:tc>
        <w:tc>
          <w:tcPr>
            <w:tcW w:w="986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1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noProof/>
                <w:sz w:val="16"/>
              </w:rPr>
            </w:pPr>
            <w:r w:rsidRPr="00DC1079">
              <w:rPr>
                <w:rFonts w:ascii="游ゴシック" w:eastAsia="游ゴシック" w:hAnsi="游ゴシック" w:hint="eastAsia"/>
                <w:noProof/>
                <w:sz w:val="16"/>
              </w:rPr>
              <w:t>1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1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1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1</w:t>
            </w:r>
          </w:p>
        </w:tc>
        <w:tc>
          <w:tcPr>
            <w:tcW w:w="113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13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86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</w:p>
        </w:tc>
      </w:tr>
      <w:tr w:rsidR="00DC1079" w:rsidRPr="00DC1079" w:rsidTr="006928DD"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計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23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36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noProof/>
                <w:sz w:val="16"/>
              </w:rPr>
            </w:pPr>
            <w:r w:rsidRPr="00DC1079">
              <w:rPr>
                <w:rFonts w:ascii="游ゴシック" w:eastAsia="游ゴシック" w:hAnsi="游ゴシック" w:hint="eastAsia"/>
                <w:noProof/>
                <w:sz w:val="16"/>
              </w:rPr>
              <w:t>43</w:t>
            </w: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46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46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44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45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47</w:t>
            </w:r>
          </w:p>
        </w:tc>
        <w:tc>
          <w:tcPr>
            <w:tcW w:w="863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47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C1079" w:rsidRPr="00DC1079" w:rsidRDefault="00DC1079" w:rsidP="006928DD">
            <w:pPr>
              <w:widowControl/>
              <w:spacing w:line="0" w:lineRule="atLeast"/>
              <w:jc w:val="center"/>
              <w:rPr>
                <w:rFonts w:ascii="游ゴシック" w:eastAsia="游ゴシック" w:hAnsi="游ゴシック"/>
                <w:bCs/>
                <w:color w:val="000000"/>
                <w:kern w:val="24"/>
                <w:sz w:val="16"/>
                <w:szCs w:val="18"/>
              </w:rPr>
            </w:pPr>
            <w:r w:rsidRPr="00DC1079">
              <w:rPr>
                <w:rFonts w:ascii="游ゴシック" w:eastAsia="游ゴシック" w:hAnsi="游ゴシック" w:hint="eastAsia"/>
                <w:bCs/>
                <w:color w:val="000000"/>
                <w:kern w:val="24"/>
                <w:sz w:val="16"/>
                <w:szCs w:val="18"/>
              </w:rPr>
              <w:t>47</w:t>
            </w:r>
          </w:p>
        </w:tc>
      </w:tr>
    </w:tbl>
    <w:p w:rsidR="00DC1079" w:rsidRDefault="00DC1079" w:rsidP="00C249FF">
      <w:pPr>
        <w:widowControl/>
        <w:spacing w:line="0" w:lineRule="atLeast"/>
        <w:jc w:val="left"/>
        <w:rPr>
          <w:rFonts w:ascii="游ゴシック" w:eastAsia="游ゴシック" w:hAnsi="游ゴシック" w:cs="ＭＳ Ｐゴシック"/>
          <w:kern w:val="0"/>
          <w:sz w:val="14"/>
          <w:szCs w:val="18"/>
        </w:rPr>
      </w:pPr>
    </w:p>
    <w:p w:rsidR="00DC1079" w:rsidRDefault="00DC1079" w:rsidP="00C249FF">
      <w:pPr>
        <w:widowControl/>
        <w:spacing w:line="0" w:lineRule="atLeast"/>
        <w:jc w:val="left"/>
        <w:rPr>
          <w:rFonts w:ascii="游ゴシック" w:eastAsia="游ゴシック" w:hAnsi="游ゴシック" w:cs="ＭＳ Ｐゴシック"/>
          <w:kern w:val="0"/>
          <w:sz w:val="14"/>
          <w:szCs w:val="18"/>
        </w:rPr>
      </w:pPr>
    </w:p>
    <w:p w:rsidR="00DC1079" w:rsidRDefault="00DC1079" w:rsidP="00C249FF">
      <w:pPr>
        <w:widowControl/>
        <w:spacing w:line="0" w:lineRule="atLeast"/>
        <w:jc w:val="left"/>
        <w:rPr>
          <w:rFonts w:ascii="游ゴシック" w:eastAsia="游ゴシック" w:hAnsi="游ゴシック" w:cs="ＭＳ Ｐゴシック"/>
          <w:kern w:val="0"/>
          <w:sz w:val="14"/>
          <w:szCs w:val="18"/>
        </w:rPr>
      </w:pPr>
    </w:p>
    <w:p w:rsidR="00DC1079" w:rsidRDefault="00DC1079" w:rsidP="00C249FF">
      <w:pPr>
        <w:widowControl/>
        <w:spacing w:line="0" w:lineRule="atLeast"/>
        <w:jc w:val="left"/>
        <w:rPr>
          <w:rFonts w:ascii="游ゴシック" w:eastAsia="游ゴシック" w:hAnsi="游ゴシック" w:cs="ＭＳ Ｐゴシック"/>
          <w:kern w:val="0"/>
          <w:sz w:val="14"/>
          <w:szCs w:val="18"/>
        </w:rPr>
      </w:pPr>
    </w:p>
    <w:p w:rsidR="00DC1079" w:rsidRDefault="00DC1079" w:rsidP="00C249FF">
      <w:pPr>
        <w:widowControl/>
        <w:spacing w:line="0" w:lineRule="atLeast"/>
        <w:jc w:val="left"/>
        <w:rPr>
          <w:rFonts w:ascii="游ゴシック" w:eastAsia="游ゴシック" w:hAnsi="游ゴシック" w:cs="ＭＳ Ｐゴシック"/>
          <w:kern w:val="0"/>
          <w:sz w:val="14"/>
          <w:szCs w:val="18"/>
        </w:rPr>
      </w:pPr>
    </w:p>
    <w:p w:rsidR="00DC1079" w:rsidRDefault="00DC1079" w:rsidP="00C249FF">
      <w:pPr>
        <w:widowControl/>
        <w:spacing w:line="0" w:lineRule="atLeast"/>
        <w:jc w:val="left"/>
        <w:rPr>
          <w:rFonts w:ascii="游ゴシック" w:eastAsia="游ゴシック" w:hAnsi="游ゴシック" w:cs="ＭＳ Ｐゴシック"/>
          <w:kern w:val="0"/>
          <w:sz w:val="14"/>
          <w:szCs w:val="18"/>
        </w:rPr>
      </w:pPr>
    </w:p>
    <w:p w:rsidR="00DC1079" w:rsidRDefault="00DC1079" w:rsidP="00C249FF">
      <w:pPr>
        <w:widowControl/>
        <w:spacing w:line="0" w:lineRule="atLeast"/>
        <w:jc w:val="left"/>
        <w:rPr>
          <w:rFonts w:ascii="游ゴシック" w:eastAsia="游ゴシック" w:hAnsi="游ゴシック" w:cs="ＭＳ Ｐゴシック"/>
          <w:kern w:val="0"/>
          <w:sz w:val="14"/>
          <w:szCs w:val="18"/>
        </w:rPr>
      </w:pPr>
    </w:p>
    <w:p w:rsidR="006928DD" w:rsidRDefault="00070A57" w:rsidP="006928DD">
      <w:pPr>
        <w:widowControl/>
        <w:spacing w:line="0" w:lineRule="atLeast"/>
        <w:ind w:firstLineChars="350" w:firstLine="490"/>
        <w:jc w:val="left"/>
        <w:rPr>
          <w:rFonts w:ascii="游ゴシック" w:eastAsia="游ゴシック" w:hAnsi="游ゴシック" w:cs="ＭＳ Ｐゴシック"/>
          <w:kern w:val="0"/>
          <w:sz w:val="14"/>
          <w:szCs w:val="18"/>
        </w:rPr>
      </w:pPr>
      <w:r w:rsidRPr="00DC1079">
        <w:rPr>
          <w:rFonts w:ascii="游ゴシック" w:eastAsia="游ゴシック" w:hAnsi="游ゴシック" w:cs="ＭＳ Ｐゴシック" w:hint="eastAsia"/>
          <w:kern w:val="0"/>
          <w:sz w:val="14"/>
          <w:szCs w:val="18"/>
        </w:rPr>
        <w:t>※１：指定制度はH22.4開始</w:t>
      </w:r>
      <w:r w:rsidR="006928DD">
        <w:rPr>
          <w:rFonts w:ascii="游ゴシック" w:eastAsia="游ゴシック" w:hAnsi="游ゴシック" w:cs="ＭＳ Ｐゴシック" w:hint="eastAsia"/>
          <w:kern w:val="0"/>
          <w:sz w:val="14"/>
          <w:szCs w:val="18"/>
        </w:rPr>
        <w:t xml:space="preserve">　</w:t>
      </w:r>
    </w:p>
    <w:p w:rsidR="00070A57" w:rsidRPr="00DC1079" w:rsidRDefault="00070A57" w:rsidP="006928DD">
      <w:pPr>
        <w:widowControl/>
        <w:spacing w:line="0" w:lineRule="atLeast"/>
        <w:ind w:firstLineChars="350" w:firstLine="490"/>
        <w:jc w:val="left"/>
        <w:rPr>
          <w:rFonts w:ascii="游ゴシック" w:eastAsia="游ゴシック" w:hAnsi="游ゴシック" w:cs="ＭＳ Ｐゴシック"/>
          <w:kern w:val="0"/>
          <w:sz w:val="14"/>
          <w:szCs w:val="18"/>
        </w:rPr>
      </w:pPr>
      <w:r w:rsidRPr="00DC1079">
        <w:rPr>
          <w:rFonts w:ascii="游ゴシック" w:eastAsia="游ゴシック" w:hAnsi="游ゴシック" w:cs="ＭＳ Ｐゴシック" w:hint="eastAsia"/>
          <w:kern w:val="0"/>
          <w:sz w:val="14"/>
          <w:szCs w:val="18"/>
        </w:rPr>
        <w:t>※２：指定制度はH22.4開始、</w:t>
      </w:r>
      <w:r w:rsidR="00AF56B3" w:rsidRPr="00DC1079">
        <w:rPr>
          <w:rFonts w:ascii="游ゴシック" w:eastAsia="游ゴシック" w:hAnsi="游ゴシック" w:cs="ＭＳ Ｐゴシック" w:hint="eastAsia"/>
          <w:kern w:val="0"/>
          <w:sz w:val="14"/>
          <w:szCs w:val="18"/>
        </w:rPr>
        <w:t>H26</w:t>
      </w:r>
      <w:r w:rsidR="00AF56B3" w:rsidRPr="00DC1079">
        <w:rPr>
          <w:rFonts w:ascii="游ゴシック" w:eastAsia="游ゴシック" w:hAnsi="游ゴシック" w:cs="ＭＳ Ｐゴシック"/>
          <w:kern w:val="0"/>
          <w:sz w:val="14"/>
          <w:szCs w:val="18"/>
        </w:rPr>
        <w:t>.</w:t>
      </w:r>
      <w:r w:rsidR="00AF56B3" w:rsidRPr="00DC1079">
        <w:rPr>
          <w:rFonts w:ascii="游ゴシック" w:eastAsia="游ゴシック" w:hAnsi="游ゴシック" w:cs="ＭＳ Ｐゴシック" w:hint="eastAsia"/>
          <w:kern w:val="0"/>
          <w:sz w:val="14"/>
          <w:szCs w:val="18"/>
        </w:rPr>
        <w:t>末</w:t>
      </w:r>
      <w:r w:rsidR="00F921B9" w:rsidRPr="00DC1079">
        <w:rPr>
          <w:rFonts w:ascii="游ゴシック" w:eastAsia="游ゴシック" w:hAnsi="游ゴシック" w:cs="ＭＳ Ｐゴシック" w:hint="eastAsia"/>
          <w:kern w:val="0"/>
          <w:sz w:val="14"/>
          <w:szCs w:val="18"/>
        </w:rPr>
        <w:t>国の指定制度の創設に伴い</w:t>
      </w:r>
      <w:r w:rsidRPr="00DC1079">
        <w:rPr>
          <w:rFonts w:ascii="游ゴシック" w:eastAsia="游ゴシック" w:hAnsi="游ゴシック" w:cs="ＭＳ Ｐゴシック" w:hint="eastAsia"/>
          <w:kern w:val="0"/>
          <w:sz w:val="14"/>
          <w:szCs w:val="18"/>
        </w:rPr>
        <w:t>廃止</w:t>
      </w:r>
    </w:p>
    <w:p w:rsidR="00C249FF" w:rsidRPr="00DC1079" w:rsidRDefault="00C249FF" w:rsidP="006928DD">
      <w:pPr>
        <w:widowControl/>
        <w:spacing w:line="276" w:lineRule="auto"/>
        <w:ind w:firstLineChars="100" w:firstLine="200"/>
        <w:jc w:val="left"/>
        <w:rPr>
          <w:rFonts w:ascii="游ゴシック" w:eastAsia="游ゴシック" w:hAnsi="游ゴシック" w:cs="Times New Roman"/>
          <w:b/>
          <w:bCs/>
          <w:color w:val="000000"/>
          <w:kern w:val="24"/>
          <w:sz w:val="20"/>
        </w:rPr>
      </w:pPr>
      <w:r w:rsidRPr="00DC1079">
        <w:rPr>
          <w:rFonts w:ascii="游ゴシック" w:eastAsia="游ゴシック" w:hAnsi="游ゴシック" w:cs="Times New Roman" w:hint="eastAsia"/>
          <w:b/>
          <w:bCs/>
          <w:color w:val="000000"/>
          <w:kern w:val="24"/>
          <w:sz w:val="20"/>
        </w:rPr>
        <w:t>【府指定要件の見直し】</w:t>
      </w:r>
      <w:bookmarkStart w:id="0" w:name="_GoBack"/>
      <w:bookmarkEnd w:id="0"/>
    </w:p>
    <w:p w:rsidR="00DC1079" w:rsidRPr="00DC1079" w:rsidRDefault="00C249FF" w:rsidP="00DC1079">
      <w:pPr>
        <w:widowControl/>
        <w:spacing w:line="0" w:lineRule="atLeast"/>
        <w:ind w:left="258" w:hangingChars="129" w:hanging="258"/>
        <w:jc w:val="left"/>
        <w:rPr>
          <w:rFonts w:ascii="游ゴシック" w:eastAsia="游ゴシック" w:hAnsi="游ゴシック" w:cs="Times New Roman"/>
          <w:bCs/>
          <w:color w:val="000000"/>
          <w:kern w:val="24"/>
          <w:sz w:val="20"/>
        </w:rPr>
      </w:pPr>
      <w:r w:rsidRPr="00DC1079">
        <w:rPr>
          <w:rFonts w:ascii="游ゴシック" w:eastAsia="游ゴシック" w:hAnsi="游ゴシック" w:cs="Times New Roman" w:hint="eastAsia"/>
          <w:color w:val="000000"/>
          <w:kern w:val="24"/>
          <w:sz w:val="20"/>
        </w:rPr>
        <w:t xml:space="preserve">　　</w:t>
      </w:r>
      <w:r w:rsidR="006928DD">
        <w:rPr>
          <w:rFonts w:ascii="游ゴシック" w:eastAsia="游ゴシック" w:hAnsi="游ゴシック" w:cs="Times New Roman" w:hint="eastAsia"/>
          <w:color w:val="000000"/>
          <w:kern w:val="24"/>
          <w:sz w:val="20"/>
        </w:rPr>
        <w:t xml:space="preserve">　</w:t>
      </w:r>
      <w:r w:rsidRPr="00DC1079">
        <w:rPr>
          <w:rFonts w:ascii="游ゴシック" w:eastAsia="游ゴシック" w:hAnsi="游ゴシック" w:cs="Times New Roman" w:hint="eastAsia"/>
          <w:bCs/>
          <w:color w:val="000000"/>
          <w:kern w:val="24"/>
          <w:sz w:val="20"/>
        </w:rPr>
        <w:t>国拠点病院において、平成3</w:t>
      </w:r>
      <w:r w:rsidRPr="00DC1079">
        <w:rPr>
          <w:rFonts w:ascii="游ゴシック" w:eastAsia="游ゴシック" w:hAnsi="游ゴシック" w:cs="Times New Roman"/>
          <w:bCs/>
          <w:color w:val="000000"/>
          <w:kern w:val="24"/>
          <w:sz w:val="20"/>
        </w:rPr>
        <w:t>0</w:t>
      </w:r>
      <w:r w:rsidRPr="00DC1079">
        <w:rPr>
          <w:rFonts w:ascii="游ゴシック" w:eastAsia="游ゴシック" w:hAnsi="游ゴシック" w:cs="Times New Roman" w:hint="eastAsia"/>
          <w:bCs/>
          <w:color w:val="000000"/>
          <w:kern w:val="24"/>
          <w:sz w:val="20"/>
        </w:rPr>
        <w:t>年7月31日付けで要件が改正され、集学的治療や緩和ケア、相談支援等の拡充等が求められるようになったことから、</w:t>
      </w:r>
    </w:p>
    <w:p w:rsidR="00070A57" w:rsidRPr="00DC1079" w:rsidRDefault="00C249FF" w:rsidP="006928DD">
      <w:pPr>
        <w:widowControl/>
        <w:spacing w:line="0" w:lineRule="atLeast"/>
        <w:ind w:leftChars="100" w:left="210" w:firstLineChars="100" w:firstLine="200"/>
        <w:jc w:val="left"/>
        <w:rPr>
          <w:rFonts w:ascii="游ゴシック" w:eastAsia="游ゴシック" w:hAnsi="游ゴシック" w:cs="Times New Roman"/>
          <w:bCs/>
          <w:color w:val="000000"/>
          <w:kern w:val="24"/>
          <w:sz w:val="20"/>
        </w:rPr>
      </w:pPr>
      <w:r w:rsidRPr="00DC1079">
        <w:rPr>
          <w:rFonts w:ascii="游ゴシック" w:eastAsia="游ゴシック" w:hAnsi="游ゴシック" w:cs="Times New Roman" w:hint="eastAsia"/>
          <w:bCs/>
          <w:color w:val="000000"/>
          <w:kern w:val="24"/>
          <w:sz w:val="20"/>
        </w:rPr>
        <w:t>府拠点病院についても要件を見直すことにより、府におけるがん診療提供体制の一層の充実・強化を図る。</w:t>
      </w:r>
      <w:r w:rsidR="00F921B9" w:rsidRPr="00DC1079">
        <w:rPr>
          <w:rFonts w:ascii="游ゴシック" w:eastAsia="游ゴシック" w:hAnsi="游ゴシック" w:cs="Times New Roman" w:hint="eastAsia"/>
          <w:bCs/>
          <w:color w:val="000000"/>
          <w:kern w:val="24"/>
          <w:sz w:val="20"/>
        </w:rPr>
        <w:t>また、併せて新しい指定の類型についても検討を行う。</w:t>
      </w:r>
    </w:p>
    <w:p w:rsidR="00A567EC" w:rsidRPr="00DC1079" w:rsidRDefault="00A567EC" w:rsidP="006928DD">
      <w:pPr>
        <w:widowControl/>
        <w:spacing w:line="276" w:lineRule="auto"/>
        <w:ind w:firstLineChars="100" w:firstLine="200"/>
        <w:jc w:val="left"/>
        <w:rPr>
          <w:rFonts w:ascii="游ゴシック" w:eastAsia="游ゴシック" w:hAnsi="游ゴシック" w:cs="Arial"/>
          <w:b/>
          <w:sz w:val="20"/>
        </w:rPr>
      </w:pPr>
      <w:r w:rsidRPr="00DC1079">
        <w:rPr>
          <w:rFonts w:ascii="游ゴシック" w:eastAsia="游ゴシック" w:hAnsi="游ゴシック" w:cs="Arial" w:hint="eastAsia"/>
          <w:b/>
          <w:sz w:val="20"/>
        </w:rPr>
        <w:t>【見直しの進め方（スケジュール）】</w:t>
      </w:r>
      <w:r w:rsidRPr="00DC1079">
        <w:rPr>
          <w:rFonts w:ascii="游ゴシック" w:eastAsia="游ゴシック" w:hAnsi="游ゴシック" w:cs="Arial" w:hint="eastAsia"/>
          <w:sz w:val="20"/>
        </w:rPr>
        <w:t>（資料２）</w:t>
      </w:r>
    </w:p>
    <w:p w:rsidR="00A567EC" w:rsidRPr="00DC1079" w:rsidRDefault="00DC1079" w:rsidP="00DC1079">
      <w:pPr>
        <w:spacing w:line="0" w:lineRule="atLeast"/>
        <w:ind w:leftChars="100" w:left="280" w:hangingChars="35" w:hanging="70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 xml:space="preserve">　</w:t>
      </w:r>
      <w:r w:rsidR="006928DD">
        <w:rPr>
          <w:rFonts w:ascii="游ゴシック" w:eastAsia="游ゴシック" w:hAnsi="游ゴシック" w:cs="Arial" w:hint="eastAsia"/>
          <w:sz w:val="20"/>
        </w:rPr>
        <w:t xml:space="preserve">　</w:t>
      </w:r>
      <w:r w:rsidR="00A567EC" w:rsidRPr="00DC1079">
        <w:rPr>
          <w:rFonts w:ascii="游ゴシック" w:eastAsia="游ゴシック" w:hAnsi="游ゴシック" w:cs="Arial" w:hint="eastAsia"/>
          <w:sz w:val="20"/>
        </w:rPr>
        <w:t>２０１９年度に府の指定要件を見直すこととする。見直しの進め方は、がん診療連携検討部会を中心に検討を行うこととするが、必要に応じて、</w:t>
      </w:r>
    </w:p>
    <w:p w:rsidR="00A567EC" w:rsidRPr="00DC1079" w:rsidRDefault="00DC1079" w:rsidP="006928DD">
      <w:pPr>
        <w:spacing w:line="0" w:lineRule="atLeast"/>
        <w:ind w:leftChars="100" w:left="210" w:firstLineChars="100" w:firstLine="200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>大阪府がん対策推進委員会の各部会・WG</w:t>
      </w:r>
      <w:r w:rsidR="00A567EC" w:rsidRPr="00DC1079">
        <w:rPr>
          <w:rFonts w:ascii="游ゴシック" w:eastAsia="游ゴシック" w:hAnsi="游ゴシック" w:cs="Arial" w:hint="eastAsia"/>
          <w:sz w:val="20"/>
        </w:rPr>
        <w:t>において審議し、その意見を踏まえ、がん診療連携検討部会において要件を見直すこととする。</w:t>
      </w:r>
    </w:p>
    <w:p w:rsidR="00A567EC" w:rsidRPr="00DC1079" w:rsidRDefault="00DC1079" w:rsidP="00DC1079">
      <w:pPr>
        <w:widowControl/>
        <w:spacing w:line="0" w:lineRule="atLeast"/>
        <w:ind w:firstLineChars="200" w:firstLine="400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>（例）緩和ケアの部分について、診療実績に新しい項目として追加される等、より一層</w:t>
      </w:r>
      <w:r w:rsidR="00A567EC" w:rsidRPr="00DC1079">
        <w:rPr>
          <w:rFonts w:ascii="游ゴシック" w:eastAsia="游ゴシック" w:hAnsi="游ゴシック" w:cs="Arial" w:hint="eastAsia"/>
          <w:sz w:val="20"/>
        </w:rPr>
        <w:t>充実が求められていることから、緩和ケア推進</w:t>
      </w:r>
      <w:r w:rsidRPr="00DC1079">
        <w:rPr>
          <w:rFonts w:ascii="游ゴシック" w:eastAsia="游ゴシック" w:hAnsi="游ゴシック" w:cs="Arial" w:hint="eastAsia"/>
          <w:sz w:val="20"/>
        </w:rPr>
        <w:t>WG</w:t>
      </w:r>
      <w:r w:rsidR="00A567EC" w:rsidRPr="00DC1079">
        <w:rPr>
          <w:rFonts w:ascii="游ゴシック" w:eastAsia="游ゴシック" w:hAnsi="游ゴシック" w:cs="Arial" w:hint="eastAsia"/>
          <w:sz w:val="20"/>
        </w:rPr>
        <w:t>においても検討</w:t>
      </w:r>
    </w:p>
    <w:p w:rsidR="00C249FF" w:rsidRPr="00DC1079" w:rsidRDefault="00F921B9" w:rsidP="006928DD">
      <w:pPr>
        <w:widowControl/>
        <w:spacing w:line="276" w:lineRule="auto"/>
        <w:ind w:firstLineChars="100" w:firstLine="200"/>
        <w:jc w:val="left"/>
        <w:rPr>
          <w:rFonts w:ascii="游ゴシック" w:eastAsia="游ゴシック" w:hAnsi="游ゴシック" w:cs="ＭＳ Ｐゴシック"/>
          <w:kern w:val="0"/>
          <w:sz w:val="20"/>
          <w:u w:val="single"/>
        </w:rPr>
      </w:pPr>
      <w:r w:rsidRPr="00DC1079">
        <w:rPr>
          <w:rFonts w:ascii="游ゴシック" w:eastAsia="游ゴシック" w:hAnsi="游ゴシック" w:cs="Times New Roman" w:hint="eastAsia"/>
          <w:b/>
          <w:bCs/>
          <w:color w:val="000000"/>
          <w:kern w:val="24"/>
          <w:sz w:val="20"/>
        </w:rPr>
        <w:t>【見直しの内容</w:t>
      </w:r>
      <w:r w:rsidR="00C249FF" w:rsidRPr="00DC1079">
        <w:rPr>
          <w:rFonts w:ascii="游ゴシック" w:eastAsia="游ゴシック" w:hAnsi="游ゴシック" w:cs="Times New Roman" w:hint="eastAsia"/>
          <w:b/>
          <w:bCs/>
          <w:color w:val="000000"/>
          <w:kern w:val="24"/>
          <w:sz w:val="20"/>
        </w:rPr>
        <w:t>】</w:t>
      </w:r>
    </w:p>
    <w:p w:rsidR="00070A57" w:rsidRPr="00DC1079" w:rsidRDefault="00F921B9" w:rsidP="006928DD">
      <w:pPr>
        <w:widowControl/>
        <w:spacing w:line="0" w:lineRule="atLeast"/>
        <w:ind w:firstLineChars="200" w:firstLine="400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>①府拠点病院指定要件の見直しについて（資料３</w:t>
      </w:r>
      <w:r w:rsidR="001E07E2" w:rsidRPr="00DC1079">
        <w:rPr>
          <w:rFonts w:ascii="游ゴシック" w:eastAsia="游ゴシック" w:hAnsi="游ゴシック" w:cs="Arial" w:hint="eastAsia"/>
          <w:sz w:val="20"/>
        </w:rPr>
        <w:t>）</w:t>
      </w:r>
    </w:p>
    <w:p w:rsidR="00C249FF" w:rsidRPr="00DC1079" w:rsidRDefault="00C249FF" w:rsidP="006928DD">
      <w:pPr>
        <w:pStyle w:val="aa"/>
        <w:widowControl/>
        <w:numPr>
          <w:ilvl w:val="0"/>
          <w:numId w:val="5"/>
        </w:numPr>
        <w:spacing w:line="0" w:lineRule="atLeast"/>
        <w:ind w:leftChars="337" w:left="992" w:hangingChars="142" w:hanging="284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>国</w:t>
      </w:r>
      <w:r w:rsidR="00F921B9" w:rsidRPr="00DC1079">
        <w:rPr>
          <w:rFonts w:ascii="游ゴシック" w:eastAsia="游ゴシック" w:hAnsi="游ゴシック" w:cs="Arial" w:hint="eastAsia"/>
          <w:sz w:val="20"/>
        </w:rPr>
        <w:t>拠点病院指定</w:t>
      </w:r>
      <w:r w:rsidRPr="00DC1079">
        <w:rPr>
          <w:rFonts w:ascii="游ゴシック" w:eastAsia="游ゴシック" w:hAnsi="游ゴシック" w:cs="Arial" w:hint="eastAsia"/>
          <w:sz w:val="20"/>
        </w:rPr>
        <w:t>要件の見直しの考え方に準じて府</w:t>
      </w:r>
      <w:r w:rsidR="00F921B9" w:rsidRPr="00DC1079">
        <w:rPr>
          <w:rFonts w:ascii="游ゴシック" w:eastAsia="游ゴシック" w:hAnsi="游ゴシック" w:cs="Arial" w:hint="eastAsia"/>
          <w:sz w:val="20"/>
        </w:rPr>
        <w:t>拠点病院指定</w:t>
      </w:r>
      <w:r w:rsidRPr="00DC1079">
        <w:rPr>
          <w:rFonts w:ascii="游ゴシック" w:eastAsia="游ゴシック" w:hAnsi="游ゴシック" w:cs="Arial" w:hint="eastAsia"/>
          <w:sz w:val="20"/>
        </w:rPr>
        <w:t>要件も見直す。</w:t>
      </w:r>
    </w:p>
    <w:p w:rsidR="00C249FF" w:rsidRPr="00DC1079" w:rsidRDefault="00C249FF" w:rsidP="006928DD">
      <w:pPr>
        <w:widowControl/>
        <w:spacing w:line="0" w:lineRule="atLeast"/>
        <w:ind w:left="426" w:firstLineChars="300" w:firstLine="600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>（国</w:t>
      </w:r>
      <w:r w:rsidR="00F921B9" w:rsidRPr="00DC1079">
        <w:rPr>
          <w:rFonts w:ascii="游ゴシック" w:eastAsia="游ゴシック" w:hAnsi="游ゴシック" w:cs="Arial" w:hint="eastAsia"/>
          <w:sz w:val="20"/>
        </w:rPr>
        <w:t>拠点病院指定</w:t>
      </w:r>
      <w:r w:rsidRPr="00DC1079">
        <w:rPr>
          <w:rFonts w:ascii="游ゴシック" w:eastAsia="游ゴシック" w:hAnsi="游ゴシック" w:cs="Arial" w:hint="eastAsia"/>
          <w:sz w:val="20"/>
        </w:rPr>
        <w:t>要件の主な見直し）</w:t>
      </w:r>
    </w:p>
    <w:p w:rsidR="00C249FF" w:rsidRPr="00DC1079" w:rsidRDefault="00C249FF" w:rsidP="00C249FF">
      <w:pPr>
        <w:widowControl/>
        <w:spacing w:line="0" w:lineRule="atLeast"/>
        <w:ind w:leftChars="67" w:left="141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 xml:space="preserve">　　</w:t>
      </w:r>
      <w:r w:rsidR="006928DD">
        <w:rPr>
          <w:rFonts w:ascii="游ゴシック" w:eastAsia="游ゴシック" w:hAnsi="游ゴシック" w:cs="Arial" w:hint="eastAsia"/>
          <w:sz w:val="20"/>
        </w:rPr>
        <w:t xml:space="preserve">　　</w:t>
      </w:r>
      <w:r w:rsidRPr="00DC1079">
        <w:rPr>
          <w:rFonts w:ascii="游ゴシック" w:eastAsia="游ゴシック" w:hAnsi="游ゴシック" w:cs="Arial" w:hint="eastAsia"/>
          <w:sz w:val="20"/>
        </w:rPr>
        <w:t xml:space="preserve">　・</w:t>
      </w:r>
      <w:r w:rsidRPr="00DC1079">
        <w:rPr>
          <w:rFonts w:ascii="游ゴシック" w:eastAsia="游ゴシック" w:hAnsi="游ゴシック" w:cs="Times New Roman" w:hint="eastAsia"/>
          <w:color w:val="000000"/>
          <w:kern w:val="24"/>
          <w:sz w:val="20"/>
        </w:rPr>
        <w:t>集学的治療やがん相談支援センター、緩和ケア等の機能拡充等</w:t>
      </w:r>
    </w:p>
    <w:p w:rsidR="00C249FF" w:rsidRPr="00DC1079" w:rsidRDefault="00C249FF" w:rsidP="006928DD">
      <w:pPr>
        <w:widowControl/>
        <w:spacing w:line="0" w:lineRule="atLeast"/>
        <w:ind w:leftChars="67" w:left="141" w:firstLineChars="400" w:firstLine="800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 xml:space="preserve">　・医療安全管理部門の新設</w:t>
      </w:r>
    </w:p>
    <w:p w:rsidR="00C249FF" w:rsidRPr="00DC1079" w:rsidRDefault="00C249FF" w:rsidP="00C249FF">
      <w:pPr>
        <w:widowControl/>
        <w:spacing w:line="0" w:lineRule="atLeast"/>
        <w:ind w:leftChars="67" w:left="141" w:firstLineChars="200" w:firstLine="400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 xml:space="preserve">　</w:t>
      </w:r>
      <w:r w:rsidR="006928DD">
        <w:rPr>
          <w:rFonts w:ascii="游ゴシック" w:eastAsia="游ゴシック" w:hAnsi="游ゴシック" w:cs="Arial" w:hint="eastAsia"/>
          <w:sz w:val="20"/>
        </w:rPr>
        <w:t xml:space="preserve">　　</w:t>
      </w:r>
      <w:r w:rsidRPr="00DC1079">
        <w:rPr>
          <w:rFonts w:ascii="游ゴシック" w:eastAsia="游ゴシック" w:hAnsi="游ゴシック" w:cs="Arial" w:hint="eastAsia"/>
          <w:sz w:val="20"/>
        </w:rPr>
        <w:t>・人員配置の強化</w:t>
      </w:r>
    </w:p>
    <w:p w:rsidR="00C249FF" w:rsidRPr="00DC1079" w:rsidRDefault="00C249FF" w:rsidP="00C249FF">
      <w:pPr>
        <w:widowControl/>
        <w:spacing w:line="0" w:lineRule="atLeast"/>
        <w:ind w:leftChars="67" w:left="141" w:firstLineChars="200" w:firstLine="400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 xml:space="preserve">　</w:t>
      </w:r>
      <w:r w:rsidR="006928DD">
        <w:rPr>
          <w:rFonts w:ascii="游ゴシック" w:eastAsia="游ゴシック" w:hAnsi="游ゴシック" w:cs="Arial" w:hint="eastAsia"/>
          <w:sz w:val="20"/>
        </w:rPr>
        <w:t xml:space="preserve">　　</w:t>
      </w:r>
      <w:r w:rsidRPr="00DC1079">
        <w:rPr>
          <w:rFonts w:ascii="游ゴシック" w:eastAsia="游ゴシック" w:hAnsi="游ゴシック" w:cs="Arial" w:hint="eastAsia"/>
          <w:sz w:val="20"/>
        </w:rPr>
        <w:t>・診療実績（緩和ケア</w:t>
      </w:r>
      <w:r w:rsidR="00EA4324" w:rsidRPr="00DC1079">
        <w:rPr>
          <w:rFonts w:ascii="游ゴシック" w:eastAsia="游ゴシック" w:hAnsi="游ゴシック" w:cs="Arial" w:hint="eastAsia"/>
          <w:sz w:val="20"/>
        </w:rPr>
        <w:t>チームの新規介入数</w:t>
      </w:r>
      <w:r w:rsidRPr="00DC1079">
        <w:rPr>
          <w:rFonts w:ascii="游ゴシック" w:eastAsia="游ゴシック" w:hAnsi="游ゴシック" w:cs="Arial" w:hint="eastAsia"/>
          <w:sz w:val="20"/>
        </w:rPr>
        <w:t>）の追加　　　　など</w:t>
      </w:r>
    </w:p>
    <w:p w:rsidR="00C249FF" w:rsidRPr="00DC1079" w:rsidRDefault="00C249FF" w:rsidP="006928DD">
      <w:pPr>
        <w:widowControl/>
        <w:numPr>
          <w:ilvl w:val="0"/>
          <w:numId w:val="1"/>
        </w:numPr>
        <w:spacing w:line="0" w:lineRule="atLeast"/>
        <w:ind w:left="993" w:hanging="284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>既</w:t>
      </w:r>
      <w:r w:rsidR="00F921B9" w:rsidRPr="00DC1079">
        <w:rPr>
          <w:rFonts w:ascii="游ゴシック" w:eastAsia="游ゴシック" w:hAnsi="游ゴシック" w:cs="Arial" w:hint="eastAsia"/>
          <w:sz w:val="20"/>
        </w:rPr>
        <w:t>府</w:t>
      </w:r>
      <w:r w:rsidRPr="00DC1079">
        <w:rPr>
          <w:rFonts w:ascii="游ゴシック" w:eastAsia="游ゴシック" w:hAnsi="游ゴシック" w:cs="Arial" w:hint="eastAsia"/>
          <w:sz w:val="20"/>
        </w:rPr>
        <w:t>指定病院については一定の経過措置を設ける。</w:t>
      </w:r>
    </w:p>
    <w:p w:rsidR="00C249FF" w:rsidRPr="00DC1079" w:rsidRDefault="00F921B9" w:rsidP="006928DD">
      <w:pPr>
        <w:widowControl/>
        <w:spacing w:line="276" w:lineRule="auto"/>
        <w:ind w:left="142" w:firstLineChars="100" w:firstLine="200"/>
        <w:jc w:val="left"/>
        <w:rPr>
          <w:rFonts w:ascii="游ゴシック" w:eastAsia="游ゴシック" w:hAnsi="游ゴシック" w:cs="Arial"/>
          <w:sz w:val="20"/>
        </w:rPr>
      </w:pPr>
      <w:r w:rsidRPr="00DC1079">
        <w:rPr>
          <w:rFonts w:ascii="游ゴシック" w:eastAsia="游ゴシック" w:hAnsi="游ゴシック" w:cs="Arial" w:hint="eastAsia"/>
          <w:sz w:val="20"/>
        </w:rPr>
        <w:t>②新しい指定の</w:t>
      </w:r>
      <w:r w:rsidR="00396DC1" w:rsidRPr="00DC1079">
        <w:rPr>
          <w:rFonts w:ascii="游ゴシック" w:eastAsia="游ゴシック" w:hAnsi="游ゴシック" w:cs="Arial" w:hint="eastAsia"/>
          <w:sz w:val="20"/>
        </w:rPr>
        <w:t>類型</w:t>
      </w:r>
      <w:r w:rsidRPr="00DC1079">
        <w:rPr>
          <w:rFonts w:ascii="游ゴシック" w:eastAsia="游ゴシック" w:hAnsi="游ゴシック" w:cs="Arial" w:hint="eastAsia"/>
          <w:sz w:val="20"/>
        </w:rPr>
        <w:t>について（資料４</w:t>
      </w:r>
      <w:r w:rsidR="001E07E2" w:rsidRPr="00DC1079">
        <w:rPr>
          <w:rFonts w:ascii="游ゴシック" w:eastAsia="游ゴシック" w:hAnsi="游ゴシック" w:cs="Arial" w:hint="eastAsia"/>
          <w:sz w:val="20"/>
        </w:rPr>
        <w:t>）</w:t>
      </w:r>
    </w:p>
    <w:sectPr w:rsidR="00C249FF" w:rsidRPr="00DC1079" w:rsidSect="00C249F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60" w:rsidRDefault="00C31860" w:rsidP="00E85F8D">
      <w:r>
        <w:separator/>
      </w:r>
    </w:p>
  </w:endnote>
  <w:endnote w:type="continuationSeparator" w:id="0">
    <w:p w:rsidR="00C31860" w:rsidRDefault="00C31860" w:rsidP="00E8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60" w:rsidRDefault="00C31860" w:rsidP="00E85F8D">
      <w:r>
        <w:separator/>
      </w:r>
    </w:p>
  </w:footnote>
  <w:footnote w:type="continuationSeparator" w:id="0">
    <w:p w:rsidR="00C31860" w:rsidRDefault="00C31860" w:rsidP="00E8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D51"/>
    <w:multiLevelType w:val="hybridMultilevel"/>
    <w:tmpl w:val="080AB29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3D0BF5"/>
    <w:multiLevelType w:val="hybridMultilevel"/>
    <w:tmpl w:val="E1900888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6CFC435E"/>
    <w:multiLevelType w:val="hybridMultilevel"/>
    <w:tmpl w:val="509E200C"/>
    <w:lvl w:ilvl="0" w:tplc="0409000B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3" w15:restartNumberingAfterBreak="0">
    <w:nsid w:val="6E6B5C94"/>
    <w:multiLevelType w:val="hybridMultilevel"/>
    <w:tmpl w:val="A6EE6A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986C71"/>
    <w:multiLevelType w:val="hybridMultilevel"/>
    <w:tmpl w:val="DFBCAC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344F9"/>
    <w:rsid w:val="00070A57"/>
    <w:rsid w:val="0015783C"/>
    <w:rsid w:val="001618E3"/>
    <w:rsid w:val="001E07E2"/>
    <w:rsid w:val="00340AB6"/>
    <w:rsid w:val="00396DC1"/>
    <w:rsid w:val="006928DD"/>
    <w:rsid w:val="006A647E"/>
    <w:rsid w:val="006C4288"/>
    <w:rsid w:val="008A5502"/>
    <w:rsid w:val="00A135B3"/>
    <w:rsid w:val="00A50AF6"/>
    <w:rsid w:val="00A567EC"/>
    <w:rsid w:val="00A90459"/>
    <w:rsid w:val="00AC5C96"/>
    <w:rsid w:val="00AE64EC"/>
    <w:rsid w:val="00AF56B3"/>
    <w:rsid w:val="00B0730A"/>
    <w:rsid w:val="00B326B3"/>
    <w:rsid w:val="00C249FF"/>
    <w:rsid w:val="00C24B6A"/>
    <w:rsid w:val="00C273F2"/>
    <w:rsid w:val="00C31860"/>
    <w:rsid w:val="00CC01CB"/>
    <w:rsid w:val="00CE07C5"/>
    <w:rsid w:val="00D66480"/>
    <w:rsid w:val="00DC1079"/>
    <w:rsid w:val="00E26945"/>
    <w:rsid w:val="00E55D92"/>
    <w:rsid w:val="00E72D66"/>
    <w:rsid w:val="00E85F8D"/>
    <w:rsid w:val="00EA4324"/>
    <w:rsid w:val="00EB27AA"/>
    <w:rsid w:val="00F21BC1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4829CA"/>
  <w15:chartTrackingRefBased/>
  <w15:docId w15:val="{EED90AC6-4823-421C-83BD-5405EA8F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55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5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5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5F8D"/>
  </w:style>
  <w:style w:type="paragraph" w:styleId="a8">
    <w:name w:val="footer"/>
    <w:basedOn w:val="a"/>
    <w:link w:val="a9"/>
    <w:uiPriority w:val="99"/>
    <w:unhideWhenUsed/>
    <w:rsid w:val="00E85F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5F8D"/>
  </w:style>
  <w:style w:type="paragraph" w:styleId="aa">
    <w:name w:val="List Paragraph"/>
    <w:basedOn w:val="a"/>
    <w:uiPriority w:val="34"/>
    <w:qFormat/>
    <w:rsid w:val="00070A57"/>
    <w:pPr>
      <w:ind w:leftChars="400" w:left="840"/>
    </w:pPr>
  </w:style>
  <w:style w:type="paragraph" w:customStyle="1" w:styleId="Default">
    <w:name w:val="Default"/>
    <w:rsid w:val="00A50A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EAF9-C9C3-49FA-92D5-15169D9E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奥平　麻衣子</dc:creator>
  <cp:keywords/>
  <dc:description/>
  <cp:lastModifiedBy>奥平　麻衣子</cp:lastModifiedBy>
  <cp:revision>28</cp:revision>
  <cp:lastPrinted>2019-02-19T04:41:00Z</cp:lastPrinted>
  <dcterms:created xsi:type="dcterms:W3CDTF">2019-02-06T12:04:00Z</dcterms:created>
  <dcterms:modified xsi:type="dcterms:W3CDTF">2019-02-19T12:17:00Z</dcterms:modified>
</cp:coreProperties>
</file>