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E09B5" w14:textId="57E142EF" w:rsidR="00486343" w:rsidRDefault="00486343">
      <w:pPr>
        <w:rPr>
          <w:b/>
          <w:noProof/>
          <w:sz w:val="36"/>
          <w:szCs w:val="36"/>
          <w:u w:val="single"/>
        </w:rPr>
      </w:pPr>
      <w:r w:rsidRPr="00486343">
        <w:rPr>
          <w:rFonts w:hint="eastAsia"/>
          <w:b/>
          <w:noProof/>
          <w:sz w:val="36"/>
          <w:szCs w:val="36"/>
          <w:u w:val="single"/>
        </w:rPr>
        <w:t>受診率</w:t>
      </w:r>
    </w:p>
    <w:p w14:paraId="08C5DA33" w14:textId="77D1B512" w:rsidR="0079792A" w:rsidRPr="006643AA" w:rsidRDefault="00A668BC" w:rsidP="00B5320B">
      <w:pPr>
        <w:jc w:val="center"/>
        <w:rPr>
          <w:b/>
          <w:noProof/>
          <w:sz w:val="36"/>
          <w:szCs w:val="36"/>
          <w:u w:val="single"/>
        </w:rPr>
      </w:pPr>
      <w:r>
        <w:rPr>
          <w:noProof/>
        </w:rPr>
        <mc:AlternateContent>
          <mc:Choice Requires="wps">
            <w:drawing>
              <wp:anchor distT="0" distB="0" distL="114300" distR="114300" simplePos="0" relativeHeight="251653632" behindDoc="0" locked="0" layoutInCell="1" allowOverlap="1" wp14:anchorId="667F353A" wp14:editId="7E77F08D">
                <wp:simplePos x="0" y="0"/>
                <wp:positionH relativeFrom="column">
                  <wp:posOffset>5189220</wp:posOffset>
                </wp:positionH>
                <wp:positionV relativeFrom="paragraph">
                  <wp:posOffset>58420</wp:posOffset>
                </wp:positionV>
                <wp:extent cx="951865" cy="363855"/>
                <wp:effectExtent l="0" t="0" r="0" b="0"/>
                <wp:wrapNone/>
                <wp:docPr id="14" name="テキスト ボックス 13">
                  <a:extLst xmlns:a="http://schemas.openxmlformats.org/drawingml/2006/main">
                    <a:ext uri="{FF2B5EF4-FFF2-40B4-BE49-F238E27FC236}">
                      <a16:creationId xmlns:a16="http://schemas.microsoft.com/office/drawing/2014/main" id="{40E21FDA-CB63-4810-B7FE-9BFD2FA4937B}"/>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951865" cy="363855"/>
                        </a:xfrm>
                        <a:prstGeom prst="rect">
                          <a:avLst/>
                        </a:prstGeom>
                        <a:noFill/>
                        <a:ln w="9525" cmpd="sng">
                          <a:noFill/>
                        </a:ln>
                        <a:effectLst/>
                      </wps:spPr>
                      <wps:txbx>
                        <w:txbxContent>
                          <w:p w14:paraId="63DD8F71" w14:textId="77777777" w:rsidR="00A668BC" w:rsidRPr="00A668BC" w:rsidRDefault="00A668BC" w:rsidP="00A668BC">
                            <w:pPr>
                              <w:rPr>
                                <w:rFonts w:ascii="ＭＳ Ｐゴシック" w:eastAsia="ＭＳ Ｐゴシック" w:hAnsi="ＭＳ Ｐゴシック" w:cs="+mn-cs"/>
                                <w:color w:val="000000"/>
                                <w:kern w:val="0"/>
                                <w:sz w:val="17"/>
                                <w:szCs w:val="17"/>
                              </w:rPr>
                            </w:pPr>
                            <w:r w:rsidRPr="00A668BC">
                              <w:rPr>
                                <w:rFonts w:ascii="ＭＳ Ｐゴシック" w:eastAsia="ＭＳ Ｐゴシック" w:hAnsi="ＭＳ Ｐゴシック" w:cs="+mn-cs" w:hint="eastAsia"/>
                                <w:color w:val="000000"/>
                                <w:sz w:val="17"/>
                                <w:szCs w:val="17"/>
                              </w:rPr>
                              <w:t>大阪府平均 5.1</w:t>
                            </w:r>
                          </w:p>
                        </w:txbxContent>
                      </wps:txbx>
                      <wps:bodyPr vertOverflow="clip" horzOverflow="clip" wrap="square" rtlCol="0" anchor="t">
                        <a:noAutofit/>
                      </wps:bodyPr>
                    </wps:wsp>
                  </a:graphicData>
                </a:graphic>
                <wp14:sizeRelV relativeFrom="margin">
                  <wp14:pctHeight>0</wp14:pctHeight>
                </wp14:sizeRelV>
              </wp:anchor>
            </w:drawing>
          </mc:Choice>
          <mc:Fallback>
            <w:pict>
              <v:shapetype w14:anchorId="667F353A" id="_x0000_t202" coordsize="21600,21600" o:spt="202" path="m,l,21600r21600,l21600,xe">
                <v:stroke joinstyle="miter"/>
                <v:path gradientshapeok="t" o:connecttype="rect"/>
              </v:shapetype>
              <v:shape id="テキスト ボックス 13" o:spid="_x0000_s1026" type="#_x0000_t202" style="position:absolute;left:0;text-align:left;margin-left:408.6pt;margin-top:4.6pt;width:74.95pt;height:28.65pt;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" filled="f" stroked="f">
                <o:lock v:ext="edit" aspectratio="t"/>
                <v:textbox>
                  <w:txbxContent>
                    <w:p w14:paraId="63DD8F71" w14:textId="77777777" w:rsidR="00A668BC" w:rsidRPr="00A668BC" w:rsidRDefault="00A668BC" w:rsidP="00A668BC">
                      <w:pPr>
                        <w:rPr>
                          <w:rFonts w:ascii="ＭＳ Ｐゴシック" w:eastAsia="ＭＳ Ｐゴシック" w:hAnsi="ＭＳ Ｐゴシック" w:cs="+mn-cs"/>
                          <w:color w:val="000000"/>
                          <w:kern w:val="0"/>
                          <w:sz w:val="17"/>
                          <w:szCs w:val="17"/>
                        </w:rPr>
                      </w:pPr>
                      <w:r w:rsidRPr="00A668BC">
                        <w:rPr>
                          <w:rFonts w:ascii="ＭＳ Ｐゴシック" w:eastAsia="ＭＳ Ｐゴシック" w:hAnsi="ＭＳ Ｐゴシック" w:cs="+mn-cs" w:hint="eastAsia"/>
                          <w:color w:val="000000"/>
                          <w:sz w:val="17"/>
                          <w:szCs w:val="17"/>
                        </w:rPr>
                        <w:t>大阪府平均 5.1</w:t>
                      </w:r>
                    </w:p>
                  </w:txbxContent>
                </v:textbox>
              </v:shape>
            </w:pict>
          </mc:Fallback>
        </mc:AlternateContent>
      </w:r>
      <w:r>
        <w:rPr>
          <w:noProof/>
        </w:rPr>
        <w:drawing>
          <wp:inline distT="0" distB="0" distL="0" distR="0" wp14:anchorId="21E35F03" wp14:editId="2AC0BC60">
            <wp:extent cx="6416170" cy="1874981"/>
            <wp:effectExtent l="0" t="0" r="3810" b="11430"/>
            <wp:docPr id="1" name="グラフ 1">
              <a:extLst xmlns:a="http://schemas.openxmlformats.org/drawingml/2006/main">
                <a:ext uri="{FF2B5EF4-FFF2-40B4-BE49-F238E27FC236}">
                  <a16:creationId xmlns:a16="http://schemas.microsoft.com/office/drawing/2014/main" id="{D251A1A9-3F59-4B2F-85AB-2D85C2B3DD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bl>
      <w:tblPr>
        <w:tblpPr w:leftFromText="142" w:rightFromText="142" w:vertAnchor="text" w:horzAnchor="margin" w:tblpXSpec="center" w:tblpY="277"/>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20" w:firstRow="1" w:lastRow="0" w:firstColumn="0" w:lastColumn="0" w:noHBand="0" w:noVBand="1"/>
      </w:tblPr>
      <w:tblGrid>
        <w:gridCol w:w="3794"/>
        <w:gridCol w:w="2693"/>
        <w:gridCol w:w="2977"/>
      </w:tblGrid>
      <w:tr w:rsidR="00973920" w:rsidRPr="00984237" w14:paraId="6BAAB57D" w14:textId="77777777" w:rsidTr="00B5320B">
        <w:trPr>
          <w:trHeight w:val="165"/>
        </w:trPr>
        <w:tc>
          <w:tcPr>
            <w:tcW w:w="3794" w:type="dxa"/>
            <w:tcBorders>
              <w:top w:val="single" w:sz="8" w:space="0" w:color="4BACC6"/>
              <w:left w:val="single" w:sz="8" w:space="0" w:color="4BACC6"/>
              <w:bottom w:val="single" w:sz="18" w:space="0" w:color="4BACC6"/>
              <w:right w:val="single" w:sz="8" w:space="0" w:color="4BACC6"/>
            </w:tcBorders>
            <w:noWrap/>
            <w:hideMark/>
          </w:tcPr>
          <w:p w14:paraId="1EAFBDAA" w14:textId="77777777" w:rsidR="00973920" w:rsidRPr="00984237" w:rsidRDefault="00973920" w:rsidP="00973920">
            <w:pPr>
              <w:spacing w:line="240" w:lineRule="atLeast"/>
              <w:ind w:firstLineChars="100" w:firstLine="161"/>
              <w:rPr>
                <w:rFonts w:ascii="HG丸ｺﾞｼｯｸM-PRO" w:eastAsia="HG丸ｺﾞｼｯｸM-PRO" w:hAnsi="HG丸ｺﾞｼｯｸM-PRO" w:cs="Times New Roman"/>
                <w:b/>
                <w:bCs/>
                <w:sz w:val="16"/>
                <w:szCs w:val="16"/>
              </w:rPr>
            </w:pPr>
            <w:r w:rsidRPr="00984237">
              <w:rPr>
                <w:rFonts w:ascii="HG丸ｺﾞｼｯｸM-PRO" w:eastAsia="HG丸ｺﾞｼｯｸM-PRO" w:hAnsi="HG丸ｺﾞｼｯｸM-PRO" w:cs="Times New Roman" w:hint="eastAsia"/>
                <w:b/>
                <w:bCs/>
                <w:sz w:val="16"/>
                <w:szCs w:val="16"/>
              </w:rPr>
              <w:t>受診率とは</w:t>
            </w:r>
          </w:p>
        </w:tc>
        <w:tc>
          <w:tcPr>
            <w:tcW w:w="2693" w:type="dxa"/>
            <w:tcBorders>
              <w:top w:val="single" w:sz="8" w:space="0" w:color="4BACC6"/>
              <w:left w:val="single" w:sz="8" w:space="0" w:color="4BACC6"/>
              <w:bottom w:val="single" w:sz="18" w:space="0" w:color="4BACC6"/>
              <w:right w:val="single" w:sz="8" w:space="0" w:color="4BACC6"/>
            </w:tcBorders>
            <w:noWrap/>
            <w:hideMark/>
          </w:tcPr>
          <w:p w14:paraId="570BE704" w14:textId="77777777" w:rsidR="00973920" w:rsidRPr="00984237" w:rsidRDefault="00973920" w:rsidP="00973920">
            <w:pPr>
              <w:spacing w:line="240" w:lineRule="atLeast"/>
              <w:ind w:firstLineChars="100" w:firstLine="161"/>
              <w:rPr>
                <w:rFonts w:ascii="HG丸ｺﾞｼｯｸM-PRO" w:eastAsia="HG丸ｺﾞｼｯｸM-PRO" w:hAnsi="HG丸ｺﾞｼｯｸM-PRO" w:cs="Times New Roman"/>
                <w:b/>
                <w:bCs/>
                <w:sz w:val="16"/>
                <w:szCs w:val="16"/>
              </w:rPr>
            </w:pPr>
            <w:r w:rsidRPr="00984237">
              <w:rPr>
                <w:rFonts w:ascii="HG丸ｺﾞｼｯｸM-PRO" w:eastAsia="HG丸ｺﾞｼｯｸM-PRO" w:hAnsi="HG丸ｺﾞｼｯｸM-PRO" w:cs="Times New Roman" w:hint="eastAsia"/>
                <w:b/>
                <w:bCs/>
                <w:sz w:val="16"/>
                <w:szCs w:val="16"/>
              </w:rPr>
              <w:t>高い場合</w:t>
            </w:r>
          </w:p>
        </w:tc>
        <w:tc>
          <w:tcPr>
            <w:tcW w:w="2977" w:type="dxa"/>
            <w:tcBorders>
              <w:top w:val="single" w:sz="8" w:space="0" w:color="4BACC6"/>
              <w:left w:val="single" w:sz="8" w:space="0" w:color="4BACC6"/>
              <w:bottom w:val="single" w:sz="18" w:space="0" w:color="4BACC6"/>
              <w:right w:val="single" w:sz="8" w:space="0" w:color="4BACC6"/>
            </w:tcBorders>
            <w:noWrap/>
            <w:hideMark/>
          </w:tcPr>
          <w:p w14:paraId="7EAA707F" w14:textId="77777777" w:rsidR="00973920" w:rsidRPr="00984237" w:rsidRDefault="00973920" w:rsidP="00973920">
            <w:pPr>
              <w:spacing w:line="240" w:lineRule="atLeast"/>
              <w:ind w:firstLineChars="100" w:firstLine="161"/>
              <w:rPr>
                <w:rFonts w:ascii="HG丸ｺﾞｼｯｸM-PRO" w:eastAsia="HG丸ｺﾞｼｯｸM-PRO" w:hAnsi="HG丸ｺﾞｼｯｸM-PRO" w:cs="Times New Roman"/>
                <w:b/>
                <w:bCs/>
                <w:sz w:val="16"/>
                <w:szCs w:val="16"/>
              </w:rPr>
            </w:pPr>
            <w:r w:rsidRPr="00984237">
              <w:rPr>
                <w:rFonts w:ascii="HG丸ｺﾞｼｯｸM-PRO" w:eastAsia="HG丸ｺﾞｼｯｸM-PRO" w:hAnsi="HG丸ｺﾞｼｯｸM-PRO" w:cs="Times New Roman" w:hint="eastAsia"/>
                <w:b/>
                <w:bCs/>
                <w:sz w:val="16"/>
                <w:szCs w:val="16"/>
              </w:rPr>
              <w:t>低い場合</w:t>
            </w:r>
          </w:p>
        </w:tc>
      </w:tr>
      <w:tr w:rsidR="00973920" w:rsidRPr="00984237" w14:paraId="16A9BAAD" w14:textId="77777777" w:rsidTr="00B5320B">
        <w:trPr>
          <w:trHeight w:val="1024"/>
        </w:trPr>
        <w:tc>
          <w:tcPr>
            <w:tcW w:w="3794" w:type="dxa"/>
            <w:tcBorders>
              <w:top w:val="single" w:sz="8" w:space="0" w:color="4BACC6"/>
              <w:left w:val="single" w:sz="8" w:space="0" w:color="4BACC6"/>
              <w:bottom w:val="single" w:sz="8" w:space="0" w:color="4BACC6"/>
              <w:right w:val="single" w:sz="8" w:space="0" w:color="4BACC6"/>
            </w:tcBorders>
            <w:shd w:val="clear" w:color="auto" w:fill="D2EAF1"/>
            <w:hideMark/>
          </w:tcPr>
          <w:p w14:paraId="0F017845" w14:textId="77777777" w:rsidR="00973920" w:rsidRPr="00984237" w:rsidRDefault="00973920" w:rsidP="00973920">
            <w:pPr>
              <w:spacing w:line="240" w:lineRule="atLeast"/>
              <w:jc w:val="left"/>
              <w:rPr>
                <w:rFonts w:ascii="HG丸ｺﾞｼｯｸM-PRO" w:eastAsia="HG丸ｺﾞｼｯｸM-PRO" w:hAnsi="HG丸ｺﾞｼｯｸM-PRO" w:cs="Times New Roman"/>
                <w:sz w:val="16"/>
                <w:szCs w:val="16"/>
              </w:rPr>
            </w:pPr>
            <w:r w:rsidRPr="00984237">
              <w:rPr>
                <w:rFonts w:ascii="HG丸ｺﾞｼｯｸM-PRO" w:eastAsia="HG丸ｺﾞｼｯｸM-PRO" w:hAnsi="HG丸ｺﾞｼｯｸM-PRO" w:cs="Times New Roman" w:hint="eastAsia"/>
                <w:sz w:val="16"/>
                <w:szCs w:val="16"/>
              </w:rPr>
              <w:t>がん検診対象者のうち、実際に受診した人の割合。</w:t>
            </w:r>
          </w:p>
          <w:p w14:paraId="466FAC48" w14:textId="77777777" w:rsidR="00973920" w:rsidRPr="00984237" w:rsidRDefault="00973920" w:rsidP="00973920">
            <w:pPr>
              <w:spacing w:line="240" w:lineRule="atLeast"/>
              <w:jc w:val="left"/>
              <w:rPr>
                <w:rFonts w:ascii="HG丸ｺﾞｼｯｸM-PRO" w:eastAsia="HG丸ｺﾞｼｯｸM-PRO" w:hAnsi="HG丸ｺﾞｼｯｸM-PRO" w:cs="Times New Roman"/>
                <w:sz w:val="16"/>
                <w:szCs w:val="16"/>
              </w:rPr>
            </w:pPr>
            <w:r w:rsidRPr="00984237">
              <w:rPr>
                <w:rFonts w:ascii="HG丸ｺﾞｼｯｸM-PRO" w:eastAsia="HG丸ｺﾞｼｯｸM-PRO" w:hAnsi="HG丸ｺﾞｼｯｸM-PRO" w:cs="Times New Roman" w:hint="eastAsia"/>
                <w:sz w:val="16"/>
                <w:szCs w:val="16"/>
              </w:rPr>
              <w:t>※市町村が行うがん検診では、40歳以上（</w:t>
            </w:r>
            <w:r>
              <w:rPr>
                <w:rFonts w:ascii="HG丸ｺﾞｼｯｸM-PRO" w:eastAsia="HG丸ｺﾞｼｯｸM-PRO" w:hAnsi="HG丸ｺﾞｼｯｸM-PRO" w:cs="Times New Roman" w:hint="eastAsia"/>
                <w:sz w:val="16"/>
                <w:szCs w:val="16"/>
              </w:rPr>
              <w:t>胃がんは50歳以上、</w:t>
            </w:r>
            <w:r w:rsidRPr="00984237">
              <w:rPr>
                <w:rFonts w:ascii="HG丸ｺﾞｼｯｸM-PRO" w:eastAsia="HG丸ｺﾞｼｯｸM-PRO" w:hAnsi="HG丸ｺﾞｼｯｸM-PRO" w:cs="Times New Roman" w:hint="eastAsia"/>
                <w:sz w:val="16"/>
                <w:szCs w:val="16"/>
              </w:rPr>
              <w:t>子宮頸がんは20歳以上）で、かつ職場で受診する機会がない人が「がん検診対象者」であると定められています。</w:t>
            </w:r>
          </w:p>
        </w:tc>
        <w:tc>
          <w:tcPr>
            <w:tcW w:w="2693" w:type="dxa"/>
            <w:tcBorders>
              <w:top w:val="single" w:sz="8" w:space="0" w:color="4BACC6"/>
              <w:left w:val="single" w:sz="8" w:space="0" w:color="4BACC6"/>
              <w:bottom w:val="single" w:sz="8" w:space="0" w:color="4BACC6"/>
              <w:right w:val="single" w:sz="8" w:space="0" w:color="4BACC6"/>
            </w:tcBorders>
            <w:shd w:val="clear" w:color="auto" w:fill="D2EAF1"/>
            <w:hideMark/>
          </w:tcPr>
          <w:p w14:paraId="45312F5B" w14:textId="77777777" w:rsidR="00973920" w:rsidRPr="00984237" w:rsidRDefault="00973920" w:rsidP="00973920">
            <w:pPr>
              <w:spacing w:line="240" w:lineRule="atLeast"/>
              <w:rPr>
                <w:rFonts w:ascii="HG丸ｺﾞｼｯｸM-PRO" w:eastAsia="HG丸ｺﾞｼｯｸM-PRO" w:hAnsi="HG丸ｺﾞｼｯｸM-PRO" w:cs="Times New Roman"/>
                <w:sz w:val="16"/>
                <w:szCs w:val="16"/>
              </w:rPr>
            </w:pPr>
            <w:r w:rsidRPr="00984237">
              <w:rPr>
                <w:rFonts w:ascii="HG丸ｺﾞｼｯｸM-PRO" w:eastAsia="HG丸ｺﾞｼｯｸM-PRO" w:hAnsi="HG丸ｺﾞｼｯｸM-PRO" w:cs="Times New Roman" w:hint="eastAsia"/>
                <w:sz w:val="16"/>
                <w:szCs w:val="16"/>
              </w:rPr>
              <w:t>○高いことが望ましい。</w:t>
            </w:r>
          </w:p>
        </w:tc>
        <w:tc>
          <w:tcPr>
            <w:tcW w:w="2977" w:type="dxa"/>
            <w:tcBorders>
              <w:top w:val="single" w:sz="8" w:space="0" w:color="4BACC6"/>
              <w:left w:val="single" w:sz="8" w:space="0" w:color="4BACC6"/>
              <w:bottom w:val="single" w:sz="8" w:space="0" w:color="4BACC6"/>
              <w:right w:val="single" w:sz="8" w:space="0" w:color="4BACC6"/>
            </w:tcBorders>
            <w:shd w:val="clear" w:color="auto" w:fill="D2EAF1"/>
            <w:hideMark/>
          </w:tcPr>
          <w:p w14:paraId="0AF290CD" w14:textId="77777777" w:rsidR="00973920" w:rsidRPr="00984237" w:rsidRDefault="00973920" w:rsidP="00973920">
            <w:pPr>
              <w:spacing w:line="240" w:lineRule="atLeast"/>
              <w:jc w:val="left"/>
              <w:rPr>
                <w:rFonts w:ascii="HG丸ｺﾞｼｯｸM-PRO" w:eastAsia="HG丸ｺﾞｼｯｸM-PRO" w:hAnsi="HG丸ｺﾞｼｯｸM-PRO" w:cs="Times New Roman"/>
                <w:sz w:val="16"/>
                <w:szCs w:val="16"/>
              </w:rPr>
            </w:pPr>
            <w:r w:rsidRPr="00984237">
              <w:rPr>
                <w:rFonts w:ascii="HG丸ｺﾞｼｯｸM-PRO" w:eastAsia="HG丸ｺﾞｼｯｸM-PRO" w:hAnsi="HG丸ｺﾞｼｯｸM-PRO" w:cs="Times New Roman" w:hint="eastAsia"/>
                <w:sz w:val="16"/>
                <w:szCs w:val="16"/>
              </w:rPr>
              <w:t xml:space="preserve">○検診の提供体制や受診勧奨等の充実を図る必要がある。　　　　　　　　　　　　　　　　　　　　　　　　　　　　　　　</w:t>
            </w:r>
          </w:p>
        </w:tc>
      </w:tr>
    </w:tbl>
    <w:p w14:paraId="5162FD7C" w14:textId="77777777" w:rsidR="0079792A" w:rsidRPr="002C299B" w:rsidRDefault="0079792A"/>
    <w:p w14:paraId="13EF1ADD" w14:textId="77777777" w:rsidR="00973920" w:rsidRDefault="002C299B" w:rsidP="00973920">
      <w:pPr>
        <w:spacing w:line="320" w:lineRule="exact"/>
        <w:rPr>
          <w:rFonts w:asciiTheme="minorEastAsia" w:hAnsiTheme="minorEastAsia"/>
          <w:sz w:val="18"/>
          <w:szCs w:val="17"/>
        </w:rPr>
      </w:pPr>
      <w:r w:rsidRPr="00C76A4C">
        <w:rPr>
          <w:rFonts w:asciiTheme="minorEastAsia" w:hAnsiTheme="minorEastAsia" w:hint="eastAsia"/>
          <w:sz w:val="18"/>
          <w:szCs w:val="17"/>
        </w:rPr>
        <w:t>※受診率の算出元（分母）となる対象者数は、地域保健・健康増進事業報告の15（１）健康増進事業等の対象者の</w:t>
      </w:r>
    </w:p>
    <w:p w14:paraId="4C182D93" w14:textId="1ED60DC8" w:rsidR="00973920" w:rsidRDefault="002C299B" w:rsidP="00973920">
      <w:pPr>
        <w:spacing w:line="320" w:lineRule="exact"/>
        <w:ind w:firstLineChars="100" w:firstLine="180"/>
        <w:rPr>
          <w:rFonts w:asciiTheme="minorEastAsia" w:hAnsiTheme="minorEastAsia"/>
          <w:sz w:val="18"/>
          <w:szCs w:val="17"/>
        </w:rPr>
      </w:pPr>
      <w:r w:rsidRPr="00C76A4C">
        <w:rPr>
          <w:rFonts w:asciiTheme="minorEastAsia" w:hAnsiTheme="minorEastAsia" w:hint="eastAsia"/>
          <w:sz w:val="18"/>
          <w:szCs w:val="17"/>
        </w:rPr>
        <w:t>各がんで報告した数としている。</w:t>
      </w:r>
    </w:p>
    <w:p w14:paraId="14DB7219" w14:textId="77777777" w:rsidR="00973920" w:rsidRPr="00973920" w:rsidRDefault="00973920" w:rsidP="00973920">
      <w:pPr>
        <w:spacing w:line="320" w:lineRule="exact"/>
        <w:ind w:firstLineChars="100" w:firstLine="180"/>
        <w:rPr>
          <w:rFonts w:asciiTheme="minorEastAsia" w:hAnsiTheme="minorEastAsia"/>
          <w:sz w:val="18"/>
          <w:szCs w:val="17"/>
        </w:rPr>
      </w:pPr>
    </w:p>
    <w:p w14:paraId="0E54214C" w14:textId="77777777" w:rsidR="00973920" w:rsidRDefault="00973920" w:rsidP="00973920">
      <w:pPr>
        <w:spacing w:line="320" w:lineRule="exact"/>
        <w:rPr>
          <w:szCs w:val="21"/>
        </w:rPr>
      </w:pPr>
    </w:p>
    <w:p w14:paraId="4C8E20AC" w14:textId="77777777" w:rsidR="00973920" w:rsidRDefault="00973920" w:rsidP="00973920">
      <w:pPr>
        <w:spacing w:line="320" w:lineRule="exact"/>
        <w:rPr>
          <w:szCs w:val="21"/>
        </w:rPr>
      </w:pPr>
    </w:p>
    <w:p w14:paraId="38E4B931" w14:textId="77777777" w:rsidR="00267285" w:rsidRPr="00973920" w:rsidRDefault="00267285"/>
    <w:p w14:paraId="39A15B8D" w14:textId="77777777" w:rsidR="00267285" w:rsidRDefault="00267285"/>
    <w:p w14:paraId="7E420663" w14:textId="77777777" w:rsidR="00267285" w:rsidRDefault="00267285"/>
    <w:p w14:paraId="45FBFFD2" w14:textId="77777777" w:rsidR="00267285" w:rsidRDefault="00267285"/>
    <w:p w14:paraId="6F91FEDE" w14:textId="77777777" w:rsidR="00267285" w:rsidRDefault="00267285"/>
    <w:p w14:paraId="4EEB73D9" w14:textId="77777777" w:rsidR="00267285" w:rsidRDefault="00267285"/>
    <w:p w14:paraId="39C82692" w14:textId="77777777" w:rsidR="00267285" w:rsidRDefault="00267285"/>
    <w:p w14:paraId="4E7C879B" w14:textId="77777777" w:rsidR="00267285" w:rsidRDefault="00267285"/>
    <w:p w14:paraId="1A6B139C" w14:textId="77777777" w:rsidR="00267285" w:rsidRDefault="00267285"/>
    <w:p w14:paraId="18DC1A65" w14:textId="77777777" w:rsidR="00267285" w:rsidRDefault="00267285"/>
    <w:p w14:paraId="4EED5C8C" w14:textId="77777777" w:rsidR="00267285" w:rsidRDefault="00267285"/>
    <w:p w14:paraId="0304481F" w14:textId="77777777" w:rsidR="00267285" w:rsidRDefault="00267285"/>
    <w:p w14:paraId="564F77E5" w14:textId="77777777" w:rsidR="00B14C9E" w:rsidRDefault="00B14C9E"/>
    <w:p w14:paraId="41B77398" w14:textId="0D06CD90" w:rsidR="00C454A7" w:rsidRDefault="00C454A7"/>
    <w:p w14:paraId="5908B94B" w14:textId="7EA57B44" w:rsidR="00D876F5" w:rsidRDefault="00D876F5"/>
    <w:p w14:paraId="2D76D8B7" w14:textId="77777777" w:rsidR="00D876F5" w:rsidRDefault="00D876F5"/>
    <w:p w14:paraId="0A183A07" w14:textId="449E9417" w:rsidR="006643AA" w:rsidRDefault="006643AA"/>
    <w:p w14:paraId="12A408A1" w14:textId="77777777" w:rsidR="00841902" w:rsidRDefault="00841902"/>
    <w:p w14:paraId="26A057B6" w14:textId="510B1D0C" w:rsidR="006643AA" w:rsidRDefault="0079792A">
      <w:pPr>
        <w:rPr>
          <w:b/>
          <w:sz w:val="36"/>
          <w:szCs w:val="36"/>
          <w:u w:val="single"/>
        </w:rPr>
      </w:pPr>
      <w:r w:rsidRPr="0079792A">
        <w:rPr>
          <w:rFonts w:hint="eastAsia"/>
          <w:b/>
          <w:sz w:val="36"/>
          <w:szCs w:val="36"/>
          <w:u w:val="single"/>
        </w:rPr>
        <w:lastRenderedPageBreak/>
        <w:t>要精検率</w:t>
      </w:r>
    </w:p>
    <w:p w14:paraId="72762AE3" w14:textId="32663784" w:rsidR="00EB1008" w:rsidRPr="006643AA" w:rsidRDefault="00A668BC" w:rsidP="00B5320B">
      <w:pPr>
        <w:jc w:val="center"/>
        <w:rPr>
          <w:b/>
          <w:sz w:val="36"/>
          <w:szCs w:val="36"/>
          <w:u w:val="single"/>
        </w:rPr>
      </w:pPr>
      <w:r>
        <w:rPr>
          <w:noProof/>
        </w:rPr>
        <mc:AlternateContent>
          <mc:Choice Requires="wps">
            <w:drawing>
              <wp:anchor distT="0" distB="0" distL="114300" distR="114300" simplePos="0" relativeHeight="251656704" behindDoc="0" locked="0" layoutInCell="1" allowOverlap="1" wp14:anchorId="76931F76" wp14:editId="61B500DF">
                <wp:simplePos x="0" y="0"/>
                <wp:positionH relativeFrom="column">
                  <wp:posOffset>4317788</wp:posOffset>
                </wp:positionH>
                <wp:positionV relativeFrom="paragraph">
                  <wp:posOffset>177800</wp:posOffset>
                </wp:positionV>
                <wp:extent cx="1980000" cy="287867"/>
                <wp:effectExtent l="0" t="0" r="1270" b="0"/>
                <wp:wrapNone/>
                <wp:docPr id="3" name="テキスト ボックス 2">
                  <a:extLst xmlns:a="http://schemas.openxmlformats.org/drawingml/2006/main">
                    <a:ext uri="{FF2B5EF4-FFF2-40B4-BE49-F238E27FC236}">
                      <a16:creationId xmlns:a16="http://schemas.microsoft.com/office/drawing/2014/main" id="{D136764D-CB1F-4F79-B8C4-B02773284A3C}"/>
                    </a:ext>
                  </a:extLst>
                </wp:docPr>
                <wp:cNvGraphicFramePr/>
                <a:graphic xmlns:a="http://schemas.openxmlformats.org/drawingml/2006/main">
                  <a:graphicData uri="http://schemas.microsoft.com/office/word/2010/wordprocessingShape">
                    <wps:wsp>
                      <wps:cNvSpPr txBox="1"/>
                      <wps:spPr>
                        <a:xfrm>
                          <a:off x="0" y="0"/>
                          <a:ext cx="1980000" cy="287867"/>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85175FF" w14:textId="77777777" w:rsidR="00A668BC" w:rsidRPr="00A668BC" w:rsidRDefault="00A668BC" w:rsidP="00A668BC">
                            <w:pPr>
                              <w:rPr>
                                <w:rFonts w:ascii="ＭＳ Ｐゴシック" w:eastAsia="ＭＳ Ｐゴシック" w:hAnsi="ＭＳ Ｐゴシック"/>
                                <w:color w:val="000000"/>
                                <w:kern w:val="0"/>
                                <w:sz w:val="18"/>
                                <w:szCs w:val="18"/>
                              </w:rPr>
                            </w:pPr>
                            <w:r w:rsidRPr="00A668BC">
                              <w:rPr>
                                <w:rFonts w:ascii="ＭＳ Ｐゴシック" w:eastAsia="ＭＳ Ｐゴシック" w:hAnsi="ＭＳ Ｐゴシック" w:hint="eastAsia"/>
                                <w:color w:val="000000"/>
                                <w:sz w:val="18"/>
                                <w:szCs w:val="18"/>
                              </w:rPr>
                              <w:t>大阪府平均　5.8　基準値　6.8以下</w:t>
                            </w:r>
                          </w:p>
                        </w:txbxContent>
                      </wps:txbx>
                      <wps:bodyPr vertOverflow="clip" wrap="square" lIns="36000" tIns="36000" rIns="36000" bIns="36000" rtlCol="0" anchor="ctr" anchorCtr="1">
                        <a:noAutofit/>
                      </wps:bodyPr>
                    </wps:wsp>
                  </a:graphicData>
                </a:graphic>
                <wp14:sizeRelV relativeFrom="margin">
                  <wp14:pctHeight>0</wp14:pctHeight>
                </wp14:sizeRelV>
              </wp:anchor>
            </w:drawing>
          </mc:Choice>
          <mc:Fallback>
            <w:pict>
              <v:shape w14:anchorId="76931F76" id="テキスト ボックス 2" o:spid="_x0000_s1027" type="#_x0000_t202" style="position:absolute;left:0;text-align:left;margin-left:340pt;margin-top:14pt;width:155.9pt;height:22.65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" filled="f" stroked="f">
                <v:textbox inset="1mm,1mm,1mm,1mm">
                  <w:txbxContent>
                    <w:p w14:paraId="785175FF" w14:textId="77777777" w:rsidR="00A668BC" w:rsidRPr="00A668BC" w:rsidRDefault="00A668BC" w:rsidP="00A668BC">
                      <w:pPr>
                        <w:rPr>
                          <w:rFonts w:ascii="ＭＳ Ｐゴシック" w:eastAsia="ＭＳ Ｐゴシック" w:hAnsi="ＭＳ Ｐゴシック"/>
                          <w:color w:val="000000"/>
                          <w:kern w:val="0"/>
                          <w:sz w:val="18"/>
                          <w:szCs w:val="18"/>
                        </w:rPr>
                      </w:pPr>
                      <w:r w:rsidRPr="00A668BC">
                        <w:rPr>
                          <w:rFonts w:ascii="ＭＳ Ｐゴシック" w:eastAsia="ＭＳ Ｐゴシック" w:hAnsi="ＭＳ Ｐゴシック" w:hint="eastAsia"/>
                          <w:color w:val="000000"/>
                          <w:sz w:val="18"/>
                          <w:szCs w:val="18"/>
                        </w:rPr>
                        <w:t>大阪府平均　5.8　基準値　6.8以下</w:t>
                      </w:r>
                    </w:p>
                  </w:txbxContent>
                </v:textbox>
              </v:shape>
            </w:pict>
          </mc:Fallback>
        </mc:AlternateContent>
      </w:r>
      <w:r>
        <w:rPr>
          <w:noProof/>
        </w:rPr>
        <w:drawing>
          <wp:inline distT="0" distB="0" distL="0" distR="0" wp14:anchorId="4DC8FAFC" wp14:editId="3A697A61">
            <wp:extent cx="6444000" cy="2555460"/>
            <wp:effectExtent l="0" t="0" r="13970" b="16510"/>
            <wp:docPr id="2" name="グラフ 2">
              <a:extLst xmlns:a="http://schemas.openxmlformats.org/drawingml/2006/main">
                <a:ext uri="{FF2B5EF4-FFF2-40B4-BE49-F238E27FC236}">
                  <a16:creationId xmlns:a16="http://schemas.microsoft.com/office/drawing/2014/main" id="{A5877092-AD04-4934-A9BA-202380CB03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bl>
      <w:tblPr>
        <w:tblpPr w:leftFromText="142" w:rightFromText="142" w:vertAnchor="page" w:horzAnchor="margin" w:tblpXSpec="center" w:tblpY="5893"/>
        <w:tblW w:w="9606"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20" w:firstRow="1" w:lastRow="0" w:firstColumn="0" w:lastColumn="0" w:noHBand="0" w:noVBand="1"/>
      </w:tblPr>
      <w:tblGrid>
        <w:gridCol w:w="3510"/>
        <w:gridCol w:w="2977"/>
        <w:gridCol w:w="3119"/>
      </w:tblGrid>
      <w:tr w:rsidR="00973920" w:rsidRPr="0079792A" w14:paraId="4E05E25F" w14:textId="77777777" w:rsidTr="00B5320B">
        <w:trPr>
          <w:trHeight w:val="301"/>
        </w:trPr>
        <w:tc>
          <w:tcPr>
            <w:tcW w:w="3510" w:type="dxa"/>
            <w:tcBorders>
              <w:top w:val="single" w:sz="8" w:space="0" w:color="4BACC6"/>
              <w:left w:val="single" w:sz="8" w:space="0" w:color="4BACC6"/>
              <w:bottom w:val="single" w:sz="18" w:space="0" w:color="4BACC6"/>
              <w:right w:val="single" w:sz="8" w:space="0" w:color="4BACC6"/>
            </w:tcBorders>
            <w:shd w:val="clear" w:color="auto" w:fill="auto"/>
          </w:tcPr>
          <w:p w14:paraId="7FAD0BA5" w14:textId="77777777" w:rsidR="00973920" w:rsidRPr="0079792A" w:rsidRDefault="00973920" w:rsidP="00973920">
            <w:pPr>
              <w:spacing w:line="240" w:lineRule="atLeast"/>
              <w:ind w:firstLineChars="100" w:firstLine="161"/>
              <w:jc w:val="left"/>
              <w:rPr>
                <w:rFonts w:ascii="HG丸ｺﾞｼｯｸM-PRO" w:eastAsia="HG丸ｺﾞｼｯｸM-PRO" w:hAnsi="HG丸ｺﾞｼｯｸM-PRO" w:cs="Times New Roman"/>
                <w:b/>
                <w:bCs/>
                <w:sz w:val="16"/>
                <w:szCs w:val="16"/>
              </w:rPr>
            </w:pPr>
            <w:r w:rsidRPr="0079792A">
              <w:rPr>
                <w:rFonts w:ascii="HG丸ｺﾞｼｯｸM-PRO" w:eastAsia="HG丸ｺﾞｼｯｸM-PRO" w:hAnsi="HG丸ｺﾞｼｯｸM-PRO" w:cs="Times New Roman" w:hint="eastAsia"/>
                <w:b/>
                <w:bCs/>
                <w:sz w:val="16"/>
                <w:szCs w:val="16"/>
              </w:rPr>
              <w:t>要精検率とは</w:t>
            </w:r>
          </w:p>
        </w:tc>
        <w:tc>
          <w:tcPr>
            <w:tcW w:w="2977" w:type="dxa"/>
            <w:tcBorders>
              <w:top w:val="single" w:sz="8" w:space="0" w:color="4BACC6"/>
              <w:left w:val="single" w:sz="8" w:space="0" w:color="4BACC6"/>
              <w:bottom w:val="single" w:sz="18" w:space="0" w:color="4BACC6"/>
              <w:right w:val="single" w:sz="8" w:space="0" w:color="4BACC6"/>
            </w:tcBorders>
            <w:shd w:val="clear" w:color="auto" w:fill="auto"/>
          </w:tcPr>
          <w:p w14:paraId="2CA4AB22" w14:textId="77777777" w:rsidR="00973920" w:rsidRPr="0079792A" w:rsidRDefault="00973920" w:rsidP="00973920">
            <w:pPr>
              <w:spacing w:line="240" w:lineRule="atLeast"/>
              <w:ind w:firstLineChars="100" w:firstLine="161"/>
              <w:jc w:val="left"/>
              <w:rPr>
                <w:rFonts w:ascii="HG丸ｺﾞｼｯｸM-PRO" w:eastAsia="HG丸ｺﾞｼｯｸM-PRO" w:hAnsi="HG丸ｺﾞｼｯｸM-PRO" w:cs="Times New Roman"/>
                <w:b/>
                <w:bCs/>
                <w:sz w:val="16"/>
                <w:szCs w:val="16"/>
              </w:rPr>
            </w:pPr>
            <w:r w:rsidRPr="0079792A">
              <w:rPr>
                <w:rFonts w:ascii="HG丸ｺﾞｼｯｸM-PRO" w:eastAsia="HG丸ｺﾞｼｯｸM-PRO" w:hAnsi="HG丸ｺﾞｼｯｸM-PRO" w:cs="Times New Roman" w:hint="eastAsia"/>
                <w:b/>
                <w:bCs/>
                <w:sz w:val="16"/>
                <w:szCs w:val="16"/>
              </w:rPr>
              <w:t>高すぎる場合</w:t>
            </w:r>
          </w:p>
        </w:tc>
        <w:tc>
          <w:tcPr>
            <w:tcW w:w="3119" w:type="dxa"/>
            <w:tcBorders>
              <w:top w:val="single" w:sz="8" w:space="0" w:color="4BACC6"/>
              <w:left w:val="single" w:sz="8" w:space="0" w:color="4BACC6"/>
              <w:bottom w:val="single" w:sz="18" w:space="0" w:color="4BACC6"/>
              <w:right w:val="single" w:sz="8" w:space="0" w:color="4BACC6"/>
            </w:tcBorders>
            <w:shd w:val="clear" w:color="auto" w:fill="auto"/>
          </w:tcPr>
          <w:p w14:paraId="44460A4C" w14:textId="77777777" w:rsidR="00973920" w:rsidRPr="0079792A" w:rsidRDefault="00973920" w:rsidP="00973920">
            <w:pPr>
              <w:spacing w:line="240" w:lineRule="atLeast"/>
              <w:ind w:firstLineChars="100" w:firstLine="161"/>
              <w:jc w:val="left"/>
              <w:rPr>
                <w:rFonts w:ascii="HG丸ｺﾞｼｯｸM-PRO" w:eastAsia="HG丸ｺﾞｼｯｸM-PRO" w:hAnsi="HG丸ｺﾞｼｯｸM-PRO" w:cs="Times New Roman"/>
                <w:b/>
                <w:bCs/>
                <w:sz w:val="16"/>
                <w:szCs w:val="16"/>
              </w:rPr>
            </w:pPr>
            <w:r w:rsidRPr="0079792A">
              <w:rPr>
                <w:rFonts w:ascii="HG丸ｺﾞｼｯｸM-PRO" w:eastAsia="HG丸ｺﾞｼｯｸM-PRO" w:hAnsi="HG丸ｺﾞｼｯｸM-PRO" w:cs="Times New Roman" w:hint="eastAsia"/>
                <w:b/>
                <w:bCs/>
                <w:sz w:val="16"/>
                <w:szCs w:val="16"/>
              </w:rPr>
              <w:t>低すぎる場合</w:t>
            </w:r>
          </w:p>
        </w:tc>
      </w:tr>
      <w:tr w:rsidR="00973920" w:rsidRPr="0079792A" w14:paraId="27B5CF24" w14:textId="77777777" w:rsidTr="00B5320B">
        <w:trPr>
          <w:trHeight w:val="1431"/>
        </w:trPr>
        <w:tc>
          <w:tcPr>
            <w:tcW w:w="3510" w:type="dxa"/>
            <w:tcBorders>
              <w:top w:val="single" w:sz="8" w:space="0" w:color="4BACC6"/>
              <w:left w:val="single" w:sz="8" w:space="0" w:color="4BACC6"/>
              <w:bottom w:val="single" w:sz="8" w:space="0" w:color="4BACC6"/>
              <w:right w:val="single" w:sz="8" w:space="0" w:color="4BACC6"/>
            </w:tcBorders>
            <w:shd w:val="clear" w:color="auto" w:fill="D2EAF1"/>
            <w:hideMark/>
          </w:tcPr>
          <w:p w14:paraId="52CA2B68" w14:textId="77777777" w:rsidR="00973920" w:rsidRPr="0079792A" w:rsidRDefault="00973920" w:rsidP="00973920">
            <w:pPr>
              <w:spacing w:line="240" w:lineRule="atLeast"/>
              <w:jc w:val="left"/>
              <w:rPr>
                <w:rFonts w:ascii="HG丸ｺﾞｼｯｸM-PRO" w:eastAsia="HG丸ｺﾞｼｯｸM-PRO" w:hAnsi="HG丸ｺﾞｼｯｸM-PRO" w:cs="Times New Roman"/>
                <w:sz w:val="16"/>
                <w:szCs w:val="16"/>
              </w:rPr>
            </w:pPr>
            <w:r w:rsidRPr="0079792A">
              <w:rPr>
                <w:rFonts w:ascii="HG丸ｺﾞｼｯｸM-PRO" w:eastAsia="HG丸ｺﾞｼｯｸM-PRO" w:hAnsi="HG丸ｺﾞｼｯｸM-PRO" w:cs="Times New Roman" w:hint="eastAsia"/>
                <w:sz w:val="16"/>
                <w:szCs w:val="16"/>
              </w:rPr>
              <w:t>がん検診を受診した人のうち、精密検査が必要とされた人の割合。</w:t>
            </w:r>
          </w:p>
          <w:p w14:paraId="30F006E7" w14:textId="77777777" w:rsidR="00973920" w:rsidRPr="0079792A" w:rsidRDefault="00973920" w:rsidP="00973920">
            <w:pPr>
              <w:spacing w:line="240" w:lineRule="atLeast"/>
              <w:jc w:val="left"/>
              <w:rPr>
                <w:rFonts w:ascii="HG丸ｺﾞｼｯｸM-PRO" w:eastAsia="HG丸ｺﾞｼｯｸM-PRO" w:hAnsi="HG丸ｺﾞｼｯｸM-PRO" w:cs="Times New Roman"/>
                <w:sz w:val="16"/>
                <w:szCs w:val="16"/>
              </w:rPr>
            </w:pPr>
            <w:r w:rsidRPr="0079792A">
              <w:rPr>
                <w:rFonts w:ascii="HG丸ｺﾞｼｯｸM-PRO" w:eastAsia="HG丸ｺﾞｼｯｸM-PRO" w:hAnsi="HG丸ｺﾞｼｯｸM-PRO" w:cs="Times New Roman" w:hint="eastAsia"/>
                <w:sz w:val="16"/>
                <w:szCs w:val="16"/>
              </w:rPr>
              <w:t>がん検診受診者の中から、精密検査が必要な人を適切に絞り込めたかどうかを表す指標。高すぎても低すぎても望ましくない。</w:t>
            </w:r>
          </w:p>
        </w:tc>
        <w:tc>
          <w:tcPr>
            <w:tcW w:w="2977" w:type="dxa"/>
            <w:tcBorders>
              <w:top w:val="single" w:sz="8" w:space="0" w:color="4BACC6"/>
              <w:left w:val="single" w:sz="8" w:space="0" w:color="4BACC6"/>
              <w:bottom w:val="single" w:sz="8" w:space="0" w:color="4BACC6"/>
              <w:right w:val="single" w:sz="8" w:space="0" w:color="4BACC6"/>
            </w:tcBorders>
            <w:shd w:val="clear" w:color="auto" w:fill="D2EAF1"/>
            <w:hideMark/>
          </w:tcPr>
          <w:p w14:paraId="0345A8C2" w14:textId="77777777" w:rsidR="00973920" w:rsidRPr="0079792A" w:rsidRDefault="00973920" w:rsidP="00973920">
            <w:pPr>
              <w:spacing w:line="240" w:lineRule="atLeast"/>
              <w:jc w:val="left"/>
              <w:rPr>
                <w:rFonts w:ascii="HG丸ｺﾞｼｯｸM-PRO" w:eastAsia="HG丸ｺﾞｼｯｸM-PRO" w:hAnsi="HG丸ｺﾞｼｯｸM-PRO" w:cs="Times New Roman"/>
                <w:sz w:val="16"/>
                <w:szCs w:val="16"/>
              </w:rPr>
            </w:pPr>
            <w:r w:rsidRPr="0079792A">
              <w:rPr>
                <w:rFonts w:ascii="HG丸ｺﾞｼｯｸM-PRO" w:eastAsia="HG丸ｺﾞｼｯｸM-PRO" w:hAnsi="HG丸ｺﾞｼｯｸM-PRO" w:cs="Times New Roman" w:hint="eastAsia"/>
                <w:sz w:val="16"/>
                <w:szCs w:val="16"/>
              </w:rPr>
              <w:t>○受診者のうち、何か症状があったにも関わらず受診した人（注）や高齢者の割合が高かった可能性がある。　　　　　　　　　　　　　　　　　　　　○がんでないのに、がんかもしれないと判定される人が多い可能性がある。</w:t>
            </w:r>
          </w:p>
        </w:tc>
        <w:tc>
          <w:tcPr>
            <w:tcW w:w="3119" w:type="dxa"/>
            <w:tcBorders>
              <w:top w:val="single" w:sz="8" w:space="0" w:color="4BACC6"/>
              <w:left w:val="single" w:sz="8" w:space="0" w:color="4BACC6"/>
              <w:bottom w:val="single" w:sz="8" w:space="0" w:color="4BACC6"/>
              <w:right w:val="single" w:sz="8" w:space="0" w:color="4BACC6"/>
            </w:tcBorders>
            <w:shd w:val="clear" w:color="auto" w:fill="D2EAF1"/>
            <w:hideMark/>
          </w:tcPr>
          <w:p w14:paraId="2267CFFA" w14:textId="77777777" w:rsidR="00973920" w:rsidRPr="0079792A" w:rsidRDefault="00973920" w:rsidP="00973920">
            <w:pPr>
              <w:spacing w:line="240" w:lineRule="atLeast"/>
              <w:jc w:val="left"/>
              <w:rPr>
                <w:rFonts w:ascii="HG丸ｺﾞｼｯｸM-PRO" w:eastAsia="HG丸ｺﾞｼｯｸM-PRO" w:hAnsi="HG丸ｺﾞｼｯｸM-PRO" w:cs="Times New Roman"/>
                <w:sz w:val="16"/>
                <w:szCs w:val="16"/>
              </w:rPr>
            </w:pPr>
            <w:r w:rsidRPr="0079792A">
              <w:rPr>
                <w:rFonts w:ascii="HG丸ｺﾞｼｯｸM-PRO" w:eastAsia="HG丸ｺﾞｼｯｸM-PRO" w:hAnsi="HG丸ｺﾞｼｯｸM-PRO" w:cs="Times New Roman" w:hint="eastAsia"/>
                <w:sz w:val="16"/>
                <w:szCs w:val="16"/>
              </w:rPr>
              <w:t>○受診者のうち、高齢者などがんにかかりやすい性・年齢の割合が低かった可能性がある。</w:t>
            </w:r>
          </w:p>
          <w:p w14:paraId="03A277D4" w14:textId="77777777" w:rsidR="00973920" w:rsidRPr="0079792A" w:rsidRDefault="00973920" w:rsidP="00973920">
            <w:pPr>
              <w:spacing w:line="240" w:lineRule="atLeast"/>
              <w:jc w:val="left"/>
              <w:rPr>
                <w:rFonts w:ascii="HG丸ｺﾞｼｯｸM-PRO" w:eastAsia="HG丸ｺﾞｼｯｸM-PRO" w:hAnsi="HG丸ｺﾞｼｯｸM-PRO" w:cs="Times New Roman"/>
                <w:sz w:val="16"/>
                <w:szCs w:val="16"/>
              </w:rPr>
            </w:pPr>
            <w:r w:rsidRPr="0079792A">
              <w:rPr>
                <w:rFonts w:ascii="HG丸ｺﾞｼｯｸM-PRO" w:eastAsia="HG丸ｺﾞｼｯｸM-PRO" w:hAnsi="HG丸ｺﾞｼｯｸM-PRO" w:cs="Times New Roman" w:hint="eastAsia"/>
                <w:sz w:val="16"/>
                <w:szCs w:val="16"/>
              </w:rPr>
              <w:t>○初回受診者が少ない可能性がある。</w:t>
            </w:r>
          </w:p>
          <w:p w14:paraId="0ADBA782" w14:textId="77777777" w:rsidR="00973920" w:rsidRPr="0079792A" w:rsidRDefault="00973920" w:rsidP="00973920">
            <w:pPr>
              <w:spacing w:line="240" w:lineRule="atLeast"/>
              <w:jc w:val="left"/>
              <w:rPr>
                <w:rFonts w:ascii="HG丸ｺﾞｼｯｸM-PRO" w:eastAsia="HG丸ｺﾞｼｯｸM-PRO" w:hAnsi="HG丸ｺﾞｼｯｸM-PRO" w:cs="Times New Roman"/>
                <w:sz w:val="16"/>
                <w:szCs w:val="16"/>
              </w:rPr>
            </w:pPr>
            <w:r w:rsidRPr="0079792A">
              <w:rPr>
                <w:rFonts w:ascii="HG丸ｺﾞｼｯｸM-PRO" w:eastAsia="HG丸ｺﾞｼｯｸM-PRO" w:hAnsi="HG丸ｺﾞｼｯｸM-PRO" w:cs="Times New Roman" w:hint="eastAsia"/>
                <w:sz w:val="16"/>
                <w:szCs w:val="16"/>
              </w:rPr>
              <w:t>○極端に低い場合は、検診機関ががんを適切に発見できていない可能性がある。</w:t>
            </w:r>
          </w:p>
        </w:tc>
      </w:tr>
    </w:tbl>
    <w:p w14:paraId="0AF7BB25" w14:textId="77777777" w:rsidR="00846EE7" w:rsidRDefault="00846EE7">
      <w:pPr>
        <w:rPr>
          <w:szCs w:val="21"/>
        </w:rPr>
      </w:pPr>
    </w:p>
    <w:p w14:paraId="0B06B32A" w14:textId="77777777" w:rsidR="00B36AE8" w:rsidRDefault="00B36AE8" w:rsidP="00C454A7">
      <w:pPr>
        <w:rPr>
          <w:rFonts w:ascii="Century" w:eastAsia="ＭＳ 明朝" w:hAnsi="Century" w:cs="Times New Roman"/>
          <w:sz w:val="18"/>
          <w:szCs w:val="18"/>
        </w:rPr>
      </w:pPr>
    </w:p>
    <w:p w14:paraId="39EBCCE6" w14:textId="77777777" w:rsidR="00841902" w:rsidRDefault="00841902" w:rsidP="00841902">
      <w:pPr>
        <w:spacing w:line="320" w:lineRule="exact"/>
        <w:rPr>
          <w:rFonts w:ascii="Century" w:eastAsia="ＭＳ 明朝" w:hAnsi="Century" w:cs="Times New Roman"/>
          <w:sz w:val="18"/>
          <w:szCs w:val="18"/>
        </w:rPr>
      </w:pPr>
      <w:r w:rsidRPr="0079792A">
        <w:rPr>
          <w:rFonts w:ascii="Century" w:eastAsia="ＭＳ 明朝" w:hAnsi="Century" w:cs="Times New Roman" w:hint="eastAsia"/>
          <w:sz w:val="18"/>
          <w:szCs w:val="18"/>
        </w:rPr>
        <w:t>（注）がん検診は、症状のない方のための検査です。明らかな症状のある方には、それぞれの体の状態に応じた適切な</w:t>
      </w:r>
    </w:p>
    <w:p w14:paraId="2620672D" w14:textId="77777777" w:rsidR="00841902" w:rsidRPr="0079792A" w:rsidRDefault="00841902" w:rsidP="00841902">
      <w:pPr>
        <w:spacing w:line="320" w:lineRule="exact"/>
        <w:ind w:firstLineChars="300" w:firstLine="540"/>
        <w:rPr>
          <w:rFonts w:ascii="Century" w:eastAsia="ＭＳ 明朝" w:hAnsi="Century" w:cs="Times New Roman"/>
          <w:sz w:val="18"/>
          <w:szCs w:val="18"/>
        </w:rPr>
      </w:pPr>
      <w:r w:rsidRPr="0079792A">
        <w:rPr>
          <w:rFonts w:ascii="Century" w:eastAsia="ＭＳ 明朝" w:hAnsi="Century" w:cs="Times New Roman" w:hint="eastAsia"/>
          <w:sz w:val="18"/>
          <w:szCs w:val="18"/>
        </w:rPr>
        <w:t>検査や治療が必要になります。症状のある場合は、必ず医療機関を受診してください。</w:t>
      </w:r>
    </w:p>
    <w:p w14:paraId="34B81F3A" w14:textId="77777777" w:rsidR="00C454A7" w:rsidRPr="00841902" w:rsidRDefault="00C454A7">
      <w:pPr>
        <w:rPr>
          <w:szCs w:val="21"/>
        </w:rPr>
      </w:pPr>
    </w:p>
    <w:p w14:paraId="1692C60B" w14:textId="77777777" w:rsidR="0079792A" w:rsidRDefault="0079792A">
      <w:pPr>
        <w:rPr>
          <w:szCs w:val="21"/>
        </w:rPr>
      </w:pPr>
    </w:p>
    <w:p w14:paraId="17C462E6" w14:textId="77777777" w:rsidR="0079792A" w:rsidRDefault="0079792A">
      <w:pPr>
        <w:rPr>
          <w:szCs w:val="21"/>
        </w:rPr>
      </w:pPr>
    </w:p>
    <w:p w14:paraId="6412CF4B" w14:textId="77777777" w:rsidR="0079792A" w:rsidRDefault="0079792A">
      <w:pPr>
        <w:rPr>
          <w:szCs w:val="21"/>
        </w:rPr>
      </w:pPr>
    </w:p>
    <w:p w14:paraId="40A763DC" w14:textId="77777777" w:rsidR="0079792A" w:rsidRDefault="0079792A">
      <w:pPr>
        <w:rPr>
          <w:szCs w:val="21"/>
        </w:rPr>
      </w:pPr>
    </w:p>
    <w:p w14:paraId="70AED32C" w14:textId="77777777" w:rsidR="00393C5A" w:rsidRDefault="00393C5A">
      <w:pPr>
        <w:rPr>
          <w:szCs w:val="21"/>
        </w:rPr>
      </w:pPr>
    </w:p>
    <w:p w14:paraId="7DE84088" w14:textId="77777777" w:rsidR="00B14C9E" w:rsidRDefault="00B14C9E">
      <w:pPr>
        <w:rPr>
          <w:szCs w:val="21"/>
        </w:rPr>
      </w:pPr>
    </w:p>
    <w:p w14:paraId="5200A3DB" w14:textId="77777777" w:rsidR="00B14C9E" w:rsidRDefault="00B14C9E">
      <w:pPr>
        <w:rPr>
          <w:szCs w:val="21"/>
        </w:rPr>
      </w:pPr>
    </w:p>
    <w:p w14:paraId="7D9AEB89" w14:textId="77777777" w:rsidR="0079792A" w:rsidRDefault="0079792A">
      <w:pPr>
        <w:rPr>
          <w:szCs w:val="21"/>
        </w:rPr>
      </w:pPr>
    </w:p>
    <w:p w14:paraId="3B4AE4F3" w14:textId="77777777" w:rsidR="0079792A" w:rsidRDefault="0079792A">
      <w:pPr>
        <w:rPr>
          <w:szCs w:val="21"/>
        </w:rPr>
      </w:pPr>
    </w:p>
    <w:p w14:paraId="433E139F" w14:textId="77777777" w:rsidR="00C454A7" w:rsidRDefault="00C454A7">
      <w:pPr>
        <w:rPr>
          <w:szCs w:val="21"/>
        </w:rPr>
      </w:pPr>
    </w:p>
    <w:p w14:paraId="2C125806" w14:textId="48A75D16" w:rsidR="00267285" w:rsidRDefault="00267285">
      <w:pPr>
        <w:rPr>
          <w:szCs w:val="21"/>
        </w:rPr>
      </w:pPr>
    </w:p>
    <w:p w14:paraId="57AAE65D" w14:textId="525461AA" w:rsidR="00973920" w:rsidRDefault="00973920">
      <w:pPr>
        <w:rPr>
          <w:szCs w:val="21"/>
        </w:rPr>
      </w:pPr>
    </w:p>
    <w:p w14:paraId="0A339579" w14:textId="77F9E6D8" w:rsidR="00973920" w:rsidRDefault="00973920">
      <w:pPr>
        <w:rPr>
          <w:szCs w:val="21"/>
        </w:rPr>
      </w:pPr>
    </w:p>
    <w:p w14:paraId="4919ECE5" w14:textId="02A1F3EC" w:rsidR="00973920" w:rsidRDefault="00973920">
      <w:pPr>
        <w:rPr>
          <w:szCs w:val="21"/>
        </w:rPr>
      </w:pPr>
    </w:p>
    <w:p w14:paraId="1A175956" w14:textId="0CCAFF5B" w:rsidR="00973920" w:rsidRDefault="00973920">
      <w:pPr>
        <w:rPr>
          <w:szCs w:val="21"/>
        </w:rPr>
      </w:pPr>
    </w:p>
    <w:p w14:paraId="34EE0E1E" w14:textId="77777777" w:rsidR="00973920" w:rsidRDefault="00973920">
      <w:pPr>
        <w:rPr>
          <w:szCs w:val="21"/>
        </w:rPr>
      </w:pPr>
    </w:p>
    <w:p w14:paraId="36BA8FE0" w14:textId="32DDA19D" w:rsidR="006643AA" w:rsidRDefault="0079792A">
      <w:pPr>
        <w:rPr>
          <w:b/>
          <w:sz w:val="36"/>
          <w:szCs w:val="36"/>
          <w:u w:val="single"/>
        </w:rPr>
      </w:pPr>
      <w:r w:rsidRPr="0079792A">
        <w:rPr>
          <w:rFonts w:hint="eastAsia"/>
          <w:b/>
          <w:sz w:val="36"/>
          <w:szCs w:val="36"/>
          <w:u w:val="single"/>
        </w:rPr>
        <w:lastRenderedPageBreak/>
        <w:t>精検受診率</w:t>
      </w:r>
    </w:p>
    <w:tbl>
      <w:tblPr>
        <w:tblpPr w:leftFromText="142" w:rightFromText="142" w:vertAnchor="text" w:horzAnchor="margin" w:tblpXSpec="center" w:tblpY="4453"/>
        <w:tblW w:w="9464"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20" w:firstRow="1" w:lastRow="0" w:firstColumn="0" w:lastColumn="0" w:noHBand="0" w:noVBand="1"/>
      </w:tblPr>
      <w:tblGrid>
        <w:gridCol w:w="3510"/>
        <w:gridCol w:w="2694"/>
        <w:gridCol w:w="3260"/>
      </w:tblGrid>
      <w:tr w:rsidR="00B36AE8" w:rsidRPr="0079792A" w14:paraId="2A73AEB0" w14:textId="77777777" w:rsidTr="00B5320B">
        <w:trPr>
          <w:trHeight w:val="385"/>
        </w:trPr>
        <w:tc>
          <w:tcPr>
            <w:tcW w:w="3510" w:type="dxa"/>
            <w:tcBorders>
              <w:top w:val="single" w:sz="8" w:space="0" w:color="4BACC6"/>
              <w:left w:val="single" w:sz="8" w:space="0" w:color="4BACC6"/>
              <w:bottom w:val="single" w:sz="18" w:space="0" w:color="4BACC6"/>
              <w:right w:val="single" w:sz="8" w:space="0" w:color="4BACC6"/>
            </w:tcBorders>
            <w:shd w:val="clear" w:color="auto" w:fill="auto"/>
          </w:tcPr>
          <w:p w14:paraId="3C2ED8B2" w14:textId="77777777" w:rsidR="00B36AE8" w:rsidRPr="0079792A" w:rsidRDefault="00B36AE8" w:rsidP="00B36AE8">
            <w:pPr>
              <w:spacing w:line="240" w:lineRule="atLeast"/>
              <w:ind w:firstLineChars="100" w:firstLine="161"/>
              <w:jc w:val="left"/>
              <w:rPr>
                <w:rFonts w:ascii="HG丸ｺﾞｼｯｸM-PRO" w:eastAsia="HG丸ｺﾞｼｯｸM-PRO" w:hAnsi="HG丸ｺﾞｼｯｸM-PRO" w:cs="Times New Roman"/>
                <w:b/>
                <w:bCs/>
                <w:sz w:val="16"/>
                <w:szCs w:val="16"/>
              </w:rPr>
            </w:pPr>
            <w:r w:rsidRPr="0079792A">
              <w:rPr>
                <w:rFonts w:ascii="HG丸ｺﾞｼｯｸM-PRO" w:eastAsia="HG丸ｺﾞｼｯｸM-PRO" w:hAnsi="HG丸ｺﾞｼｯｸM-PRO" w:cs="Times New Roman" w:hint="eastAsia"/>
                <w:b/>
                <w:bCs/>
                <w:sz w:val="16"/>
                <w:szCs w:val="16"/>
              </w:rPr>
              <w:t>精検受診率とは</w:t>
            </w:r>
          </w:p>
        </w:tc>
        <w:tc>
          <w:tcPr>
            <w:tcW w:w="2694" w:type="dxa"/>
            <w:tcBorders>
              <w:top w:val="single" w:sz="8" w:space="0" w:color="4BACC6"/>
              <w:left w:val="single" w:sz="8" w:space="0" w:color="4BACC6"/>
              <w:bottom w:val="single" w:sz="18" w:space="0" w:color="4BACC6"/>
              <w:right w:val="single" w:sz="8" w:space="0" w:color="4BACC6"/>
            </w:tcBorders>
            <w:shd w:val="clear" w:color="auto" w:fill="auto"/>
          </w:tcPr>
          <w:p w14:paraId="6C3BFEE0" w14:textId="77777777" w:rsidR="00B36AE8" w:rsidRPr="0079792A" w:rsidRDefault="00B36AE8" w:rsidP="00B36AE8">
            <w:pPr>
              <w:spacing w:line="240" w:lineRule="atLeast"/>
              <w:ind w:firstLineChars="100" w:firstLine="161"/>
              <w:jc w:val="left"/>
              <w:rPr>
                <w:rFonts w:ascii="HG丸ｺﾞｼｯｸM-PRO" w:eastAsia="HG丸ｺﾞｼｯｸM-PRO" w:hAnsi="HG丸ｺﾞｼｯｸM-PRO" w:cs="Times New Roman"/>
                <w:b/>
                <w:bCs/>
                <w:sz w:val="16"/>
                <w:szCs w:val="16"/>
              </w:rPr>
            </w:pPr>
            <w:r w:rsidRPr="0079792A">
              <w:rPr>
                <w:rFonts w:ascii="HG丸ｺﾞｼｯｸM-PRO" w:eastAsia="HG丸ｺﾞｼｯｸM-PRO" w:hAnsi="HG丸ｺﾞｼｯｸM-PRO" w:cs="Times New Roman" w:hint="eastAsia"/>
                <w:b/>
                <w:bCs/>
                <w:sz w:val="16"/>
                <w:szCs w:val="16"/>
              </w:rPr>
              <w:t>高い場合</w:t>
            </w:r>
          </w:p>
        </w:tc>
        <w:tc>
          <w:tcPr>
            <w:tcW w:w="3260" w:type="dxa"/>
            <w:tcBorders>
              <w:top w:val="single" w:sz="8" w:space="0" w:color="4BACC6"/>
              <w:left w:val="single" w:sz="8" w:space="0" w:color="4BACC6"/>
              <w:bottom w:val="single" w:sz="18" w:space="0" w:color="4BACC6"/>
              <w:right w:val="single" w:sz="8" w:space="0" w:color="4BACC6"/>
            </w:tcBorders>
            <w:shd w:val="clear" w:color="auto" w:fill="auto"/>
          </w:tcPr>
          <w:p w14:paraId="54ADCBE3" w14:textId="77777777" w:rsidR="00B36AE8" w:rsidRPr="0079792A" w:rsidRDefault="00B36AE8" w:rsidP="00B36AE8">
            <w:pPr>
              <w:spacing w:line="240" w:lineRule="atLeast"/>
              <w:ind w:firstLineChars="100" w:firstLine="161"/>
              <w:jc w:val="left"/>
              <w:rPr>
                <w:rFonts w:ascii="HG丸ｺﾞｼｯｸM-PRO" w:eastAsia="HG丸ｺﾞｼｯｸM-PRO" w:hAnsi="HG丸ｺﾞｼｯｸM-PRO" w:cs="Times New Roman"/>
                <w:b/>
                <w:bCs/>
                <w:sz w:val="16"/>
                <w:szCs w:val="16"/>
              </w:rPr>
            </w:pPr>
            <w:r w:rsidRPr="0079792A">
              <w:rPr>
                <w:rFonts w:ascii="HG丸ｺﾞｼｯｸM-PRO" w:eastAsia="HG丸ｺﾞｼｯｸM-PRO" w:hAnsi="HG丸ｺﾞｼｯｸM-PRO" w:cs="Times New Roman" w:hint="eastAsia"/>
                <w:b/>
                <w:bCs/>
                <w:sz w:val="16"/>
                <w:szCs w:val="16"/>
              </w:rPr>
              <w:t>低い場合</w:t>
            </w:r>
          </w:p>
        </w:tc>
      </w:tr>
      <w:tr w:rsidR="00B36AE8" w:rsidRPr="0079792A" w14:paraId="679A8082" w14:textId="77777777" w:rsidTr="00B5320B">
        <w:trPr>
          <w:trHeight w:val="1541"/>
        </w:trPr>
        <w:tc>
          <w:tcPr>
            <w:tcW w:w="3510" w:type="dxa"/>
            <w:tcBorders>
              <w:top w:val="single" w:sz="8" w:space="0" w:color="4BACC6"/>
              <w:left w:val="single" w:sz="8" w:space="0" w:color="4BACC6"/>
              <w:bottom w:val="single" w:sz="8" w:space="0" w:color="4BACC6"/>
              <w:right w:val="single" w:sz="8" w:space="0" w:color="4BACC6"/>
            </w:tcBorders>
            <w:shd w:val="clear" w:color="auto" w:fill="D2EAF1"/>
            <w:hideMark/>
          </w:tcPr>
          <w:p w14:paraId="33016D01" w14:textId="77777777" w:rsidR="00B36AE8" w:rsidRPr="0079792A" w:rsidRDefault="00B36AE8" w:rsidP="00B36AE8">
            <w:pPr>
              <w:spacing w:line="240" w:lineRule="atLeast"/>
              <w:jc w:val="left"/>
              <w:rPr>
                <w:rFonts w:ascii="HG丸ｺﾞｼｯｸM-PRO" w:eastAsia="HG丸ｺﾞｼｯｸM-PRO" w:hAnsi="HG丸ｺﾞｼｯｸM-PRO" w:cs="Times New Roman"/>
                <w:sz w:val="16"/>
                <w:szCs w:val="16"/>
              </w:rPr>
            </w:pPr>
            <w:r w:rsidRPr="0079792A">
              <w:rPr>
                <w:rFonts w:ascii="HG丸ｺﾞｼｯｸM-PRO" w:eastAsia="HG丸ｺﾞｼｯｸM-PRO" w:hAnsi="HG丸ｺﾞｼｯｸM-PRO" w:cs="Times New Roman" w:hint="eastAsia"/>
                <w:sz w:val="16"/>
                <w:szCs w:val="16"/>
              </w:rPr>
              <w:t>要精検者（精密検査が必要だと判定された人）のうち、実際に精密検査を受けた人の割合。</w:t>
            </w:r>
          </w:p>
          <w:p w14:paraId="58BF9BC0" w14:textId="77777777" w:rsidR="00B36AE8" w:rsidRPr="0079792A" w:rsidRDefault="00B36AE8" w:rsidP="00B36AE8">
            <w:pPr>
              <w:spacing w:line="240" w:lineRule="atLeast"/>
              <w:jc w:val="left"/>
              <w:rPr>
                <w:rFonts w:ascii="HG丸ｺﾞｼｯｸM-PRO" w:eastAsia="HG丸ｺﾞｼｯｸM-PRO" w:hAnsi="HG丸ｺﾞｼｯｸM-PRO" w:cs="Times New Roman"/>
                <w:sz w:val="16"/>
                <w:szCs w:val="16"/>
              </w:rPr>
            </w:pPr>
            <w:r w:rsidRPr="0079792A">
              <w:rPr>
                <w:rFonts w:ascii="HG丸ｺﾞｼｯｸM-PRO" w:eastAsia="HG丸ｺﾞｼｯｸM-PRO" w:hAnsi="HG丸ｺﾞｼｯｸM-PRO" w:cs="Times New Roman" w:hint="eastAsia"/>
                <w:sz w:val="16"/>
                <w:szCs w:val="16"/>
              </w:rPr>
              <w:t>検診の結果通知や精密検査の受診勧奨など、検診での検査以外の部分の精度を示す指標。</w:t>
            </w:r>
          </w:p>
        </w:tc>
        <w:tc>
          <w:tcPr>
            <w:tcW w:w="2694" w:type="dxa"/>
            <w:tcBorders>
              <w:top w:val="single" w:sz="8" w:space="0" w:color="4BACC6"/>
              <w:left w:val="single" w:sz="8" w:space="0" w:color="4BACC6"/>
              <w:bottom w:val="single" w:sz="8" w:space="0" w:color="4BACC6"/>
              <w:right w:val="single" w:sz="8" w:space="0" w:color="4BACC6"/>
            </w:tcBorders>
            <w:shd w:val="clear" w:color="auto" w:fill="D2EAF1"/>
            <w:hideMark/>
          </w:tcPr>
          <w:p w14:paraId="49C6ED2A" w14:textId="77777777" w:rsidR="00B36AE8" w:rsidRPr="0079792A" w:rsidRDefault="00B36AE8" w:rsidP="00B36AE8">
            <w:pPr>
              <w:spacing w:line="240" w:lineRule="atLeast"/>
              <w:jc w:val="left"/>
              <w:rPr>
                <w:rFonts w:ascii="HG丸ｺﾞｼｯｸM-PRO" w:eastAsia="HG丸ｺﾞｼｯｸM-PRO" w:hAnsi="HG丸ｺﾞｼｯｸM-PRO" w:cs="Times New Roman"/>
                <w:sz w:val="16"/>
                <w:szCs w:val="16"/>
              </w:rPr>
            </w:pPr>
            <w:r w:rsidRPr="0079792A">
              <w:rPr>
                <w:rFonts w:ascii="HG丸ｺﾞｼｯｸM-PRO" w:eastAsia="HG丸ｺﾞｼｯｸM-PRO" w:hAnsi="HG丸ｺﾞｼｯｸM-PRO" w:cs="Times New Roman" w:hint="eastAsia"/>
                <w:sz w:val="16"/>
                <w:szCs w:val="16"/>
              </w:rPr>
              <w:t>○高いことが望ましい。</w:t>
            </w:r>
          </w:p>
        </w:tc>
        <w:tc>
          <w:tcPr>
            <w:tcW w:w="3260" w:type="dxa"/>
            <w:tcBorders>
              <w:top w:val="single" w:sz="8" w:space="0" w:color="4BACC6"/>
              <w:left w:val="single" w:sz="8" w:space="0" w:color="4BACC6"/>
              <w:bottom w:val="single" w:sz="8" w:space="0" w:color="4BACC6"/>
              <w:right w:val="single" w:sz="8" w:space="0" w:color="4BACC6"/>
            </w:tcBorders>
            <w:shd w:val="clear" w:color="auto" w:fill="D2EAF1"/>
            <w:hideMark/>
          </w:tcPr>
          <w:p w14:paraId="6F854AFB" w14:textId="77777777" w:rsidR="00B36AE8" w:rsidRPr="0079792A" w:rsidRDefault="00B36AE8" w:rsidP="00B36AE8">
            <w:pPr>
              <w:spacing w:line="240" w:lineRule="atLeast"/>
              <w:jc w:val="left"/>
              <w:rPr>
                <w:rFonts w:ascii="HG丸ｺﾞｼｯｸM-PRO" w:eastAsia="HG丸ｺﾞｼｯｸM-PRO" w:hAnsi="HG丸ｺﾞｼｯｸM-PRO" w:cs="Times New Roman"/>
                <w:sz w:val="16"/>
                <w:szCs w:val="16"/>
              </w:rPr>
            </w:pPr>
            <w:r w:rsidRPr="0079792A">
              <w:rPr>
                <w:rFonts w:ascii="HG丸ｺﾞｼｯｸM-PRO" w:eastAsia="HG丸ｺﾞｼｯｸM-PRO" w:hAnsi="HG丸ｺﾞｼｯｸM-PRO" w:cs="Times New Roman" w:hint="eastAsia"/>
                <w:sz w:val="16"/>
                <w:szCs w:val="16"/>
              </w:rPr>
              <w:t>○市町村における精密検査結果の把握方法について検討する必要がある。　　　　　　　　　　　　　　　　　　　　　　　　　　○たとえ検診で異常が指摘されていたとしても精密検査を受けて診断されなければ、診断し治療できるはずのがんを見過ごす可能性もある。</w:t>
            </w:r>
          </w:p>
        </w:tc>
      </w:tr>
    </w:tbl>
    <w:p w14:paraId="4734B9E8" w14:textId="7B8DDD45" w:rsidR="00CE0EBF" w:rsidRPr="006643AA" w:rsidRDefault="00A668BC" w:rsidP="00B5320B">
      <w:pPr>
        <w:jc w:val="center"/>
        <w:rPr>
          <w:b/>
          <w:sz w:val="36"/>
          <w:szCs w:val="36"/>
          <w:u w:val="single"/>
        </w:rPr>
      </w:pPr>
      <w:r>
        <w:rPr>
          <w:noProof/>
        </w:rPr>
        <mc:AlternateContent>
          <mc:Choice Requires="wps">
            <w:drawing>
              <wp:anchor distT="0" distB="0" distL="114300" distR="114300" simplePos="0" relativeHeight="251659776" behindDoc="0" locked="0" layoutInCell="1" allowOverlap="1" wp14:anchorId="0E376BED" wp14:editId="12D0D1AD">
                <wp:simplePos x="0" y="0"/>
                <wp:positionH relativeFrom="column">
                  <wp:posOffset>4190365</wp:posOffset>
                </wp:positionH>
                <wp:positionV relativeFrom="paragraph">
                  <wp:posOffset>160866</wp:posOffset>
                </wp:positionV>
                <wp:extent cx="2175933" cy="330200"/>
                <wp:effectExtent l="0" t="0" r="0" b="0"/>
                <wp:wrapNone/>
                <wp:docPr id="5" name="テキスト ボックス 4">
                  <a:extLst xmlns:a="http://schemas.openxmlformats.org/drawingml/2006/main">
                    <a:ext uri="{FF2B5EF4-FFF2-40B4-BE49-F238E27FC236}">
                      <a16:creationId xmlns:a16="http://schemas.microsoft.com/office/drawing/2014/main" id="{7A9F38BC-ABD8-424A-A033-49AD1F144430}"/>
                    </a:ext>
                  </a:extLst>
                </wp:docPr>
                <wp:cNvGraphicFramePr/>
                <a:graphic xmlns:a="http://schemas.openxmlformats.org/drawingml/2006/main">
                  <a:graphicData uri="http://schemas.microsoft.com/office/word/2010/wordprocessingShape">
                    <wps:wsp>
                      <wps:cNvSpPr txBox="1"/>
                      <wps:spPr>
                        <a:xfrm>
                          <a:off x="0" y="0"/>
                          <a:ext cx="2175933" cy="3302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FD250E9" w14:textId="77777777" w:rsidR="00A668BC" w:rsidRPr="00A668BC" w:rsidRDefault="00A668BC" w:rsidP="00A668BC">
                            <w:pPr>
                              <w:rPr>
                                <w:rFonts w:ascii="ＭＳ Ｐゴシック" w:eastAsia="ＭＳ Ｐゴシック" w:hAnsi="ＭＳ Ｐゴシック"/>
                                <w:color w:val="000000"/>
                                <w:kern w:val="0"/>
                                <w:sz w:val="18"/>
                                <w:szCs w:val="18"/>
                              </w:rPr>
                            </w:pPr>
                            <w:r w:rsidRPr="00A668BC">
                              <w:rPr>
                                <w:rFonts w:ascii="ＭＳ Ｐゴシック" w:eastAsia="ＭＳ Ｐゴシック" w:hAnsi="ＭＳ Ｐゴシック" w:hint="eastAsia"/>
                                <w:color w:val="000000"/>
                                <w:sz w:val="18"/>
                                <w:szCs w:val="18"/>
                              </w:rPr>
                              <w:t>大阪府平均　76.8　基準値　90.0以上</w:t>
                            </w:r>
                          </w:p>
                        </w:txbxContent>
                      </wps:txbx>
                      <wps:bodyPr vertOverflow="clip" wrap="square" lIns="36000" tIns="36000" rIns="36000" bIns="36000" rtlCol="0" anchor="ctr" anchorCtr="1">
                        <a:noAutofit/>
                      </wps:bodyPr>
                    </wps:wsp>
                  </a:graphicData>
                </a:graphic>
                <wp14:sizeRelH relativeFrom="margin">
                  <wp14:pctWidth>0</wp14:pctWidth>
                </wp14:sizeRelH>
                <wp14:sizeRelV relativeFrom="margin">
                  <wp14:pctHeight>0</wp14:pctHeight>
                </wp14:sizeRelV>
              </wp:anchor>
            </w:drawing>
          </mc:Choice>
          <mc:Fallback>
            <w:pict>
              <v:shape w14:anchorId="0E376BED" id="テキスト ボックス 4" o:spid="_x0000_s1028" type="#_x0000_t202" style="position:absolute;left:0;text-align:left;margin-left:329.95pt;margin-top:12.65pt;width:171.35pt;height:2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" filled="f" stroked="f">
                <v:textbox inset="1mm,1mm,1mm,1mm">
                  <w:txbxContent>
                    <w:p w14:paraId="3FD250E9" w14:textId="77777777" w:rsidR="00A668BC" w:rsidRPr="00A668BC" w:rsidRDefault="00A668BC" w:rsidP="00A668BC">
                      <w:pPr>
                        <w:rPr>
                          <w:rFonts w:ascii="ＭＳ Ｐゴシック" w:eastAsia="ＭＳ Ｐゴシック" w:hAnsi="ＭＳ Ｐゴシック"/>
                          <w:color w:val="000000"/>
                          <w:kern w:val="0"/>
                          <w:sz w:val="18"/>
                          <w:szCs w:val="18"/>
                        </w:rPr>
                      </w:pPr>
                      <w:r w:rsidRPr="00A668BC">
                        <w:rPr>
                          <w:rFonts w:ascii="ＭＳ Ｐゴシック" w:eastAsia="ＭＳ Ｐゴシック" w:hAnsi="ＭＳ Ｐゴシック" w:hint="eastAsia"/>
                          <w:color w:val="000000"/>
                          <w:sz w:val="18"/>
                          <w:szCs w:val="18"/>
                        </w:rPr>
                        <w:t>大阪府平均　76.8　基準値　90.0以上</w:t>
                      </w:r>
                    </w:p>
                  </w:txbxContent>
                </v:textbox>
              </v:shape>
            </w:pict>
          </mc:Fallback>
        </mc:AlternateContent>
      </w:r>
      <w:r>
        <w:rPr>
          <w:noProof/>
        </w:rPr>
        <w:drawing>
          <wp:inline distT="0" distB="0" distL="0" distR="0" wp14:anchorId="634D375F" wp14:editId="24522309">
            <wp:extent cx="6444000" cy="2555460"/>
            <wp:effectExtent l="0" t="0" r="13970" b="16510"/>
            <wp:docPr id="4" name="グラフ 4">
              <a:extLst xmlns:a="http://schemas.openxmlformats.org/drawingml/2006/main">
                <a:ext uri="{FF2B5EF4-FFF2-40B4-BE49-F238E27FC236}">
                  <a16:creationId xmlns:a16="http://schemas.microsoft.com/office/drawing/2014/main" id="{DD87C20C-B162-4697-9411-C9DF6C847E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67EBF51" w14:textId="77777777" w:rsidR="00CE0EBF" w:rsidRDefault="00CE0EBF">
      <w:pPr>
        <w:rPr>
          <w:szCs w:val="21"/>
        </w:rPr>
      </w:pPr>
    </w:p>
    <w:p w14:paraId="577E7578" w14:textId="77777777" w:rsidR="00CE0EBF" w:rsidRDefault="00CE0EBF">
      <w:pPr>
        <w:rPr>
          <w:szCs w:val="21"/>
        </w:rPr>
      </w:pPr>
    </w:p>
    <w:p w14:paraId="296D5DC7" w14:textId="77777777" w:rsidR="00CE0EBF" w:rsidRDefault="00CE0EBF">
      <w:pPr>
        <w:rPr>
          <w:szCs w:val="21"/>
        </w:rPr>
      </w:pPr>
    </w:p>
    <w:p w14:paraId="63B36552" w14:textId="77777777" w:rsidR="0079792A" w:rsidRDefault="0079792A">
      <w:pPr>
        <w:rPr>
          <w:szCs w:val="21"/>
        </w:rPr>
      </w:pPr>
    </w:p>
    <w:p w14:paraId="7442E64F" w14:textId="77777777" w:rsidR="0079792A" w:rsidRDefault="0079792A">
      <w:pPr>
        <w:rPr>
          <w:szCs w:val="21"/>
        </w:rPr>
      </w:pPr>
    </w:p>
    <w:p w14:paraId="458A57A4" w14:textId="77777777" w:rsidR="0079792A" w:rsidRDefault="0079792A">
      <w:pPr>
        <w:rPr>
          <w:szCs w:val="21"/>
        </w:rPr>
      </w:pPr>
    </w:p>
    <w:p w14:paraId="6750FAA1" w14:textId="77777777" w:rsidR="00C454A7" w:rsidRDefault="00C454A7">
      <w:pPr>
        <w:rPr>
          <w:szCs w:val="21"/>
        </w:rPr>
      </w:pPr>
    </w:p>
    <w:p w14:paraId="28ABDA57" w14:textId="77777777" w:rsidR="00CE0EBF" w:rsidRDefault="00CE0EBF">
      <w:pPr>
        <w:rPr>
          <w:szCs w:val="21"/>
        </w:rPr>
      </w:pPr>
    </w:p>
    <w:p w14:paraId="63E40C00" w14:textId="77777777" w:rsidR="00267285" w:rsidRDefault="00267285">
      <w:pPr>
        <w:rPr>
          <w:szCs w:val="21"/>
        </w:rPr>
      </w:pPr>
    </w:p>
    <w:p w14:paraId="3EAD5862" w14:textId="77777777" w:rsidR="00267285" w:rsidRDefault="00267285">
      <w:pPr>
        <w:rPr>
          <w:szCs w:val="21"/>
        </w:rPr>
      </w:pPr>
    </w:p>
    <w:p w14:paraId="1B246F29" w14:textId="77777777" w:rsidR="00267285" w:rsidRDefault="00267285">
      <w:pPr>
        <w:rPr>
          <w:szCs w:val="21"/>
        </w:rPr>
      </w:pPr>
    </w:p>
    <w:p w14:paraId="5FC93D47" w14:textId="77777777" w:rsidR="00267285" w:rsidRDefault="00267285">
      <w:pPr>
        <w:rPr>
          <w:szCs w:val="21"/>
        </w:rPr>
      </w:pPr>
    </w:p>
    <w:p w14:paraId="4640AE46" w14:textId="77777777" w:rsidR="00267285" w:rsidRDefault="00267285">
      <w:pPr>
        <w:rPr>
          <w:szCs w:val="21"/>
        </w:rPr>
      </w:pPr>
    </w:p>
    <w:p w14:paraId="3A6A9955" w14:textId="77777777" w:rsidR="00267285" w:rsidRDefault="00267285">
      <w:pPr>
        <w:rPr>
          <w:szCs w:val="21"/>
        </w:rPr>
      </w:pPr>
    </w:p>
    <w:p w14:paraId="26892CEB" w14:textId="77777777" w:rsidR="00267285" w:rsidRDefault="00267285">
      <w:pPr>
        <w:rPr>
          <w:szCs w:val="21"/>
        </w:rPr>
      </w:pPr>
    </w:p>
    <w:p w14:paraId="778D0171" w14:textId="77777777" w:rsidR="00267285" w:rsidRDefault="00267285">
      <w:pPr>
        <w:rPr>
          <w:szCs w:val="21"/>
        </w:rPr>
      </w:pPr>
    </w:p>
    <w:p w14:paraId="777D5697" w14:textId="77777777" w:rsidR="00267285" w:rsidRDefault="00267285">
      <w:pPr>
        <w:rPr>
          <w:szCs w:val="21"/>
        </w:rPr>
      </w:pPr>
    </w:p>
    <w:p w14:paraId="1E6FD984" w14:textId="77777777" w:rsidR="00CE0EBF" w:rsidRDefault="00CE0EBF">
      <w:pPr>
        <w:rPr>
          <w:szCs w:val="21"/>
        </w:rPr>
      </w:pPr>
    </w:p>
    <w:p w14:paraId="43F85DC4" w14:textId="75CA7973" w:rsidR="00267285" w:rsidRDefault="00267285">
      <w:pPr>
        <w:rPr>
          <w:szCs w:val="21"/>
        </w:rPr>
      </w:pPr>
    </w:p>
    <w:p w14:paraId="73A22CC8" w14:textId="2F9CFD1A" w:rsidR="00B36AE8" w:rsidRDefault="00B36AE8">
      <w:pPr>
        <w:rPr>
          <w:szCs w:val="21"/>
        </w:rPr>
      </w:pPr>
    </w:p>
    <w:p w14:paraId="025119EF" w14:textId="33577ED7" w:rsidR="00B36AE8" w:rsidRDefault="00B36AE8">
      <w:pPr>
        <w:rPr>
          <w:szCs w:val="21"/>
        </w:rPr>
      </w:pPr>
    </w:p>
    <w:p w14:paraId="40A3D6AF" w14:textId="1AE978AF" w:rsidR="0079792A" w:rsidRDefault="0079792A">
      <w:pPr>
        <w:rPr>
          <w:b/>
          <w:sz w:val="36"/>
          <w:szCs w:val="36"/>
          <w:u w:val="single"/>
        </w:rPr>
      </w:pPr>
      <w:r w:rsidRPr="0079792A">
        <w:rPr>
          <w:rFonts w:hint="eastAsia"/>
          <w:b/>
          <w:sz w:val="36"/>
          <w:szCs w:val="36"/>
          <w:u w:val="single"/>
        </w:rPr>
        <w:lastRenderedPageBreak/>
        <w:t>がん発見率</w:t>
      </w:r>
    </w:p>
    <w:p w14:paraId="1194BA76" w14:textId="3EA9D71F" w:rsidR="00B36AE8" w:rsidRDefault="00A668BC" w:rsidP="00B5320B">
      <w:pPr>
        <w:jc w:val="center"/>
        <w:rPr>
          <w:b/>
          <w:sz w:val="36"/>
          <w:szCs w:val="36"/>
          <w:u w:val="single"/>
        </w:rPr>
      </w:pPr>
      <w:r>
        <w:rPr>
          <w:noProof/>
        </w:rPr>
        <mc:AlternateContent>
          <mc:Choice Requires="wps">
            <w:drawing>
              <wp:anchor distT="0" distB="0" distL="114300" distR="114300" simplePos="0" relativeHeight="251663872" behindDoc="0" locked="0" layoutInCell="1" allowOverlap="1" wp14:anchorId="70268847" wp14:editId="3CE6A5E8">
                <wp:simplePos x="0" y="0"/>
                <wp:positionH relativeFrom="column">
                  <wp:posOffset>4038177</wp:posOffset>
                </wp:positionH>
                <wp:positionV relativeFrom="paragraph">
                  <wp:posOffset>160443</wp:posOffset>
                </wp:positionV>
                <wp:extent cx="1964267" cy="313267"/>
                <wp:effectExtent l="0" t="0" r="0" b="0"/>
                <wp:wrapNone/>
                <wp:docPr id="7" name="テキスト ボックス 6">
                  <a:extLst xmlns:a="http://schemas.openxmlformats.org/drawingml/2006/main">
                    <a:ext uri="{FF2B5EF4-FFF2-40B4-BE49-F238E27FC236}">
                      <a16:creationId xmlns:a16="http://schemas.microsoft.com/office/drawing/2014/main" id="{AA7DF756-1B22-4E05-BBB4-70E9878EB73E}"/>
                    </a:ext>
                  </a:extLst>
                </wp:docPr>
                <wp:cNvGraphicFramePr/>
                <a:graphic xmlns:a="http://schemas.openxmlformats.org/drawingml/2006/main">
                  <a:graphicData uri="http://schemas.microsoft.com/office/word/2010/wordprocessingShape">
                    <wps:wsp>
                      <wps:cNvSpPr txBox="1"/>
                      <wps:spPr>
                        <a:xfrm>
                          <a:off x="0" y="0"/>
                          <a:ext cx="1964267" cy="313267"/>
                        </a:xfrm>
                        <a:prstGeom prst="rect">
                          <a:avLst/>
                        </a:prstGeom>
                        <a:noFill/>
                        <a:ln w="9525" cmpd="sng">
                          <a:noFill/>
                        </a:ln>
                        <a:effectLst/>
                      </wps:spPr>
                      <wps:txbx>
                        <w:txbxContent>
                          <w:p w14:paraId="2B859F56" w14:textId="77777777" w:rsidR="00A668BC" w:rsidRPr="00A668BC" w:rsidRDefault="00A668BC" w:rsidP="00A668BC">
                            <w:pPr>
                              <w:rPr>
                                <w:rFonts w:ascii="ＭＳ Ｐゴシック" w:eastAsia="ＭＳ Ｐゴシック" w:hAnsi="ＭＳ Ｐゴシック" w:cs="+mn-cs"/>
                                <w:color w:val="000000"/>
                                <w:kern w:val="0"/>
                                <w:sz w:val="18"/>
                                <w:szCs w:val="18"/>
                              </w:rPr>
                            </w:pPr>
                            <w:r w:rsidRPr="00A668BC">
                              <w:rPr>
                                <w:rFonts w:ascii="ＭＳ Ｐゴシック" w:eastAsia="ＭＳ Ｐゴシック" w:hAnsi="ＭＳ Ｐゴシック" w:cs="+mn-cs" w:hint="eastAsia"/>
                                <w:color w:val="000000"/>
                                <w:sz w:val="18"/>
                                <w:szCs w:val="18"/>
                              </w:rPr>
                              <w:t>大阪府平均　0.29　基準値　0.21以上</w:t>
                            </w:r>
                          </w:p>
                        </w:txbxContent>
                      </wps:txbx>
                      <wps:bodyPr vertOverflow="clip" wrap="square" lIns="36000" tIns="36000" rIns="36000" bIns="36000" rtlCol="0" anchor="ctr" anchorCtr="1">
                        <a:noAutofit/>
                      </wps:bodyPr>
                    </wps:wsp>
                  </a:graphicData>
                </a:graphic>
                <wp14:sizeRelH relativeFrom="margin">
                  <wp14:pctWidth>0</wp14:pctWidth>
                </wp14:sizeRelH>
                <wp14:sizeRelV relativeFrom="margin">
                  <wp14:pctHeight>0</wp14:pctHeight>
                </wp14:sizeRelV>
              </wp:anchor>
            </w:drawing>
          </mc:Choice>
          <mc:Fallback>
            <w:pict>
              <v:shape w14:anchorId="70268847" id="テキスト ボックス 6" o:spid="_x0000_s1029" type="#_x0000_t202" style="position:absolute;left:0;text-align:left;margin-left:317.95pt;margin-top:12.65pt;width:154.65pt;height:24.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" filled="f" stroked="f">
                <v:textbox inset="1mm,1mm,1mm,1mm">
                  <w:txbxContent>
                    <w:p w14:paraId="2B859F56" w14:textId="77777777" w:rsidR="00A668BC" w:rsidRPr="00A668BC" w:rsidRDefault="00A668BC" w:rsidP="00A668BC">
                      <w:pPr>
                        <w:rPr>
                          <w:rFonts w:ascii="ＭＳ Ｐゴシック" w:eastAsia="ＭＳ Ｐゴシック" w:hAnsi="ＭＳ Ｐゴシック" w:cs="+mn-cs"/>
                          <w:color w:val="000000"/>
                          <w:kern w:val="0"/>
                          <w:sz w:val="18"/>
                          <w:szCs w:val="18"/>
                        </w:rPr>
                      </w:pPr>
                      <w:r w:rsidRPr="00A668BC">
                        <w:rPr>
                          <w:rFonts w:ascii="ＭＳ Ｐゴシック" w:eastAsia="ＭＳ Ｐゴシック" w:hAnsi="ＭＳ Ｐゴシック" w:cs="+mn-cs" w:hint="eastAsia"/>
                          <w:color w:val="000000"/>
                          <w:sz w:val="18"/>
                          <w:szCs w:val="18"/>
                        </w:rPr>
                        <w:t>大阪府平均　0.29　基準値　0.21以上</w:t>
                      </w:r>
                    </w:p>
                  </w:txbxContent>
                </v:textbox>
              </v:shape>
            </w:pict>
          </mc:Fallback>
        </mc:AlternateContent>
      </w:r>
      <w:r>
        <w:rPr>
          <w:noProof/>
        </w:rPr>
        <w:drawing>
          <wp:inline distT="0" distB="0" distL="0" distR="0" wp14:anchorId="71B9338B" wp14:editId="68FB3E53">
            <wp:extent cx="6444000" cy="2591460"/>
            <wp:effectExtent l="0" t="0" r="13970" b="18415"/>
            <wp:docPr id="10" name="グラフ 10">
              <a:extLst xmlns:a="http://schemas.openxmlformats.org/drawingml/2006/main">
                <a:ext uri="{FF2B5EF4-FFF2-40B4-BE49-F238E27FC236}">
                  <a16:creationId xmlns:a16="http://schemas.microsoft.com/office/drawing/2014/main" id="{CA62E3E1-C076-404C-BF08-B3755CD179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bl>
      <w:tblPr>
        <w:tblpPr w:leftFromText="142" w:rightFromText="142" w:vertAnchor="text" w:horzAnchor="margin" w:tblpXSpec="center" w:tblpY="310"/>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20" w:firstRow="1" w:lastRow="0" w:firstColumn="0" w:lastColumn="0" w:noHBand="0" w:noVBand="1"/>
      </w:tblPr>
      <w:tblGrid>
        <w:gridCol w:w="3227"/>
        <w:gridCol w:w="3402"/>
        <w:gridCol w:w="2835"/>
      </w:tblGrid>
      <w:tr w:rsidR="00B36AE8" w:rsidRPr="00DB2B44" w14:paraId="52390612" w14:textId="77777777" w:rsidTr="00B5320B">
        <w:trPr>
          <w:trHeight w:val="407"/>
        </w:trPr>
        <w:tc>
          <w:tcPr>
            <w:tcW w:w="3227" w:type="dxa"/>
            <w:tcBorders>
              <w:top w:val="single" w:sz="8" w:space="0" w:color="4BACC6"/>
              <w:left w:val="single" w:sz="8" w:space="0" w:color="4BACC6"/>
              <w:bottom w:val="single" w:sz="18" w:space="0" w:color="4BACC6"/>
              <w:right w:val="single" w:sz="8" w:space="0" w:color="4BACC6"/>
            </w:tcBorders>
            <w:shd w:val="clear" w:color="auto" w:fill="auto"/>
          </w:tcPr>
          <w:p w14:paraId="5FCD285B" w14:textId="39C02F00" w:rsidR="00B36AE8" w:rsidRPr="00DB2B44" w:rsidRDefault="00B36AE8" w:rsidP="006A6FAB">
            <w:pPr>
              <w:jc w:val="center"/>
              <w:rPr>
                <w:rFonts w:ascii="HG丸ｺﾞｼｯｸM-PRO" w:eastAsia="HG丸ｺﾞｼｯｸM-PRO" w:hAnsi="HG丸ｺﾞｼｯｸM-PRO" w:cs="Times New Roman"/>
                <w:b/>
                <w:bCs/>
                <w:sz w:val="16"/>
                <w:szCs w:val="16"/>
              </w:rPr>
            </w:pPr>
            <w:r w:rsidRPr="00DB2B44">
              <w:rPr>
                <w:rFonts w:ascii="HG丸ｺﾞｼｯｸM-PRO" w:eastAsia="HG丸ｺﾞｼｯｸM-PRO" w:hAnsi="HG丸ｺﾞｼｯｸM-PRO" w:cs="Times New Roman" w:hint="eastAsia"/>
                <w:b/>
                <w:bCs/>
                <w:sz w:val="16"/>
                <w:szCs w:val="16"/>
              </w:rPr>
              <w:t>がん発見率とは</w:t>
            </w:r>
          </w:p>
        </w:tc>
        <w:tc>
          <w:tcPr>
            <w:tcW w:w="3402" w:type="dxa"/>
            <w:tcBorders>
              <w:top w:val="single" w:sz="8" w:space="0" w:color="4BACC6"/>
              <w:left w:val="single" w:sz="8" w:space="0" w:color="4BACC6"/>
              <w:bottom w:val="single" w:sz="18" w:space="0" w:color="4BACC6"/>
              <w:right w:val="single" w:sz="8" w:space="0" w:color="4BACC6"/>
            </w:tcBorders>
            <w:shd w:val="clear" w:color="auto" w:fill="auto"/>
          </w:tcPr>
          <w:p w14:paraId="5C920738" w14:textId="77777777" w:rsidR="00B36AE8" w:rsidRPr="00DB2B44" w:rsidRDefault="00B36AE8" w:rsidP="006A6FAB">
            <w:pPr>
              <w:spacing w:line="240" w:lineRule="atLeast"/>
              <w:ind w:firstLineChars="100" w:firstLine="161"/>
              <w:jc w:val="center"/>
              <w:rPr>
                <w:rFonts w:ascii="HG丸ｺﾞｼｯｸM-PRO" w:eastAsia="HG丸ｺﾞｼｯｸM-PRO" w:hAnsi="HG丸ｺﾞｼｯｸM-PRO" w:cs="Times New Roman"/>
                <w:b/>
                <w:bCs/>
                <w:sz w:val="16"/>
                <w:szCs w:val="16"/>
              </w:rPr>
            </w:pPr>
            <w:r w:rsidRPr="00DB2B44">
              <w:rPr>
                <w:rFonts w:ascii="HG丸ｺﾞｼｯｸM-PRO" w:eastAsia="HG丸ｺﾞｼｯｸM-PRO" w:hAnsi="HG丸ｺﾞｼｯｸM-PRO" w:cs="Times New Roman" w:hint="eastAsia"/>
                <w:b/>
                <w:bCs/>
                <w:sz w:val="16"/>
                <w:szCs w:val="16"/>
              </w:rPr>
              <w:t>高い場合</w:t>
            </w:r>
          </w:p>
        </w:tc>
        <w:tc>
          <w:tcPr>
            <w:tcW w:w="2835" w:type="dxa"/>
            <w:tcBorders>
              <w:top w:val="single" w:sz="8" w:space="0" w:color="4BACC6"/>
              <w:left w:val="single" w:sz="8" w:space="0" w:color="4BACC6"/>
              <w:bottom w:val="single" w:sz="18" w:space="0" w:color="4BACC6"/>
              <w:right w:val="single" w:sz="8" w:space="0" w:color="4BACC6"/>
            </w:tcBorders>
            <w:shd w:val="clear" w:color="auto" w:fill="auto"/>
          </w:tcPr>
          <w:p w14:paraId="692BD937" w14:textId="77777777" w:rsidR="00B36AE8" w:rsidRPr="00DB2B44" w:rsidRDefault="00B36AE8" w:rsidP="006A6FAB">
            <w:pPr>
              <w:spacing w:line="240" w:lineRule="atLeast"/>
              <w:ind w:firstLineChars="100" w:firstLine="161"/>
              <w:jc w:val="center"/>
              <w:rPr>
                <w:rFonts w:ascii="HG丸ｺﾞｼｯｸM-PRO" w:eastAsia="HG丸ｺﾞｼｯｸM-PRO" w:hAnsi="HG丸ｺﾞｼｯｸM-PRO" w:cs="Times New Roman"/>
                <w:b/>
                <w:bCs/>
                <w:sz w:val="16"/>
                <w:szCs w:val="16"/>
              </w:rPr>
            </w:pPr>
            <w:r w:rsidRPr="00DB2B44">
              <w:rPr>
                <w:rFonts w:ascii="HG丸ｺﾞｼｯｸM-PRO" w:eastAsia="HG丸ｺﾞｼｯｸM-PRO" w:hAnsi="HG丸ｺﾞｼｯｸM-PRO" w:cs="Times New Roman" w:hint="eastAsia"/>
                <w:b/>
                <w:bCs/>
                <w:sz w:val="16"/>
                <w:szCs w:val="16"/>
              </w:rPr>
              <w:t>低い場合</w:t>
            </w:r>
          </w:p>
        </w:tc>
      </w:tr>
      <w:tr w:rsidR="00B36AE8" w:rsidRPr="00DB2B44" w14:paraId="3DE052AC" w14:textId="77777777" w:rsidTr="00B5320B">
        <w:trPr>
          <w:trHeight w:val="813"/>
        </w:trPr>
        <w:tc>
          <w:tcPr>
            <w:tcW w:w="3227" w:type="dxa"/>
            <w:tcBorders>
              <w:top w:val="single" w:sz="8" w:space="0" w:color="4BACC6"/>
              <w:left w:val="single" w:sz="8" w:space="0" w:color="4BACC6"/>
              <w:bottom w:val="single" w:sz="8" w:space="0" w:color="4BACC6"/>
              <w:right w:val="single" w:sz="8" w:space="0" w:color="4BACC6"/>
            </w:tcBorders>
            <w:shd w:val="clear" w:color="auto" w:fill="D2EAF1"/>
            <w:hideMark/>
          </w:tcPr>
          <w:p w14:paraId="70AABA60" w14:textId="77777777" w:rsidR="00B36AE8" w:rsidRPr="00DB2B44" w:rsidRDefault="00B36AE8" w:rsidP="006A6FAB">
            <w:pPr>
              <w:spacing w:line="240" w:lineRule="atLeast"/>
              <w:jc w:val="left"/>
              <w:rPr>
                <w:rFonts w:ascii="HG丸ｺﾞｼｯｸM-PRO" w:eastAsia="HG丸ｺﾞｼｯｸM-PRO" w:hAnsi="HG丸ｺﾞｼｯｸM-PRO" w:cs="Times New Roman"/>
                <w:sz w:val="16"/>
                <w:szCs w:val="16"/>
              </w:rPr>
            </w:pPr>
            <w:r w:rsidRPr="00DB2B44">
              <w:rPr>
                <w:rFonts w:ascii="HG丸ｺﾞｼｯｸM-PRO" w:eastAsia="HG丸ｺﾞｼｯｸM-PRO" w:hAnsi="HG丸ｺﾞｼｯｸM-PRO" w:cs="Times New Roman" w:hint="eastAsia"/>
                <w:sz w:val="16"/>
                <w:szCs w:val="16"/>
              </w:rPr>
              <w:t>がん検診を受けた人のうち、実際にがんが見つかった人の割合。</w:t>
            </w:r>
          </w:p>
        </w:tc>
        <w:tc>
          <w:tcPr>
            <w:tcW w:w="3402" w:type="dxa"/>
            <w:tcBorders>
              <w:top w:val="single" w:sz="8" w:space="0" w:color="4BACC6"/>
              <w:left w:val="single" w:sz="8" w:space="0" w:color="4BACC6"/>
              <w:bottom w:val="single" w:sz="8" w:space="0" w:color="4BACC6"/>
              <w:right w:val="single" w:sz="8" w:space="0" w:color="4BACC6"/>
            </w:tcBorders>
            <w:shd w:val="clear" w:color="auto" w:fill="D2EAF1"/>
            <w:hideMark/>
          </w:tcPr>
          <w:p w14:paraId="60BCECE9" w14:textId="77777777" w:rsidR="00B36AE8" w:rsidRPr="00DB2B44" w:rsidRDefault="00B36AE8" w:rsidP="006A6FAB">
            <w:pPr>
              <w:spacing w:line="240" w:lineRule="atLeast"/>
              <w:jc w:val="left"/>
              <w:rPr>
                <w:rFonts w:ascii="HG丸ｺﾞｼｯｸM-PRO" w:eastAsia="HG丸ｺﾞｼｯｸM-PRO" w:hAnsi="HG丸ｺﾞｼｯｸM-PRO" w:cs="Times New Roman"/>
                <w:sz w:val="16"/>
                <w:szCs w:val="16"/>
              </w:rPr>
            </w:pPr>
            <w:r w:rsidRPr="00DB2B44">
              <w:rPr>
                <w:rFonts w:ascii="HG丸ｺﾞｼｯｸM-PRO" w:eastAsia="HG丸ｺﾞｼｯｸM-PRO" w:hAnsi="HG丸ｺﾞｼｯｸM-PRO" w:cs="Times New Roman" w:hint="eastAsia"/>
                <w:sz w:val="16"/>
                <w:szCs w:val="16"/>
              </w:rPr>
              <w:t>○受診者のうち、何か症状があったにも関わらず受診した人（注）や高齢者などがんにかかりやすい性・年齢の割合が高かった可能性がある。　　　　　　　　　　　　　　　　　　　　○見つかったがんの中で、早期がんの割合が高いほど良い。</w:t>
            </w:r>
          </w:p>
          <w:p w14:paraId="4AD9802F" w14:textId="77777777" w:rsidR="00B36AE8" w:rsidRPr="00DB2B44" w:rsidRDefault="00B36AE8" w:rsidP="006A6FAB">
            <w:pPr>
              <w:spacing w:line="240" w:lineRule="atLeast"/>
              <w:jc w:val="left"/>
              <w:rPr>
                <w:rFonts w:ascii="HG丸ｺﾞｼｯｸM-PRO" w:eastAsia="HG丸ｺﾞｼｯｸM-PRO" w:hAnsi="HG丸ｺﾞｼｯｸM-PRO" w:cs="Times New Roman"/>
                <w:sz w:val="16"/>
                <w:szCs w:val="16"/>
              </w:rPr>
            </w:pPr>
            <w:r w:rsidRPr="00DB2B44">
              <w:rPr>
                <w:rFonts w:ascii="HG丸ｺﾞｼｯｸM-PRO" w:eastAsia="HG丸ｺﾞｼｯｸM-PRO" w:hAnsi="HG丸ｺﾞｼｯｸM-PRO" w:cs="Times New Roman" w:hint="eastAsia"/>
                <w:sz w:val="16"/>
                <w:szCs w:val="16"/>
              </w:rPr>
              <w:t xml:space="preserve">○基本的に高いことが望ましい。　　　　</w:t>
            </w:r>
          </w:p>
        </w:tc>
        <w:tc>
          <w:tcPr>
            <w:tcW w:w="2835" w:type="dxa"/>
            <w:tcBorders>
              <w:top w:val="single" w:sz="8" w:space="0" w:color="4BACC6"/>
              <w:left w:val="single" w:sz="8" w:space="0" w:color="4BACC6"/>
              <w:bottom w:val="single" w:sz="8" w:space="0" w:color="4BACC6"/>
              <w:right w:val="single" w:sz="8" w:space="0" w:color="4BACC6"/>
            </w:tcBorders>
            <w:shd w:val="clear" w:color="auto" w:fill="D2EAF1"/>
            <w:hideMark/>
          </w:tcPr>
          <w:p w14:paraId="1517673D" w14:textId="77777777" w:rsidR="00B36AE8" w:rsidRPr="00DB2B44" w:rsidRDefault="00B36AE8" w:rsidP="006A6FAB">
            <w:pPr>
              <w:spacing w:line="240" w:lineRule="atLeast"/>
              <w:jc w:val="left"/>
              <w:rPr>
                <w:rFonts w:ascii="HG丸ｺﾞｼｯｸM-PRO" w:eastAsia="HG丸ｺﾞｼｯｸM-PRO" w:hAnsi="HG丸ｺﾞｼｯｸM-PRO" w:cs="Times New Roman"/>
                <w:sz w:val="16"/>
                <w:szCs w:val="16"/>
              </w:rPr>
            </w:pPr>
            <w:r w:rsidRPr="00DB2B44">
              <w:rPr>
                <w:rFonts w:ascii="HG丸ｺﾞｼｯｸM-PRO" w:eastAsia="HG丸ｺﾞｼｯｸM-PRO" w:hAnsi="HG丸ｺﾞｼｯｸM-PRO" w:cs="Times New Roman" w:hint="eastAsia"/>
                <w:sz w:val="16"/>
                <w:szCs w:val="16"/>
              </w:rPr>
              <w:t xml:space="preserve">○受診者のうち、高齢者などがんにかかりやすい性・年齢の割合が低かった可能性がある。　　　　　　　　　　　　　　　　　</w:t>
            </w:r>
          </w:p>
        </w:tc>
      </w:tr>
    </w:tbl>
    <w:p w14:paraId="7E71EE85" w14:textId="73D85023" w:rsidR="00B36AE8" w:rsidRDefault="00B36AE8" w:rsidP="00DB2B44">
      <w:pPr>
        <w:rPr>
          <w:rFonts w:ascii="Century" w:eastAsia="ＭＳ 明朝" w:hAnsi="Century" w:cs="Times New Roman"/>
          <w:b/>
          <w:sz w:val="18"/>
          <w:szCs w:val="18"/>
          <w:u w:val="single"/>
        </w:rPr>
      </w:pPr>
    </w:p>
    <w:p w14:paraId="4422F819" w14:textId="77777777" w:rsidR="00841902" w:rsidRDefault="00841902" w:rsidP="00841902">
      <w:pPr>
        <w:spacing w:line="320" w:lineRule="exact"/>
        <w:rPr>
          <w:rFonts w:ascii="Century" w:eastAsia="ＭＳ 明朝" w:hAnsi="Century" w:cs="Times New Roman"/>
          <w:sz w:val="18"/>
          <w:szCs w:val="18"/>
        </w:rPr>
      </w:pPr>
      <w:r w:rsidRPr="0079792A">
        <w:rPr>
          <w:rFonts w:ascii="Century" w:eastAsia="ＭＳ 明朝" w:hAnsi="Century" w:cs="Times New Roman" w:hint="eastAsia"/>
          <w:sz w:val="18"/>
          <w:szCs w:val="18"/>
        </w:rPr>
        <w:t>（注）がん検診は、症状のない方のための検査です。明らかな症状のある方には、それぞれの体の状態に応じた適切な</w:t>
      </w:r>
    </w:p>
    <w:p w14:paraId="0C94AD41" w14:textId="77777777" w:rsidR="00841902" w:rsidRPr="0079792A" w:rsidRDefault="00841902" w:rsidP="00841902">
      <w:pPr>
        <w:spacing w:line="320" w:lineRule="exact"/>
        <w:ind w:firstLineChars="300" w:firstLine="540"/>
        <w:rPr>
          <w:rFonts w:ascii="Century" w:eastAsia="ＭＳ 明朝" w:hAnsi="Century" w:cs="Times New Roman"/>
          <w:sz w:val="18"/>
          <w:szCs w:val="18"/>
        </w:rPr>
      </w:pPr>
      <w:r w:rsidRPr="0079792A">
        <w:rPr>
          <w:rFonts w:ascii="Century" w:eastAsia="ＭＳ 明朝" w:hAnsi="Century" w:cs="Times New Roman" w:hint="eastAsia"/>
          <w:sz w:val="18"/>
          <w:szCs w:val="18"/>
        </w:rPr>
        <w:t>検査や治療が必要になります。症状のある場合は、必ず医療機関を受診してください。</w:t>
      </w:r>
    </w:p>
    <w:p w14:paraId="4C87373D" w14:textId="7A5F07FB" w:rsidR="00B36AE8" w:rsidRPr="00841902" w:rsidRDefault="00B36AE8" w:rsidP="00DB2B44">
      <w:pPr>
        <w:rPr>
          <w:rFonts w:ascii="Century" w:eastAsia="ＭＳ 明朝" w:hAnsi="Century" w:cs="Times New Roman"/>
          <w:b/>
          <w:sz w:val="18"/>
          <w:szCs w:val="18"/>
          <w:u w:val="single"/>
        </w:rPr>
      </w:pPr>
    </w:p>
    <w:p w14:paraId="2AC22CCF" w14:textId="763DC827" w:rsidR="00B36AE8" w:rsidRDefault="00B36AE8" w:rsidP="00DB2B44">
      <w:pPr>
        <w:rPr>
          <w:rFonts w:ascii="Century" w:eastAsia="ＭＳ 明朝" w:hAnsi="Century" w:cs="Times New Roman"/>
          <w:b/>
          <w:sz w:val="18"/>
          <w:szCs w:val="18"/>
          <w:u w:val="single"/>
        </w:rPr>
      </w:pPr>
    </w:p>
    <w:p w14:paraId="3B3480E5" w14:textId="6841AD6D" w:rsidR="00B36AE8" w:rsidRDefault="00B36AE8" w:rsidP="00DB2B44">
      <w:pPr>
        <w:rPr>
          <w:rFonts w:ascii="Century" w:eastAsia="ＭＳ 明朝" w:hAnsi="Century" w:cs="Times New Roman"/>
          <w:b/>
          <w:sz w:val="18"/>
          <w:szCs w:val="18"/>
          <w:u w:val="single"/>
        </w:rPr>
      </w:pPr>
    </w:p>
    <w:p w14:paraId="3AA71F71" w14:textId="386DFAA8" w:rsidR="00B36AE8" w:rsidRDefault="00B36AE8" w:rsidP="00DB2B44">
      <w:pPr>
        <w:rPr>
          <w:rFonts w:ascii="Century" w:eastAsia="ＭＳ 明朝" w:hAnsi="Century" w:cs="Times New Roman"/>
          <w:b/>
          <w:sz w:val="18"/>
          <w:szCs w:val="18"/>
          <w:u w:val="single"/>
        </w:rPr>
      </w:pPr>
    </w:p>
    <w:p w14:paraId="6E35D93E" w14:textId="22DC140A" w:rsidR="00B36AE8" w:rsidRDefault="00B36AE8" w:rsidP="00DB2B44">
      <w:pPr>
        <w:rPr>
          <w:rFonts w:ascii="Century" w:eastAsia="ＭＳ 明朝" w:hAnsi="Century" w:cs="Times New Roman"/>
          <w:b/>
          <w:sz w:val="18"/>
          <w:szCs w:val="18"/>
          <w:u w:val="single"/>
        </w:rPr>
      </w:pPr>
    </w:p>
    <w:p w14:paraId="6FF9887D" w14:textId="3DC81CCA" w:rsidR="00B36AE8" w:rsidRDefault="00B36AE8" w:rsidP="00DB2B44">
      <w:pPr>
        <w:rPr>
          <w:rFonts w:ascii="Century" w:eastAsia="ＭＳ 明朝" w:hAnsi="Century" w:cs="Times New Roman"/>
          <w:b/>
          <w:sz w:val="18"/>
          <w:szCs w:val="18"/>
          <w:u w:val="single"/>
        </w:rPr>
      </w:pPr>
    </w:p>
    <w:p w14:paraId="41053F89" w14:textId="01632F8F" w:rsidR="00B36AE8" w:rsidRDefault="00B36AE8" w:rsidP="00DB2B44">
      <w:pPr>
        <w:rPr>
          <w:rFonts w:ascii="Century" w:eastAsia="ＭＳ 明朝" w:hAnsi="Century" w:cs="Times New Roman"/>
          <w:b/>
          <w:sz w:val="18"/>
          <w:szCs w:val="18"/>
          <w:u w:val="single"/>
        </w:rPr>
      </w:pPr>
    </w:p>
    <w:p w14:paraId="55242AAF" w14:textId="67865C15" w:rsidR="00B36AE8" w:rsidRDefault="00B36AE8" w:rsidP="00DB2B44">
      <w:pPr>
        <w:rPr>
          <w:rFonts w:ascii="Century" w:eastAsia="ＭＳ 明朝" w:hAnsi="Century" w:cs="Times New Roman"/>
          <w:b/>
          <w:sz w:val="18"/>
          <w:szCs w:val="18"/>
          <w:u w:val="single"/>
        </w:rPr>
      </w:pPr>
    </w:p>
    <w:p w14:paraId="28877523" w14:textId="6FA57B94" w:rsidR="00B36AE8" w:rsidRDefault="00B36AE8" w:rsidP="00DB2B44">
      <w:pPr>
        <w:rPr>
          <w:rFonts w:ascii="Century" w:eastAsia="ＭＳ 明朝" w:hAnsi="Century" w:cs="Times New Roman"/>
          <w:b/>
          <w:sz w:val="18"/>
          <w:szCs w:val="18"/>
          <w:u w:val="single"/>
        </w:rPr>
      </w:pPr>
    </w:p>
    <w:p w14:paraId="3A82E1FD" w14:textId="4A247F40" w:rsidR="00B36AE8" w:rsidRDefault="00B36AE8" w:rsidP="00DB2B44">
      <w:pPr>
        <w:rPr>
          <w:rFonts w:ascii="Century" w:eastAsia="ＭＳ 明朝" w:hAnsi="Century" w:cs="Times New Roman"/>
          <w:b/>
          <w:sz w:val="18"/>
          <w:szCs w:val="18"/>
          <w:u w:val="single"/>
        </w:rPr>
      </w:pPr>
    </w:p>
    <w:p w14:paraId="75329A01" w14:textId="314B1DD0" w:rsidR="00B36AE8" w:rsidRDefault="00B36AE8" w:rsidP="00DB2B44">
      <w:pPr>
        <w:rPr>
          <w:rFonts w:ascii="Century" w:eastAsia="ＭＳ 明朝" w:hAnsi="Century" w:cs="Times New Roman"/>
          <w:b/>
          <w:sz w:val="18"/>
          <w:szCs w:val="18"/>
          <w:u w:val="single"/>
        </w:rPr>
      </w:pPr>
    </w:p>
    <w:p w14:paraId="29C37B5F" w14:textId="5FDFC33F" w:rsidR="00B36AE8" w:rsidRDefault="00B36AE8" w:rsidP="00DB2B44">
      <w:pPr>
        <w:rPr>
          <w:rFonts w:ascii="Century" w:eastAsia="ＭＳ 明朝" w:hAnsi="Century" w:cs="Times New Roman"/>
          <w:b/>
          <w:sz w:val="18"/>
          <w:szCs w:val="18"/>
          <w:u w:val="single"/>
        </w:rPr>
      </w:pPr>
    </w:p>
    <w:p w14:paraId="26522A1F" w14:textId="39269FC2" w:rsidR="00A668BC" w:rsidRDefault="00A668BC" w:rsidP="00DB2B44">
      <w:pPr>
        <w:rPr>
          <w:rFonts w:ascii="Century" w:eastAsia="ＭＳ 明朝" w:hAnsi="Century" w:cs="Times New Roman"/>
          <w:b/>
          <w:sz w:val="18"/>
          <w:szCs w:val="18"/>
          <w:u w:val="single"/>
        </w:rPr>
      </w:pPr>
    </w:p>
    <w:p w14:paraId="19CBADAB" w14:textId="77777777" w:rsidR="00A668BC" w:rsidRDefault="00A668BC" w:rsidP="00DB2B44">
      <w:pPr>
        <w:rPr>
          <w:rFonts w:ascii="Century" w:eastAsia="ＭＳ 明朝" w:hAnsi="Century" w:cs="Times New Roman"/>
          <w:b/>
          <w:sz w:val="18"/>
          <w:szCs w:val="18"/>
          <w:u w:val="single"/>
        </w:rPr>
      </w:pPr>
    </w:p>
    <w:p w14:paraId="59BAD1F2" w14:textId="3B0DCEB9" w:rsidR="00B36AE8" w:rsidRDefault="00B36AE8" w:rsidP="00DB2B44">
      <w:pPr>
        <w:rPr>
          <w:rFonts w:ascii="Century" w:eastAsia="ＭＳ 明朝" w:hAnsi="Century" w:cs="Times New Roman"/>
          <w:b/>
          <w:sz w:val="18"/>
          <w:szCs w:val="18"/>
          <w:u w:val="single"/>
        </w:rPr>
      </w:pPr>
    </w:p>
    <w:p w14:paraId="2668AA54" w14:textId="77777777" w:rsidR="00973920" w:rsidRPr="00DB2B44" w:rsidRDefault="00973920" w:rsidP="00DB2B44">
      <w:pPr>
        <w:rPr>
          <w:rFonts w:ascii="Century" w:eastAsia="ＭＳ 明朝" w:hAnsi="Century" w:cs="Times New Roman"/>
          <w:b/>
          <w:sz w:val="18"/>
          <w:szCs w:val="18"/>
          <w:u w:val="single"/>
        </w:rPr>
      </w:pPr>
    </w:p>
    <w:p w14:paraId="493DDF35" w14:textId="4DC56D05" w:rsidR="00B36AE8" w:rsidRDefault="00B36AE8" w:rsidP="00B36AE8">
      <w:pPr>
        <w:rPr>
          <w:b/>
          <w:sz w:val="36"/>
          <w:szCs w:val="36"/>
          <w:u w:val="single"/>
        </w:rPr>
      </w:pPr>
      <w:r w:rsidRPr="002C6A58">
        <w:rPr>
          <w:rFonts w:hint="eastAsia"/>
          <w:b/>
          <w:sz w:val="36"/>
          <w:szCs w:val="36"/>
          <w:u w:val="single"/>
        </w:rPr>
        <w:lastRenderedPageBreak/>
        <w:t>陽性反応適中度</w:t>
      </w:r>
    </w:p>
    <w:p w14:paraId="1844DCE7" w14:textId="29F42F36" w:rsidR="00B36AE8" w:rsidRPr="00A668BC" w:rsidRDefault="0016009E" w:rsidP="00A668BC">
      <w:pPr>
        <w:jc w:val="center"/>
        <w:rPr>
          <w:b/>
          <w:sz w:val="36"/>
          <w:szCs w:val="36"/>
          <w:u w:val="single"/>
        </w:rPr>
      </w:pPr>
      <w:r>
        <w:rPr>
          <w:noProof/>
        </w:rPr>
        <mc:AlternateContent>
          <mc:Choice Requires="wps">
            <w:drawing>
              <wp:anchor distT="0" distB="0" distL="114300" distR="114300" simplePos="0" relativeHeight="251658752" behindDoc="0" locked="0" layoutInCell="1" allowOverlap="1" wp14:anchorId="712FC367" wp14:editId="233E3B18">
                <wp:simplePos x="0" y="0"/>
                <wp:positionH relativeFrom="column">
                  <wp:posOffset>4282440</wp:posOffset>
                </wp:positionH>
                <wp:positionV relativeFrom="paragraph">
                  <wp:posOffset>152400</wp:posOffset>
                </wp:positionV>
                <wp:extent cx="1980000" cy="297180"/>
                <wp:effectExtent l="0" t="0" r="1270" b="7620"/>
                <wp:wrapNone/>
                <wp:docPr id="9" name="テキスト ボックス 8">
                  <a:extLst xmlns:a="http://schemas.openxmlformats.org/drawingml/2006/main">
                    <a:ext uri="{FF2B5EF4-FFF2-40B4-BE49-F238E27FC236}">
                      <a16:creationId xmlns:a16="http://schemas.microsoft.com/office/drawing/2014/main" id="{9C010278-0F0B-4BBD-8EA9-A6BD206C5EA7}"/>
                    </a:ext>
                  </a:extLst>
                </wp:docPr>
                <wp:cNvGraphicFramePr/>
                <a:graphic xmlns:a="http://schemas.openxmlformats.org/drawingml/2006/main">
                  <a:graphicData uri="http://schemas.microsoft.com/office/word/2010/wordprocessingShape">
                    <wps:wsp>
                      <wps:cNvSpPr txBox="1"/>
                      <wps:spPr>
                        <a:xfrm>
                          <a:off x="0" y="0"/>
                          <a:ext cx="1980000" cy="297180"/>
                        </a:xfrm>
                        <a:prstGeom prst="rect">
                          <a:avLst/>
                        </a:prstGeom>
                        <a:noFill/>
                        <a:ln w="9525" cmpd="sng">
                          <a:noFill/>
                        </a:ln>
                        <a:effectLst/>
                      </wps:spPr>
                      <wps:txbx>
                        <w:txbxContent>
                          <w:p w14:paraId="697F3CDE" w14:textId="77777777" w:rsidR="0016009E" w:rsidRPr="0016009E" w:rsidRDefault="0016009E" w:rsidP="0016009E">
                            <w:pPr>
                              <w:rPr>
                                <w:rFonts w:ascii="ＭＳ Ｐゴシック" w:eastAsia="ＭＳ Ｐゴシック" w:hAnsi="ＭＳ Ｐゴシック" w:cs="+mn-cs"/>
                                <w:color w:val="000000"/>
                                <w:kern w:val="0"/>
                                <w:sz w:val="18"/>
                                <w:szCs w:val="18"/>
                              </w:rPr>
                            </w:pPr>
                            <w:r w:rsidRPr="0016009E">
                              <w:rPr>
                                <w:rFonts w:ascii="ＭＳ Ｐゴシック" w:eastAsia="ＭＳ Ｐゴシック" w:hAnsi="ＭＳ Ｐゴシック" w:cs="+mn-cs" w:hint="eastAsia"/>
                                <w:color w:val="000000"/>
                                <w:sz w:val="18"/>
                                <w:szCs w:val="18"/>
                              </w:rPr>
                              <w:t>大阪府平均　5.0　基準値　3.0以上</w:t>
                            </w:r>
                          </w:p>
                        </w:txbxContent>
                      </wps:txbx>
                      <wps:bodyPr vertOverflow="clip" wrap="square" lIns="36000" tIns="36000" rIns="36000" bIns="36000" rtlCol="0" anchor="ctr" anchorCtr="1">
                        <a:noAutofit/>
                      </wps:bodyPr>
                    </wps:wsp>
                  </a:graphicData>
                </a:graphic>
                <wp14:sizeRelV relativeFrom="margin">
                  <wp14:pctHeight>0</wp14:pctHeight>
                </wp14:sizeRelV>
              </wp:anchor>
            </w:drawing>
          </mc:Choice>
          <mc:Fallback>
            <w:pict>
              <v:shape w14:anchorId="712FC367" id="テキスト ボックス 8" o:spid="_x0000_s1030" type="#_x0000_t202" style="position:absolute;left:0;text-align:left;margin-left:337.2pt;margin-top:12pt;width:155.9pt;height:23.4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" filled="f" stroked="f">
                <v:textbox inset="1mm,1mm,1mm,1mm">
                  <w:txbxContent>
                    <w:p w14:paraId="697F3CDE" w14:textId="77777777" w:rsidR="0016009E" w:rsidRPr="0016009E" w:rsidRDefault="0016009E" w:rsidP="0016009E">
                      <w:pPr>
                        <w:rPr>
                          <w:rFonts w:ascii="ＭＳ Ｐゴシック" w:eastAsia="ＭＳ Ｐゴシック" w:hAnsi="ＭＳ Ｐゴシック" w:cs="+mn-cs"/>
                          <w:color w:val="000000"/>
                          <w:kern w:val="0"/>
                          <w:sz w:val="18"/>
                          <w:szCs w:val="18"/>
                        </w:rPr>
                      </w:pPr>
                      <w:r w:rsidRPr="0016009E">
                        <w:rPr>
                          <w:rFonts w:ascii="ＭＳ Ｐゴシック" w:eastAsia="ＭＳ Ｐゴシック" w:hAnsi="ＭＳ Ｐゴシック" w:cs="+mn-cs" w:hint="eastAsia"/>
                          <w:color w:val="000000"/>
                          <w:sz w:val="18"/>
                          <w:szCs w:val="18"/>
                        </w:rPr>
                        <w:t>大阪府平均　5.0　基準値　3.0以上</w:t>
                      </w:r>
                    </w:p>
                  </w:txbxContent>
                </v:textbox>
              </v:shape>
            </w:pict>
          </mc:Fallback>
        </mc:AlternateContent>
      </w:r>
      <w:r w:rsidR="00A668BC">
        <w:rPr>
          <w:noProof/>
        </w:rPr>
        <w:drawing>
          <wp:inline distT="0" distB="0" distL="0" distR="0" wp14:anchorId="29F67EC4" wp14:editId="7069FAC5">
            <wp:extent cx="6444000" cy="2555460"/>
            <wp:effectExtent l="0" t="0" r="13970" b="16510"/>
            <wp:docPr id="12" name="グラフ 12">
              <a:extLst xmlns:a="http://schemas.openxmlformats.org/drawingml/2006/main">
                <a:ext uri="{FF2B5EF4-FFF2-40B4-BE49-F238E27FC236}">
                  <a16:creationId xmlns:a16="http://schemas.microsoft.com/office/drawing/2014/main" id="{DDC58752-E62D-4A69-A99E-FF4BFD5ADE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bl>
      <w:tblPr>
        <w:tblpPr w:leftFromText="142" w:rightFromText="142" w:vertAnchor="page" w:horzAnchor="margin" w:tblpXSpec="center" w:tblpY="6054"/>
        <w:tblW w:w="9606"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20" w:firstRow="1" w:lastRow="0" w:firstColumn="0" w:lastColumn="0" w:noHBand="0" w:noVBand="1"/>
      </w:tblPr>
      <w:tblGrid>
        <w:gridCol w:w="3369"/>
        <w:gridCol w:w="3260"/>
        <w:gridCol w:w="2977"/>
      </w:tblGrid>
      <w:tr w:rsidR="00B36AE8" w:rsidRPr="002C6A58" w14:paraId="41156FB3" w14:textId="77777777" w:rsidTr="00A668BC">
        <w:trPr>
          <w:trHeight w:val="401"/>
        </w:trPr>
        <w:tc>
          <w:tcPr>
            <w:tcW w:w="3369" w:type="dxa"/>
            <w:tcBorders>
              <w:top w:val="single" w:sz="8" w:space="0" w:color="4BACC6"/>
              <w:left w:val="single" w:sz="8" w:space="0" w:color="4BACC6"/>
              <w:bottom w:val="single" w:sz="18" w:space="0" w:color="4BACC6"/>
              <w:right w:val="single" w:sz="8" w:space="0" w:color="4BACC6"/>
            </w:tcBorders>
            <w:shd w:val="clear" w:color="auto" w:fill="auto"/>
          </w:tcPr>
          <w:p w14:paraId="24DB40C4" w14:textId="6FC73309" w:rsidR="00B36AE8" w:rsidRPr="002C6A58" w:rsidRDefault="00B36AE8" w:rsidP="00A668BC">
            <w:pPr>
              <w:spacing w:line="240" w:lineRule="atLeast"/>
              <w:ind w:firstLineChars="100" w:firstLine="161"/>
              <w:jc w:val="left"/>
              <w:rPr>
                <w:rFonts w:ascii="HG丸ｺﾞｼｯｸM-PRO" w:eastAsia="HG丸ｺﾞｼｯｸM-PRO" w:hAnsi="HG丸ｺﾞｼｯｸM-PRO" w:cs="Times New Roman"/>
                <w:b/>
                <w:bCs/>
                <w:sz w:val="16"/>
                <w:szCs w:val="16"/>
              </w:rPr>
            </w:pPr>
            <w:r w:rsidRPr="002C6A58">
              <w:rPr>
                <w:rFonts w:ascii="HG丸ｺﾞｼｯｸM-PRO" w:eastAsia="HG丸ｺﾞｼｯｸM-PRO" w:hAnsi="HG丸ｺﾞｼｯｸM-PRO" w:cs="Times New Roman" w:hint="eastAsia"/>
                <w:b/>
                <w:bCs/>
                <w:sz w:val="16"/>
                <w:szCs w:val="16"/>
              </w:rPr>
              <w:t>陽性反応適中度とは</w:t>
            </w:r>
          </w:p>
        </w:tc>
        <w:tc>
          <w:tcPr>
            <w:tcW w:w="3260" w:type="dxa"/>
            <w:tcBorders>
              <w:top w:val="single" w:sz="8" w:space="0" w:color="4BACC6"/>
              <w:left w:val="single" w:sz="8" w:space="0" w:color="4BACC6"/>
              <w:bottom w:val="single" w:sz="18" w:space="0" w:color="4BACC6"/>
              <w:right w:val="single" w:sz="8" w:space="0" w:color="4BACC6"/>
            </w:tcBorders>
            <w:shd w:val="clear" w:color="auto" w:fill="auto"/>
          </w:tcPr>
          <w:p w14:paraId="0A50778C" w14:textId="701E948D" w:rsidR="00B36AE8" w:rsidRPr="002C6A58" w:rsidRDefault="00B36AE8" w:rsidP="00A668BC">
            <w:pPr>
              <w:spacing w:line="240" w:lineRule="atLeast"/>
              <w:ind w:firstLineChars="100" w:firstLine="161"/>
              <w:jc w:val="left"/>
              <w:rPr>
                <w:rFonts w:ascii="HG丸ｺﾞｼｯｸM-PRO" w:eastAsia="HG丸ｺﾞｼｯｸM-PRO" w:hAnsi="HG丸ｺﾞｼｯｸM-PRO" w:cs="Times New Roman"/>
                <w:b/>
                <w:bCs/>
                <w:sz w:val="16"/>
                <w:szCs w:val="16"/>
              </w:rPr>
            </w:pPr>
            <w:r w:rsidRPr="002C6A58">
              <w:rPr>
                <w:rFonts w:ascii="HG丸ｺﾞｼｯｸM-PRO" w:eastAsia="HG丸ｺﾞｼｯｸM-PRO" w:hAnsi="HG丸ｺﾞｼｯｸM-PRO" w:cs="Times New Roman" w:hint="eastAsia"/>
                <w:b/>
                <w:bCs/>
                <w:sz w:val="16"/>
                <w:szCs w:val="16"/>
              </w:rPr>
              <w:t>高い場合</w:t>
            </w:r>
          </w:p>
        </w:tc>
        <w:tc>
          <w:tcPr>
            <w:tcW w:w="2977" w:type="dxa"/>
            <w:tcBorders>
              <w:top w:val="single" w:sz="8" w:space="0" w:color="4BACC6"/>
              <w:left w:val="single" w:sz="8" w:space="0" w:color="4BACC6"/>
              <w:bottom w:val="single" w:sz="18" w:space="0" w:color="4BACC6"/>
              <w:right w:val="single" w:sz="8" w:space="0" w:color="4BACC6"/>
            </w:tcBorders>
            <w:shd w:val="clear" w:color="auto" w:fill="auto"/>
          </w:tcPr>
          <w:p w14:paraId="4C06EF41" w14:textId="77777777" w:rsidR="00B36AE8" w:rsidRPr="002C6A58" w:rsidRDefault="00B36AE8" w:rsidP="00A668BC">
            <w:pPr>
              <w:spacing w:line="240" w:lineRule="atLeast"/>
              <w:ind w:firstLineChars="100" w:firstLine="161"/>
              <w:jc w:val="left"/>
              <w:rPr>
                <w:rFonts w:ascii="HG丸ｺﾞｼｯｸM-PRO" w:eastAsia="HG丸ｺﾞｼｯｸM-PRO" w:hAnsi="HG丸ｺﾞｼｯｸM-PRO" w:cs="Times New Roman"/>
                <w:b/>
                <w:bCs/>
                <w:sz w:val="16"/>
                <w:szCs w:val="16"/>
              </w:rPr>
            </w:pPr>
            <w:r w:rsidRPr="002C6A58">
              <w:rPr>
                <w:rFonts w:ascii="HG丸ｺﾞｼｯｸM-PRO" w:eastAsia="HG丸ｺﾞｼｯｸM-PRO" w:hAnsi="HG丸ｺﾞｼｯｸM-PRO" w:cs="Times New Roman" w:hint="eastAsia"/>
                <w:b/>
                <w:bCs/>
                <w:sz w:val="16"/>
                <w:szCs w:val="16"/>
              </w:rPr>
              <w:t>低い場合</w:t>
            </w:r>
          </w:p>
        </w:tc>
      </w:tr>
      <w:tr w:rsidR="00B36AE8" w:rsidRPr="002C6A58" w14:paraId="56AB4854" w14:textId="77777777" w:rsidTr="00A668BC">
        <w:trPr>
          <w:trHeight w:val="1488"/>
        </w:trPr>
        <w:tc>
          <w:tcPr>
            <w:tcW w:w="3369" w:type="dxa"/>
            <w:tcBorders>
              <w:top w:val="single" w:sz="8" w:space="0" w:color="4BACC6"/>
              <w:left w:val="single" w:sz="8" w:space="0" w:color="4BACC6"/>
              <w:bottom w:val="single" w:sz="8" w:space="0" w:color="4BACC6"/>
              <w:right w:val="single" w:sz="8" w:space="0" w:color="4BACC6"/>
            </w:tcBorders>
            <w:shd w:val="clear" w:color="auto" w:fill="D2EAF1"/>
            <w:hideMark/>
          </w:tcPr>
          <w:p w14:paraId="6E6AECC2" w14:textId="77777777" w:rsidR="00B36AE8" w:rsidRPr="002C6A58" w:rsidRDefault="00B36AE8" w:rsidP="00A668BC">
            <w:pPr>
              <w:spacing w:line="240" w:lineRule="atLeast"/>
              <w:jc w:val="left"/>
              <w:rPr>
                <w:rFonts w:ascii="HG丸ｺﾞｼｯｸM-PRO" w:eastAsia="HG丸ｺﾞｼｯｸM-PRO" w:hAnsi="HG丸ｺﾞｼｯｸM-PRO" w:cs="Times New Roman"/>
                <w:sz w:val="16"/>
                <w:szCs w:val="16"/>
              </w:rPr>
            </w:pPr>
            <w:r w:rsidRPr="002C6A58">
              <w:rPr>
                <w:rFonts w:ascii="HG丸ｺﾞｼｯｸM-PRO" w:eastAsia="HG丸ｺﾞｼｯｸM-PRO" w:hAnsi="HG丸ｺﾞｼｯｸM-PRO" w:cs="Times New Roman" w:hint="eastAsia"/>
                <w:sz w:val="16"/>
                <w:szCs w:val="16"/>
              </w:rPr>
              <w:t>精密検査が必要と判定された人のうち、精密検査で実際にがんが見つかった人の割合。</w:t>
            </w:r>
          </w:p>
          <w:p w14:paraId="1709BA4D" w14:textId="0923BD7B" w:rsidR="00B36AE8" w:rsidRPr="002C6A58" w:rsidRDefault="00B36AE8" w:rsidP="00A668BC">
            <w:pPr>
              <w:spacing w:line="240" w:lineRule="atLeast"/>
              <w:jc w:val="left"/>
              <w:rPr>
                <w:rFonts w:ascii="HG丸ｺﾞｼｯｸM-PRO" w:eastAsia="HG丸ｺﾞｼｯｸM-PRO" w:hAnsi="HG丸ｺﾞｼｯｸM-PRO" w:cs="Times New Roman"/>
                <w:sz w:val="16"/>
                <w:szCs w:val="16"/>
              </w:rPr>
            </w:pPr>
            <w:r w:rsidRPr="002C6A58">
              <w:rPr>
                <w:rFonts w:ascii="HG丸ｺﾞｼｯｸM-PRO" w:eastAsia="HG丸ｺﾞｼｯｸM-PRO" w:hAnsi="HG丸ｺﾞｼｯｸM-PRO" w:cs="Times New Roman" w:hint="eastAsia"/>
                <w:sz w:val="16"/>
                <w:szCs w:val="16"/>
              </w:rPr>
              <w:t>検診の効率を表す指標。</w:t>
            </w:r>
          </w:p>
        </w:tc>
        <w:tc>
          <w:tcPr>
            <w:tcW w:w="3260" w:type="dxa"/>
            <w:tcBorders>
              <w:top w:val="single" w:sz="8" w:space="0" w:color="4BACC6"/>
              <w:left w:val="single" w:sz="8" w:space="0" w:color="4BACC6"/>
              <w:bottom w:val="single" w:sz="8" w:space="0" w:color="4BACC6"/>
              <w:right w:val="single" w:sz="8" w:space="0" w:color="4BACC6"/>
            </w:tcBorders>
            <w:shd w:val="clear" w:color="auto" w:fill="D2EAF1"/>
            <w:hideMark/>
          </w:tcPr>
          <w:p w14:paraId="4D9AAB63" w14:textId="14660E66" w:rsidR="00973920" w:rsidRDefault="00B36AE8" w:rsidP="00A668BC">
            <w:pPr>
              <w:spacing w:line="240" w:lineRule="atLeast"/>
              <w:jc w:val="left"/>
              <w:rPr>
                <w:rFonts w:ascii="HG丸ｺﾞｼｯｸM-PRO" w:eastAsia="HG丸ｺﾞｼｯｸM-PRO" w:hAnsi="HG丸ｺﾞｼｯｸM-PRO" w:cs="Times New Roman"/>
                <w:sz w:val="16"/>
                <w:szCs w:val="16"/>
              </w:rPr>
            </w:pPr>
            <w:r w:rsidRPr="002C6A58">
              <w:rPr>
                <w:rFonts w:ascii="HG丸ｺﾞｼｯｸM-PRO" w:eastAsia="HG丸ｺﾞｼｯｸM-PRO" w:hAnsi="HG丸ｺﾞｼｯｸM-PRO" w:cs="Times New Roman" w:hint="eastAsia"/>
                <w:sz w:val="16"/>
                <w:szCs w:val="16"/>
              </w:rPr>
              <w:t xml:space="preserve">○受診者のうち、何か症状があったにも関わらず受診した人（注）や高齢者などがんにかかりやすい性・年齢の割合が高かった可能性がある。　　　　　　　　　　　</w:t>
            </w:r>
          </w:p>
          <w:p w14:paraId="6B3CDE22" w14:textId="245E3818" w:rsidR="00B36AE8" w:rsidRPr="002C6A58" w:rsidRDefault="00B36AE8" w:rsidP="00A668BC">
            <w:pPr>
              <w:spacing w:line="240" w:lineRule="atLeast"/>
              <w:jc w:val="left"/>
              <w:rPr>
                <w:rFonts w:ascii="HG丸ｺﾞｼｯｸM-PRO" w:eastAsia="HG丸ｺﾞｼｯｸM-PRO" w:hAnsi="HG丸ｺﾞｼｯｸM-PRO" w:cs="Times New Roman"/>
                <w:sz w:val="16"/>
                <w:szCs w:val="16"/>
              </w:rPr>
            </w:pPr>
            <w:r w:rsidRPr="002C6A58">
              <w:rPr>
                <w:rFonts w:ascii="HG丸ｺﾞｼｯｸM-PRO" w:eastAsia="HG丸ｺﾞｼｯｸM-PRO" w:hAnsi="HG丸ｺﾞｼｯｸM-PRO" w:cs="Times New Roman" w:hint="eastAsia"/>
                <w:sz w:val="16"/>
                <w:szCs w:val="16"/>
              </w:rPr>
              <w:t>○要精検率とがん発見率が低く、かつ陽性反応適中度が高すぎる場合、検診機関が進行がんは発見できていても、早期がんを適切に発見できていない可能性がある。</w:t>
            </w:r>
          </w:p>
        </w:tc>
        <w:tc>
          <w:tcPr>
            <w:tcW w:w="2977" w:type="dxa"/>
            <w:tcBorders>
              <w:top w:val="single" w:sz="8" w:space="0" w:color="4BACC6"/>
              <w:left w:val="single" w:sz="8" w:space="0" w:color="4BACC6"/>
              <w:bottom w:val="single" w:sz="8" w:space="0" w:color="4BACC6"/>
              <w:right w:val="single" w:sz="8" w:space="0" w:color="4BACC6"/>
            </w:tcBorders>
            <w:shd w:val="clear" w:color="auto" w:fill="D2EAF1"/>
            <w:hideMark/>
          </w:tcPr>
          <w:p w14:paraId="1922A71B" w14:textId="77777777" w:rsidR="00B36AE8" w:rsidRPr="002C6A58" w:rsidRDefault="00B36AE8" w:rsidP="00A668BC">
            <w:pPr>
              <w:spacing w:line="240" w:lineRule="atLeast"/>
              <w:jc w:val="left"/>
              <w:rPr>
                <w:rFonts w:ascii="HG丸ｺﾞｼｯｸM-PRO" w:eastAsia="HG丸ｺﾞｼｯｸM-PRO" w:hAnsi="HG丸ｺﾞｼｯｸM-PRO" w:cs="Times New Roman"/>
                <w:sz w:val="16"/>
                <w:szCs w:val="16"/>
              </w:rPr>
            </w:pPr>
            <w:r w:rsidRPr="002C6A58">
              <w:rPr>
                <w:rFonts w:ascii="HG丸ｺﾞｼｯｸM-PRO" w:eastAsia="HG丸ｺﾞｼｯｸM-PRO" w:hAnsi="HG丸ｺﾞｼｯｸM-PRO" w:cs="Times New Roman" w:hint="eastAsia"/>
                <w:sz w:val="16"/>
                <w:szCs w:val="16"/>
              </w:rPr>
              <w:t xml:space="preserve">○精検受診率が低ければ低くなる。　　　　　　　　</w:t>
            </w:r>
          </w:p>
          <w:p w14:paraId="617167E3" w14:textId="77777777" w:rsidR="00B36AE8" w:rsidRPr="002C6A58" w:rsidRDefault="00B36AE8" w:rsidP="00A668BC">
            <w:pPr>
              <w:spacing w:line="240" w:lineRule="atLeast"/>
              <w:jc w:val="left"/>
              <w:rPr>
                <w:rFonts w:ascii="HG丸ｺﾞｼｯｸM-PRO" w:eastAsia="HG丸ｺﾞｼｯｸM-PRO" w:hAnsi="HG丸ｺﾞｼｯｸM-PRO" w:cs="Times New Roman"/>
                <w:sz w:val="16"/>
                <w:szCs w:val="16"/>
              </w:rPr>
            </w:pPr>
            <w:r w:rsidRPr="002C6A58">
              <w:rPr>
                <w:rFonts w:ascii="HG丸ｺﾞｼｯｸM-PRO" w:eastAsia="HG丸ｺﾞｼｯｸM-PRO" w:hAnsi="HG丸ｺﾞｼｯｸM-PRO" w:cs="Times New Roman" w:hint="eastAsia"/>
                <w:sz w:val="16"/>
                <w:szCs w:val="16"/>
              </w:rPr>
              <w:t>○受診者のうち、高齢者などがんにかかりやすい性・年齢の割合が低かった可能性がある。　　　　　　　　　　　　　　　　　　○がんでないのに、がんかもしれないと判定される人が多い可能性がある。</w:t>
            </w:r>
          </w:p>
        </w:tc>
      </w:tr>
    </w:tbl>
    <w:p w14:paraId="0402A8B1" w14:textId="04A5FBCB" w:rsidR="00B36AE8" w:rsidRDefault="00B36AE8" w:rsidP="00B36AE8">
      <w:pPr>
        <w:rPr>
          <w:szCs w:val="21"/>
        </w:rPr>
      </w:pPr>
    </w:p>
    <w:p w14:paraId="3EC745BE" w14:textId="4569F456" w:rsidR="00841902" w:rsidRDefault="00841902" w:rsidP="00841902">
      <w:pPr>
        <w:spacing w:line="320" w:lineRule="exact"/>
        <w:rPr>
          <w:rFonts w:ascii="Century" w:eastAsia="ＭＳ 明朝" w:hAnsi="Century" w:cs="Times New Roman"/>
          <w:sz w:val="18"/>
          <w:szCs w:val="18"/>
        </w:rPr>
      </w:pPr>
      <w:r w:rsidRPr="0079792A">
        <w:rPr>
          <w:rFonts w:ascii="Century" w:eastAsia="ＭＳ 明朝" w:hAnsi="Century" w:cs="Times New Roman" w:hint="eastAsia"/>
          <w:sz w:val="18"/>
          <w:szCs w:val="18"/>
        </w:rPr>
        <w:t>（注）がん検診は、症状のない方のための検査です。明らかな症状のある方には、それぞれの体の状態に応じた適切な</w:t>
      </w:r>
    </w:p>
    <w:p w14:paraId="7DCB6D86" w14:textId="77777777" w:rsidR="00841902" w:rsidRPr="0079792A" w:rsidRDefault="00841902" w:rsidP="00841902">
      <w:pPr>
        <w:spacing w:line="320" w:lineRule="exact"/>
        <w:ind w:firstLineChars="300" w:firstLine="540"/>
        <w:rPr>
          <w:rFonts w:ascii="Century" w:eastAsia="ＭＳ 明朝" w:hAnsi="Century" w:cs="Times New Roman"/>
          <w:sz w:val="18"/>
          <w:szCs w:val="18"/>
        </w:rPr>
      </w:pPr>
      <w:r w:rsidRPr="0079792A">
        <w:rPr>
          <w:rFonts w:ascii="Century" w:eastAsia="ＭＳ 明朝" w:hAnsi="Century" w:cs="Times New Roman" w:hint="eastAsia"/>
          <w:sz w:val="18"/>
          <w:szCs w:val="18"/>
        </w:rPr>
        <w:t>検査や治療が必要になります。症状のある場合は、必ず医療機関を受診してください。</w:t>
      </w:r>
    </w:p>
    <w:p w14:paraId="3317C01B" w14:textId="77777777" w:rsidR="00973920" w:rsidRPr="00841902" w:rsidRDefault="00973920" w:rsidP="00DB2B44">
      <w:pPr>
        <w:rPr>
          <w:rFonts w:ascii="Century" w:eastAsia="ＭＳ 明朝" w:hAnsi="Century" w:cs="Times New Roman"/>
          <w:b/>
          <w:sz w:val="18"/>
          <w:szCs w:val="18"/>
        </w:rPr>
      </w:pPr>
    </w:p>
    <w:p w14:paraId="599B383E" w14:textId="77777777" w:rsidR="00973920" w:rsidRDefault="00973920" w:rsidP="00DB2B44">
      <w:pPr>
        <w:rPr>
          <w:rFonts w:ascii="Century" w:eastAsia="ＭＳ 明朝" w:hAnsi="Century" w:cs="Times New Roman"/>
          <w:b/>
          <w:sz w:val="18"/>
          <w:szCs w:val="18"/>
        </w:rPr>
      </w:pPr>
    </w:p>
    <w:p w14:paraId="771F28AB" w14:textId="77777777" w:rsidR="00973920" w:rsidRDefault="00973920" w:rsidP="00DB2B44">
      <w:pPr>
        <w:rPr>
          <w:rFonts w:ascii="Century" w:eastAsia="ＭＳ 明朝" w:hAnsi="Century" w:cs="Times New Roman"/>
          <w:b/>
          <w:sz w:val="18"/>
          <w:szCs w:val="18"/>
        </w:rPr>
      </w:pPr>
    </w:p>
    <w:p w14:paraId="13F3E912" w14:textId="2595347A" w:rsidR="00973920" w:rsidRDefault="00973920" w:rsidP="00DB2B44">
      <w:pPr>
        <w:rPr>
          <w:rFonts w:ascii="Century" w:eastAsia="ＭＳ 明朝" w:hAnsi="Century" w:cs="Times New Roman"/>
          <w:b/>
          <w:sz w:val="18"/>
          <w:szCs w:val="18"/>
        </w:rPr>
      </w:pPr>
    </w:p>
    <w:p w14:paraId="50C2EDEC" w14:textId="77777777" w:rsidR="00973920" w:rsidRDefault="00973920" w:rsidP="00DB2B44">
      <w:pPr>
        <w:rPr>
          <w:rFonts w:ascii="Century" w:eastAsia="ＭＳ 明朝" w:hAnsi="Century" w:cs="Times New Roman"/>
          <w:b/>
          <w:sz w:val="18"/>
          <w:szCs w:val="18"/>
        </w:rPr>
      </w:pPr>
    </w:p>
    <w:p w14:paraId="4B163F1B" w14:textId="77777777" w:rsidR="00973920" w:rsidRDefault="00973920" w:rsidP="00DB2B44">
      <w:pPr>
        <w:rPr>
          <w:rFonts w:ascii="Century" w:eastAsia="ＭＳ 明朝" w:hAnsi="Century" w:cs="Times New Roman"/>
          <w:b/>
          <w:sz w:val="18"/>
          <w:szCs w:val="18"/>
        </w:rPr>
      </w:pPr>
    </w:p>
    <w:p w14:paraId="5652422E" w14:textId="77777777" w:rsidR="00973920" w:rsidRDefault="00973920" w:rsidP="00DB2B44">
      <w:pPr>
        <w:rPr>
          <w:rFonts w:ascii="Century" w:eastAsia="ＭＳ 明朝" w:hAnsi="Century" w:cs="Times New Roman"/>
          <w:b/>
          <w:sz w:val="18"/>
          <w:szCs w:val="18"/>
        </w:rPr>
      </w:pPr>
    </w:p>
    <w:p w14:paraId="20197C27" w14:textId="77777777" w:rsidR="00973920" w:rsidRDefault="00973920" w:rsidP="00DB2B44">
      <w:pPr>
        <w:rPr>
          <w:rFonts w:ascii="Century" w:eastAsia="ＭＳ 明朝" w:hAnsi="Century" w:cs="Times New Roman"/>
          <w:b/>
          <w:sz w:val="18"/>
          <w:szCs w:val="18"/>
        </w:rPr>
      </w:pPr>
    </w:p>
    <w:p w14:paraId="42FEF776" w14:textId="77454E9F" w:rsidR="00973920" w:rsidRDefault="00973920" w:rsidP="00DB2B44">
      <w:pPr>
        <w:rPr>
          <w:rFonts w:ascii="Century" w:eastAsia="ＭＳ 明朝" w:hAnsi="Century" w:cs="Times New Roman"/>
          <w:b/>
          <w:sz w:val="18"/>
          <w:szCs w:val="18"/>
        </w:rPr>
      </w:pPr>
    </w:p>
    <w:p w14:paraId="1DF17D4E" w14:textId="77777777" w:rsidR="00973920" w:rsidRDefault="00973920" w:rsidP="00DB2B44">
      <w:pPr>
        <w:rPr>
          <w:rFonts w:ascii="Century" w:eastAsia="ＭＳ 明朝" w:hAnsi="Century" w:cs="Times New Roman"/>
          <w:b/>
          <w:sz w:val="18"/>
          <w:szCs w:val="18"/>
        </w:rPr>
      </w:pPr>
    </w:p>
    <w:p w14:paraId="092695B2" w14:textId="4A684A26" w:rsidR="00DB2B44" w:rsidRPr="00DB2B44" w:rsidRDefault="00DB2B44" w:rsidP="00DB2B44">
      <w:pPr>
        <w:rPr>
          <w:rFonts w:ascii="Century" w:eastAsia="ＭＳ 明朝" w:hAnsi="Century" w:cs="Times New Roman"/>
          <w:b/>
          <w:sz w:val="18"/>
          <w:szCs w:val="18"/>
        </w:rPr>
      </w:pPr>
      <w:r w:rsidRPr="00DB2B44">
        <w:rPr>
          <w:rFonts w:ascii="Century" w:eastAsia="ＭＳ 明朝" w:hAnsi="Century" w:cs="Times New Roman" w:hint="eastAsia"/>
          <w:b/>
          <w:sz w:val="18"/>
          <w:szCs w:val="18"/>
        </w:rPr>
        <w:t>※このグラフで掲載している全国平均、大阪府平均、許容値のデータ基は以下の通りです。</w:t>
      </w:r>
    </w:p>
    <w:p w14:paraId="28498809" w14:textId="54E61D1F" w:rsidR="00DB2B44" w:rsidRPr="00DB2B44" w:rsidRDefault="00DB2B44" w:rsidP="00DB2B44">
      <w:pPr>
        <w:rPr>
          <w:rFonts w:ascii="Century" w:eastAsia="ＭＳ 明朝" w:hAnsi="Century" w:cs="Times New Roman"/>
          <w:b/>
          <w:sz w:val="18"/>
          <w:szCs w:val="18"/>
        </w:rPr>
      </w:pPr>
      <w:r w:rsidRPr="00DB2B44">
        <w:rPr>
          <w:rFonts w:ascii="Century" w:eastAsia="ＭＳ 明朝" w:hAnsi="Century" w:cs="Times New Roman" w:hint="eastAsia"/>
          <w:b/>
          <w:sz w:val="18"/>
          <w:szCs w:val="18"/>
        </w:rPr>
        <w:t xml:space="preserve">　【大阪府平均】大阪府におけるがん検診（</w:t>
      </w:r>
      <w:r w:rsidR="004F14FF">
        <w:rPr>
          <w:rFonts w:ascii="Century" w:eastAsia="ＭＳ 明朝" w:hAnsi="Century" w:cs="Times New Roman" w:hint="eastAsia"/>
          <w:b/>
          <w:sz w:val="18"/>
          <w:szCs w:val="18"/>
        </w:rPr>
        <w:t>令和</w:t>
      </w:r>
      <w:r w:rsidR="00B775AC">
        <w:rPr>
          <w:rFonts w:ascii="Century" w:eastAsia="ＭＳ 明朝" w:hAnsi="Century" w:cs="Times New Roman" w:hint="eastAsia"/>
          <w:b/>
          <w:sz w:val="18"/>
          <w:szCs w:val="18"/>
        </w:rPr>
        <w:t>５</w:t>
      </w:r>
      <w:r w:rsidRPr="00DB2B44">
        <w:rPr>
          <w:rFonts w:ascii="Century" w:eastAsia="ＭＳ 明朝" w:hAnsi="Century" w:cs="Times New Roman" w:hint="eastAsia"/>
          <w:b/>
          <w:sz w:val="18"/>
          <w:szCs w:val="18"/>
        </w:rPr>
        <w:t>年度）</w:t>
      </w:r>
    </w:p>
    <w:p w14:paraId="27F487DB" w14:textId="02FAB45F" w:rsidR="00DB2B44" w:rsidRPr="00DB2B44" w:rsidRDefault="00DB2B44" w:rsidP="00DB2B44">
      <w:pPr>
        <w:rPr>
          <w:rFonts w:ascii="Century" w:eastAsia="ＭＳ 明朝" w:hAnsi="Century" w:cs="Times New Roman"/>
          <w:b/>
          <w:sz w:val="18"/>
          <w:szCs w:val="18"/>
        </w:rPr>
      </w:pPr>
      <w:r w:rsidRPr="00DB2B44">
        <w:rPr>
          <w:rFonts w:ascii="Century" w:eastAsia="ＭＳ 明朝" w:hAnsi="Century" w:cs="Times New Roman" w:hint="eastAsia"/>
          <w:b/>
          <w:sz w:val="18"/>
          <w:szCs w:val="18"/>
        </w:rPr>
        <w:t xml:space="preserve">　【</w:t>
      </w:r>
      <w:r w:rsidR="00604F38">
        <w:rPr>
          <w:rFonts w:ascii="Century" w:eastAsia="ＭＳ 明朝" w:hAnsi="Century" w:cs="Times New Roman" w:hint="eastAsia"/>
          <w:b/>
          <w:sz w:val="18"/>
          <w:szCs w:val="18"/>
        </w:rPr>
        <w:t>基準</w:t>
      </w:r>
      <w:r w:rsidRPr="00DB2B44">
        <w:rPr>
          <w:rFonts w:ascii="Century" w:eastAsia="ＭＳ 明朝" w:hAnsi="Century" w:cs="Times New Roman" w:hint="eastAsia"/>
          <w:b/>
          <w:sz w:val="18"/>
          <w:szCs w:val="18"/>
        </w:rPr>
        <w:t>値】「がん検診事業の</w:t>
      </w:r>
      <w:r w:rsidR="00604F38">
        <w:rPr>
          <w:rFonts w:ascii="Century" w:eastAsia="ＭＳ 明朝" w:hAnsi="Century" w:cs="Times New Roman" w:hint="eastAsia"/>
          <w:b/>
          <w:sz w:val="18"/>
          <w:szCs w:val="18"/>
        </w:rPr>
        <w:t>あ</w:t>
      </w:r>
      <w:r w:rsidRPr="00DB2B44">
        <w:rPr>
          <w:rFonts w:ascii="Century" w:eastAsia="ＭＳ 明朝" w:hAnsi="Century" w:cs="Times New Roman" w:hint="eastAsia"/>
          <w:b/>
          <w:sz w:val="18"/>
          <w:szCs w:val="18"/>
        </w:rPr>
        <w:t>り方について（報告書）」から抜粋</w:t>
      </w:r>
    </w:p>
    <w:p w14:paraId="6B0C9414" w14:textId="77777777" w:rsidR="00DB2B44" w:rsidRPr="00DB2B44" w:rsidRDefault="00DB2B44">
      <w:pPr>
        <w:rPr>
          <w:szCs w:val="21"/>
        </w:rPr>
      </w:pPr>
    </w:p>
    <w:sectPr w:rsidR="00DB2B44" w:rsidRPr="00DB2B44" w:rsidSect="0048634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56AFA" w14:textId="77777777" w:rsidR="0079792A" w:rsidRDefault="0079792A" w:rsidP="0079792A">
      <w:r>
        <w:separator/>
      </w:r>
    </w:p>
  </w:endnote>
  <w:endnote w:type="continuationSeparator" w:id="0">
    <w:p w14:paraId="4EC45B69" w14:textId="77777777" w:rsidR="0079792A" w:rsidRDefault="0079792A" w:rsidP="00797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n-cs">
    <w:panose1 w:val="00000000000000000000"/>
    <w:charset w:val="00"/>
    <w:family w:val="roman"/>
    <w:notTrueType/>
    <w:pitch w:val="default"/>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BCC1B" w14:textId="77777777" w:rsidR="0079792A" w:rsidRDefault="0079792A" w:rsidP="0079792A">
      <w:r>
        <w:separator/>
      </w:r>
    </w:p>
  </w:footnote>
  <w:footnote w:type="continuationSeparator" w:id="0">
    <w:p w14:paraId="7E6827BF" w14:textId="77777777" w:rsidR="0079792A" w:rsidRDefault="0079792A" w:rsidP="007979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6343"/>
    <w:rsid w:val="00033AA2"/>
    <w:rsid w:val="0016009E"/>
    <w:rsid w:val="001754C5"/>
    <w:rsid w:val="001B2184"/>
    <w:rsid w:val="00221844"/>
    <w:rsid w:val="00267285"/>
    <w:rsid w:val="002C299B"/>
    <w:rsid w:val="002C6A58"/>
    <w:rsid w:val="00393C5A"/>
    <w:rsid w:val="003D3F44"/>
    <w:rsid w:val="00457EDC"/>
    <w:rsid w:val="00486343"/>
    <w:rsid w:val="004958D5"/>
    <w:rsid w:val="004F14FF"/>
    <w:rsid w:val="00531675"/>
    <w:rsid w:val="00604F38"/>
    <w:rsid w:val="006643AA"/>
    <w:rsid w:val="006A6FAB"/>
    <w:rsid w:val="006B6AEF"/>
    <w:rsid w:val="006D7A43"/>
    <w:rsid w:val="00702AFA"/>
    <w:rsid w:val="00723BAD"/>
    <w:rsid w:val="00733EAB"/>
    <w:rsid w:val="00737E2B"/>
    <w:rsid w:val="00751554"/>
    <w:rsid w:val="00787517"/>
    <w:rsid w:val="0079792A"/>
    <w:rsid w:val="008379C0"/>
    <w:rsid w:val="00841902"/>
    <w:rsid w:val="00846EE7"/>
    <w:rsid w:val="008F54C3"/>
    <w:rsid w:val="00973920"/>
    <w:rsid w:val="00A27C9F"/>
    <w:rsid w:val="00A47573"/>
    <w:rsid w:val="00A54F57"/>
    <w:rsid w:val="00A668BC"/>
    <w:rsid w:val="00A71266"/>
    <w:rsid w:val="00AC74BC"/>
    <w:rsid w:val="00B10E44"/>
    <w:rsid w:val="00B14C9E"/>
    <w:rsid w:val="00B36AE8"/>
    <w:rsid w:val="00B5320B"/>
    <w:rsid w:val="00B775AC"/>
    <w:rsid w:val="00BD424C"/>
    <w:rsid w:val="00C454A7"/>
    <w:rsid w:val="00C76CF2"/>
    <w:rsid w:val="00CA0BD9"/>
    <w:rsid w:val="00CE0EBF"/>
    <w:rsid w:val="00D60FEB"/>
    <w:rsid w:val="00D876F5"/>
    <w:rsid w:val="00DA7E3B"/>
    <w:rsid w:val="00DB2B44"/>
    <w:rsid w:val="00DF2AF1"/>
    <w:rsid w:val="00EB1008"/>
    <w:rsid w:val="00EE2AF2"/>
    <w:rsid w:val="00FA561E"/>
    <w:rsid w:val="00FC6F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12A9D13E"/>
  <w15:docId w15:val="{F9F9B599-67DC-40F7-BC76-369C79751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634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86343"/>
    <w:rPr>
      <w:rFonts w:asciiTheme="majorHAnsi" w:eastAsiaTheme="majorEastAsia" w:hAnsiTheme="majorHAnsi" w:cstheme="majorBidi"/>
      <w:sz w:val="18"/>
      <w:szCs w:val="18"/>
    </w:rPr>
  </w:style>
  <w:style w:type="paragraph" w:styleId="a5">
    <w:name w:val="header"/>
    <w:basedOn w:val="a"/>
    <w:link w:val="a6"/>
    <w:uiPriority w:val="99"/>
    <w:unhideWhenUsed/>
    <w:rsid w:val="0079792A"/>
    <w:pPr>
      <w:tabs>
        <w:tab w:val="center" w:pos="4252"/>
        <w:tab w:val="right" w:pos="8504"/>
      </w:tabs>
      <w:snapToGrid w:val="0"/>
    </w:pPr>
  </w:style>
  <w:style w:type="character" w:customStyle="1" w:styleId="a6">
    <w:name w:val="ヘッダー (文字)"/>
    <w:basedOn w:val="a0"/>
    <w:link w:val="a5"/>
    <w:uiPriority w:val="99"/>
    <w:rsid w:val="0079792A"/>
  </w:style>
  <w:style w:type="paragraph" w:styleId="a7">
    <w:name w:val="footer"/>
    <w:basedOn w:val="a"/>
    <w:link w:val="a8"/>
    <w:uiPriority w:val="99"/>
    <w:unhideWhenUsed/>
    <w:rsid w:val="0079792A"/>
    <w:pPr>
      <w:tabs>
        <w:tab w:val="center" w:pos="4252"/>
        <w:tab w:val="right" w:pos="8504"/>
      </w:tabs>
      <w:snapToGrid w:val="0"/>
    </w:pPr>
  </w:style>
  <w:style w:type="character" w:customStyle="1" w:styleId="a8">
    <w:name w:val="フッター (文字)"/>
    <w:basedOn w:val="a0"/>
    <w:link w:val="a7"/>
    <w:uiPriority w:val="99"/>
    <w:rsid w:val="0079792A"/>
  </w:style>
  <w:style w:type="paragraph" w:styleId="Web">
    <w:name w:val="Normal (Web)"/>
    <w:basedOn w:val="a"/>
    <w:uiPriority w:val="99"/>
    <w:semiHidden/>
    <w:unhideWhenUsed/>
    <w:rsid w:val="00EB100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4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ＭＳ Ｐゴシック" panose="020B0600070205080204" pitchFamily="50" charset="-128"/>
                <a:ea typeface="ＭＳ Ｐゴシック" panose="020B0600070205080204" pitchFamily="50" charset="-128"/>
                <a:cs typeface="+mn-cs"/>
              </a:defRPr>
            </a:pPr>
            <a:r>
              <a:rPr lang="ja-JP" altLang="en-US">
                <a:latin typeface="ＭＳ Ｐゴシック" panose="020B0600070205080204" pitchFamily="50" charset="-128"/>
                <a:ea typeface="ＭＳ Ｐゴシック" panose="020B0600070205080204" pitchFamily="50" charset="-128"/>
              </a:rPr>
              <a:t>大腸がん検診　受診率（</a:t>
            </a:r>
            <a:r>
              <a:rPr lang="en-US" altLang="ja-JP">
                <a:latin typeface="ＭＳ Ｐゴシック" panose="020B0600070205080204" pitchFamily="50" charset="-128"/>
                <a:ea typeface="ＭＳ Ｐゴシック" panose="020B0600070205080204" pitchFamily="50" charset="-128"/>
              </a:rPr>
              <a:t>40-69</a:t>
            </a:r>
            <a:r>
              <a:rPr lang="ja-JP" altLang="en-US">
                <a:latin typeface="ＭＳ Ｐゴシック" panose="020B0600070205080204" pitchFamily="50" charset="-128"/>
                <a:ea typeface="ＭＳ Ｐゴシック" panose="020B0600070205080204" pitchFamily="50" charset="-128"/>
              </a:rPr>
              <a:t>歳）</a:t>
            </a:r>
          </a:p>
        </c:rich>
      </c:tx>
      <c:overlay val="1"/>
    </c:title>
    <c:autoTitleDeleted val="0"/>
    <c:plotArea>
      <c:layout>
        <c:manualLayout>
          <c:layoutTarget val="inner"/>
          <c:xMode val="edge"/>
          <c:yMode val="edge"/>
          <c:x val="5.2547457594015384E-2"/>
          <c:y val="0.14291570402257991"/>
          <c:w val="0.90462429316016835"/>
          <c:h val="0.63015886748346939"/>
        </c:manualLayout>
      </c:layout>
      <c:barChart>
        <c:barDir val="col"/>
        <c:grouping val="clustered"/>
        <c:varyColors val="0"/>
        <c:ser>
          <c:idx val="0"/>
          <c:order val="0"/>
          <c:spPr>
            <a:gradFill>
              <a:gsLst>
                <a:gs pos="0">
                  <a:srgbClr val="5E9EFF"/>
                </a:gs>
                <a:gs pos="39999">
                  <a:srgbClr val="85C2FF"/>
                </a:gs>
                <a:gs pos="70000">
                  <a:srgbClr val="C4D6EB"/>
                </a:gs>
                <a:gs pos="100000">
                  <a:srgbClr val="FFEBFA"/>
                </a:gs>
              </a:gsLst>
              <a:lin ang="5400000" scaled="0"/>
            </a:gradFill>
            <a:ln w="12700">
              <a:solidFill>
                <a:sysClr val="windowText" lastClr="000000"/>
              </a:solidFill>
            </a:ln>
          </c:spPr>
          <c:invertIfNegative val="0"/>
          <c:cat>
            <c:strRef>
              <c:f>大腸がん検診受診率ランキング!$G$2:$G$44</c:f>
              <c:strCache>
                <c:ptCount val="43"/>
                <c:pt idx="0">
                  <c:v>太子町</c:v>
                </c:pt>
                <c:pt idx="1">
                  <c:v>田尻町</c:v>
                </c:pt>
                <c:pt idx="2">
                  <c:v>箕面市</c:v>
                </c:pt>
                <c:pt idx="3">
                  <c:v>和泉市</c:v>
                </c:pt>
                <c:pt idx="4">
                  <c:v>松原市</c:v>
                </c:pt>
                <c:pt idx="5">
                  <c:v>高槻市</c:v>
                </c:pt>
                <c:pt idx="6">
                  <c:v>能勢町</c:v>
                </c:pt>
                <c:pt idx="7">
                  <c:v>千早赤阪村</c:v>
                </c:pt>
                <c:pt idx="8">
                  <c:v>河南町</c:v>
                </c:pt>
                <c:pt idx="9">
                  <c:v>河内長野市</c:v>
                </c:pt>
                <c:pt idx="10">
                  <c:v>泉大津市</c:v>
                </c:pt>
                <c:pt idx="11">
                  <c:v>岸和田市</c:v>
                </c:pt>
                <c:pt idx="12">
                  <c:v>八尾市</c:v>
                </c:pt>
                <c:pt idx="13">
                  <c:v>茨木市</c:v>
                </c:pt>
                <c:pt idx="14">
                  <c:v>枚方市</c:v>
                </c:pt>
                <c:pt idx="15">
                  <c:v>交野市</c:v>
                </c:pt>
                <c:pt idx="16">
                  <c:v>大東市</c:v>
                </c:pt>
                <c:pt idx="17">
                  <c:v>吹田市</c:v>
                </c:pt>
                <c:pt idx="18">
                  <c:v>島本町</c:v>
                </c:pt>
                <c:pt idx="19">
                  <c:v>忠岡町</c:v>
                </c:pt>
                <c:pt idx="20">
                  <c:v>富田林市</c:v>
                </c:pt>
                <c:pt idx="21">
                  <c:v>大阪狭山市</c:v>
                </c:pt>
                <c:pt idx="22">
                  <c:v>熊取町</c:v>
                </c:pt>
                <c:pt idx="23">
                  <c:v>貝塚市</c:v>
                </c:pt>
                <c:pt idx="24">
                  <c:v>羽曳野市</c:v>
                </c:pt>
                <c:pt idx="25">
                  <c:v>豊中市</c:v>
                </c:pt>
                <c:pt idx="26">
                  <c:v>摂津市</c:v>
                </c:pt>
                <c:pt idx="27">
                  <c:v>東大阪市</c:v>
                </c:pt>
                <c:pt idx="28">
                  <c:v>高石市</c:v>
                </c:pt>
                <c:pt idx="29">
                  <c:v>藤井寺市</c:v>
                </c:pt>
                <c:pt idx="30">
                  <c:v>柏原市</c:v>
                </c:pt>
                <c:pt idx="31">
                  <c:v>堺市</c:v>
                </c:pt>
                <c:pt idx="32">
                  <c:v>泉南市</c:v>
                </c:pt>
                <c:pt idx="33">
                  <c:v>岬町</c:v>
                </c:pt>
                <c:pt idx="34">
                  <c:v>阪南市</c:v>
                </c:pt>
                <c:pt idx="35">
                  <c:v>豊能町</c:v>
                </c:pt>
                <c:pt idx="36">
                  <c:v>四條畷市</c:v>
                </c:pt>
                <c:pt idx="37">
                  <c:v>守口市</c:v>
                </c:pt>
                <c:pt idx="38">
                  <c:v>泉佐野市</c:v>
                </c:pt>
                <c:pt idx="39">
                  <c:v>寝屋川市</c:v>
                </c:pt>
                <c:pt idx="40">
                  <c:v>池田市</c:v>
                </c:pt>
                <c:pt idx="41">
                  <c:v>大阪市</c:v>
                </c:pt>
                <c:pt idx="42">
                  <c:v>門真市</c:v>
                </c:pt>
              </c:strCache>
            </c:strRef>
          </c:cat>
          <c:val>
            <c:numRef>
              <c:f>大腸がん検診受診率ランキング!$H$2:$H$44</c:f>
              <c:numCache>
                <c:formatCode>0.0</c:formatCode>
                <c:ptCount val="43"/>
                <c:pt idx="0">
                  <c:v>10.658728634530441</c:v>
                </c:pt>
                <c:pt idx="1">
                  <c:v>10.155239327296249</c:v>
                </c:pt>
                <c:pt idx="2">
                  <c:v>9.607700690156193</c:v>
                </c:pt>
                <c:pt idx="3">
                  <c:v>8.8136863805520598</c:v>
                </c:pt>
                <c:pt idx="4">
                  <c:v>8.4494735462449206</c:v>
                </c:pt>
                <c:pt idx="5">
                  <c:v>8.3692118443019066</c:v>
                </c:pt>
                <c:pt idx="6">
                  <c:v>8.3163784333672428</c:v>
                </c:pt>
                <c:pt idx="7">
                  <c:v>8.1656124209315699</c:v>
                </c:pt>
                <c:pt idx="8">
                  <c:v>8.0438448566610443</c:v>
                </c:pt>
                <c:pt idx="9">
                  <c:v>7.2971528890924358</c:v>
                </c:pt>
                <c:pt idx="10">
                  <c:v>6.9065622468268977</c:v>
                </c:pt>
                <c:pt idx="11">
                  <c:v>6.7788190435272959</c:v>
                </c:pt>
                <c:pt idx="12">
                  <c:v>6.6548607482242739</c:v>
                </c:pt>
                <c:pt idx="13">
                  <c:v>6.6048822178302435</c:v>
                </c:pt>
                <c:pt idx="14">
                  <c:v>6.4458444176244969</c:v>
                </c:pt>
                <c:pt idx="15">
                  <c:v>6.3512153960990494</c:v>
                </c:pt>
                <c:pt idx="16">
                  <c:v>6.2506705576894195</c:v>
                </c:pt>
                <c:pt idx="17">
                  <c:v>6.1899643757647036</c:v>
                </c:pt>
                <c:pt idx="18">
                  <c:v>6.1857313670785175</c:v>
                </c:pt>
                <c:pt idx="19">
                  <c:v>6.0624711494076013</c:v>
                </c:pt>
                <c:pt idx="20">
                  <c:v>5.9695897664175437</c:v>
                </c:pt>
                <c:pt idx="21">
                  <c:v>5.8922708314846037</c:v>
                </c:pt>
                <c:pt idx="22">
                  <c:v>5.862457722660654</c:v>
                </c:pt>
                <c:pt idx="23">
                  <c:v>5.8595139300533488</c:v>
                </c:pt>
                <c:pt idx="24">
                  <c:v>5.810751394256358</c:v>
                </c:pt>
                <c:pt idx="25">
                  <c:v>5.7588772238944772</c:v>
                </c:pt>
                <c:pt idx="26">
                  <c:v>5.753383458646617</c:v>
                </c:pt>
                <c:pt idx="27">
                  <c:v>5.6400384985563035</c:v>
                </c:pt>
                <c:pt idx="28">
                  <c:v>5.5491019569296762</c:v>
                </c:pt>
                <c:pt idx="29">
                  <c:v>5.4413160392280924</c:v>
                </c:pt>
                <c:pt idx="30">
                  <c:v>5.315765561108587</c:v>
                </c:pt>
                <c:pt idx="31">
                  <c:v>5.1769170805032498</c:v>
                </c:pt>
                <c:pt idx="32">
                  <c:v>5.1478546997445553</c:v>
                </c:pt>
                <c:pt idx="33">
                  <c:v>5.0534169916906899</c:v>
                </c:pt>
                <c:pt idx="34">
                  <c:v>4.9951409135082603</c:v>
                </c:pt>
                <c:pt idx="35">
                  <c:v>4.8780487804878048</c:v>
                </c:pt>
                <c:pt idx="36">
                  <c:v>4.6967540516964323</c:v>
                </c:pt>
                <c:pt idx="37">
                  <c:v>4.2823099389009336</c:v>
                </c:pt>
                <c:pt idx="38">
                  <c:v>4.0759423081797674</c:v>
                </c:pt>
                <c:pt idx="39">
                  <c:v>3.730807863395035</c:v>
                </c:pt>
                <c:pt idx="40">
                  <c:v>3.4946104247674361</c:v>
                </c:pt>
                <c:pt idx="41">
                  <c:v>3.055283275040904</c:v>
                </c:pt>
                <c:pt idx="42">
                  <c:v>3.0183920126116659</c:v>
                </c:pt>
              </c:numCache>
            </c:numRef>
          </c:val>
          <c:extLst>
            <c:ext xmlns:c16="http://schemas.microsoft.com/office/drawing/2014/chart" uri="{C3380CC4-5D6E-409C-BE32-E72D297353CC}">
              <c16:uniqueId val="{00000000-D846-4A87-BEB2-777E6DE435D4}"/>
            </c:ext>
          </c:extLst>
        </c:ser>
        <c:dLbls>
          <c:showLegendKey val="0"/>
          <c:showVal val="0"/>
          <c:showCatName val="0"/>
          <c:showSerName val="0"/>
          <c:showPercent val="0"/>
          <c:showBubbleSize val="0"/>
        </c:dLbls>
        <c:gapWidth val="150"/>
        <c:axId val="649132448"/>
        <c:axId val="649132840"/>
      </c:barChart>
      <c:lineChart>
        <c:grouping val="standard"/>
        <c:varyColors val="0"/>
        <c:ser>
          <c:idx val="1"/>
          <c:order val="1"/>
          <c:spPr>
            <a:ln w="19050">
              <a:solidFill>
                <a:sysClr val="windowText" lastClr="000000"/>
              </a:solidFill>
            </a:ln>
          </c:spPr>
          <c:marker>
            <c:symbol val="none"/>
          </c:marker>
          <c:cat>
            <c:strRef>
              <c:f>大腸がん検診受診率ランキング!$G$2:$G$44</c:f>
              <c:strCache>
                <c:ptCount val="43"/>
                <c:pt idx="0">
                  <c:v>太子町</c:v>
                </c:pt>
                <c:pt idx="1">
                  <c:v>田尻町</c:v>
                </c:pt>
                <c:pt idx="2">
                  <c:v>箕面市</c:v>
                </c:pt>
                <c:pt idx="3">
                  <c:v>和泉市</c:v>
                </c:pt>
                <c:pt idx="4">
                  <c:v>松原市</c:v>
                </c:pt>
                <c:pt idx="5">
                  <c:v>高槻市</c:v>
                </c:pt>
                <c:pt idx="6">
                  <c:v>能勢町</c:v>
                </c:pt>
                <c:pt idx="7">
                  <c:v>千早赤阪村</c:v>
                </c:pt>
                <c:pt idx="8">
                  <c:v>河南町</c:v>
                </c:pt>
                <c:pt idx="9">
                  <c:v>河内長野市</c:v>
                </c:pt>
                <c:pt idx="10">
                  <c:v>泉大津市</c:v>
                </c:pt>
                <c:pt idx="11">
                  <c:v>岸和田市</c:v>
                </c:pt>
                <c:pt idx="12">
                  <c:v>八尾市</c:v>
                </c:pt>
                <c:pt idx="13">
                  <c:v>茨木市</c:v>
                </c:pt>
                <c:pt idx="14">
                  <c:v>枚方市</c:v>
                </c:pt>
                <c:pt idx="15">
                  <c:v>交野市</c:v>
                </c:pt>
                <c:pt idx="16">
                  <c:v>大東市</c:v>
                </c:pt>
                <c:pt idx="17">
                  <c:v>吹田市</c:v>
                </c:pt>
                <c:pt idx="18">
                  <c:v>島本町</c:v>
                </c:pt>
                <c:pt idx="19">
                  <c:v>忠岡町</c:v>
                </c:pt>
                <c:pt idx="20">
                  <c:v>富田林市</c:v>
                </c:pt>
                <c:pt idx="21">
                  <c:v>大阪狭山市</c:v>
                </c:pt>
                <c:pt idx="22">
                  <c:v>熊取町</c:v>
                </c:pt>
                <c:pt idx="23">
                  <c:v>貝塚市</c:v>
                </c:pt>
                <c:pt idx="24">
                  <c:v>羽曳野市</c:v>
                </c:pt>
                <c:pt idx="25">
                  <c:v>豊中市</c:v>
                </c:pt>
                <c:pt idx="26">
                  <c:v>摂津市</c:v>
                </c:pt>
                <c:pt idx="27">
                  <c:v>東大阪市</c:v>
                </c:pt>
                <c:pt idx="28">
                  <c:v>高石市</c:v>
                </c:pt>
                <c:pt idx="29">
                  <c:v>藤井寺市</c:v>
                </c:pt>
                <c:pt idx="30">
                  <c:v>柏原市</c:v>
                </c:pt>
                <c:pt idx="31">
                  <c:v>堺市</c:v>
                </c:pt>
                <c:pt idx="32">
                  <c:v>泉南市</c:v>
                </c:pt>
                <c:pt idx="33">
                  <c:v>岬町</c:v>
                </c:pt>
                <c:pt idx="34">
                  <c:v>阪南市</c:v>
                </c:pt>
                <c:pt idx="35">
                  <c:v>豊能町</c:v>
                </c:pt>
                <c:pt idx="36">
                  <c:v>四條畷市</c:v>
                </c:pt>
                <c:pt idx="37">
                  <c:v>守口市</c:v>
                </c:pt>
                <c:pt idx="38">
                  <c:v>泉佐野市</c:v>
                </c:pt>
                <c:pt idx="39">
                  <c:v>寝屋川市</c:v>
                </c:pt>
                <c:pt idx="40">
                  <c:v>池田市</c:v>
                </c:pt>
                <c:pt idx="41">
                  <c:v>大阪市</c:v>
                </c:pt>
                <c:pt idx="42">
                  <c:v>門真市</c:v>
                </c:pt>
              </c:strCache>
            </c:strRef>
          </c:cat>
          <c:val>
            <c:numRef>
              <c:f>大腸がん検診受診率ランキング!$I$2:$I$44</c:f>
              <c:numCache>
                <c:formatCode>0.0_);[Red]\(0.0\)</c:formatCode>
                <c:ptCount val="43"/>
                <c:pt idx="0">
                  <c:v>5.0999999999999996</c:v>
                </c:pt>
                <c:pt idx="1">
                  <c:v>5.0999999999999996</c:v>
                </c:pt>
                <c:pt idx="2">
                  <c:v>5.0999999999999996</c:v>
                </c:pt>
                <c:pt idx="3">
                  <c:v>5.0999999999999996</c:v>
                </c:pt>
                <c:pt idx="4">
                  <c:v>5.0999999999999996</c:v>
                </c:pt>
                <c:pt idx="5">
                  <c:v>5.0999999999999996</c:v>
                </c:pt>
                <c:pt idx="6">
                  <c:v>5.0999999999999996</c:v>
                </c:pt>
                <c:pt idx="7">
                  <c:v>5.0999999999999996</c:v>
                </c:pt>
                <c:pt idx="8">
                  <c:v>5.0999999999999996</c:v>
                </c:pt>
                <c:pt idx="9">
                  <c:v>5.0999999999999996</c:v>
                </c:pt>
                <c:pt idx="10">
                  <c:v>5.0999999999999996</c:v>
                </c:pt>
                <c:pt idx="11">
                  <c:v>5.0999999999999996</c:v>
                </c:pt>
                <c:pt idx="12">
                  <c:v>5.0999999999999996</c:v>
                </c:pt>
                <c:pt idx="13">
                  <c:v>5.0999999999999996</c:v>
                </c:pt>
                <c:pt idx="14">
                  <c:v>5.0999999999999996</c:v>
                </c:pt>
                <c:pt idx="15">
                  <c:v>5.0999999999999996</c:v>
                </c:pt>
                <c:pt idx="16">
                  <c:v>5.0999999999999996</c:v>
                </c:pt>
                <c:pt idx="17">
                  <c:v>5.0999999999999996</c:v>
                </c:pt>
                <c:pt idx="18">
                  <c:v>5.0999999999999996</c:v>
                </c:pt>
                <c:pt idx="19">
                  <c:v>5.0999999999999996</c:v>
                </c:pt>
                <c:pt idx="20">
                  <c:v>5.0999999999999996</c:v>
                </c:pt>
                <c:pt idx="21">
                  <c:v>5.0999999999999996</c:v>
                </c:pt>
                <c:pt idx="22">
                  <c:v>5.0999999999999996</c:v>
                </c:pt>
                <c:pt idx="23">
                  <c:v>5.0999999999999996</c:v>
                </c:pt>
                <c:pt idx="24">
                  <c:v>5.0999999999999996</c:v>
                </c:pt>
                <c:pt idx="25">
                  <c:v>5.0999999999999996</c:v>
                </c:pt>
                <c:pt idx="26">
                  <c:v>5.0999999999999996</c:v>
                </c:pt>
                <c:pt idx="27">
                  <c:v>5.0999999999999996</c:v>
                </c:pt>
                <c:pt idx="28">
                  <c:v>5.0999999999999996</c:v>
                </c:pt>
                <c:pt idx="29">
                  <c:v>5.0999999999999996</c:v>
                </c:pt>
                <c:pt idx="30">
                  <c:v>5.0999999999999996</c:v>
                </c:pt>
                <c:pt idx="31">
                  <c:v>5.0999999999999996</c:v>
                </c:pt>
                <c:pt idx="32">
                  <c:v>5.0999999999999996</c:v>
                </c:pt>
                <c:pt idx="33">
                  <c:v>5.0999999999999996</c:v>
                </c:pt>
                <c:pt idx="34">
                  <c:v>5.0999999999999996</c:v>
                </c:pt>
                <c:pt idx="35">
                  <c:v>5.0999999999999996</c:v>
                </c:pt>
                <c:pt idx="36">
                  <c:v>5.0999999999999996</c:v>
                </c:pt>
                <c:pt idx="37">
                  <c:v>5.0999999999999996</c:v>
                </c:pt>
                <c:pt idx="38">
                  <c:v>5.0999999999999996</c:v>
                </c:pt>
                <c:pt idx="39">
                  <c:v>5.0999999999999996</c:v>
                </c:pt>
                <c:pt idx="40">
                  <c:v>5.0999999999999996</c:v>
                </c:pt>
                <c:pt idx="41">
                  <c:v>5.0999999999999996</c:v>
                </c:pt>
                <c:pt idx="42">
                  <c:v>5.0999999999999996</c:v>
                </c:pt>
              </c:numCache>
            </c:numRef>
          </c:val>
          <c:smooth val="0"/>
          <c:extLst>
            <c:ext xmlns:c16="http://schemas.microsoft.com/office/drawing/2014/chart" uri="{C3380CC4-5D6E-409C-BE32-E72D297353CC}">
              <c16:uniqueId val="{00000001-D846-4A87-BEB2-777E6DE435D4}"/>
            </c:ext>
          </c:extLst>
        </c:ser>
        <c:dLbls>
          <c:showLegendKey val="0"/>
          <c:showVal val="0"/>
          <c:showCatName val="0"/>
          <c:showSerName val="0"/>
          <c:showPercent val="0"/>
          <c:showBubbleSize val="0"/>
        </c:dLbls>
        <c:marker val="1"/>
        <c:smooth val="0"/>
        <c:axId val="649132448"/>
        <c:axId val="649132840"/>
      </c:lineChart>
      <c:catAx>
        <c:axId val="649132448"/>
        <c:scaling>
          <c:orientation val="minMax"/>
        </c:scaling>
        <c:delete val="0"/>
        <c:axPos val="b"/>
        <c:numFmt formatCode="General" sourceLinked="0"/>
        <c:majorTickMark val="out"/>
        <c:minorTickMark val="none"/>
        <c:tickLblPos val="nextTo"/>
        <c:txPr>
          <a:bodyPr rot="0" vert="eaVert"/>
          <a:lstStyle/>
          <a:p>
            <a:pPr>
              <a:defRPr sz="700"/>
            </a:pPr>
            <a:endParaRPr lang="ja-JP"/>
          </a:p>
        </c:txPr>
        <c:crossAx val="649132840"/>
        <c:crosses val="autoZero"/>
        <c:auto val="1"/>
        <c:lblAlgn val="ctr"/>
        <c:lblOffset val="100"/>
        <c:noMultiLvlLbl val="0"/>
      </c:catAx>
      <c:valAx>
        <c:axId val="649132840"/>
        <c:scaling>
          <c:orientation val="minMax"/>
          <c:max val="12"/>
          <c:min val="0"/>
        </c:scaling>
        <c:delete val="0"/>
        <c:axPos val="l"/>
        <c:numFmt formatCode="#,##0.0_ " sourceLinked="0"/>
        <c:majorTickMark val="out"/>
        <c:minorTickMark val="none"/>
        <c:tickLblPos val="nextTo"/>
        <c:crossAx val="649132448"/>
        <c:crosses val="autoZero"/>
        <c:crossBetween val="between"/>
        <c:majorUnit val="2"/>
      </c:valAx>
      <c:spPr>
        <a:solidFill>
          <a:sysClr val="window" lastClr="FFFFFF">
            <a:lumMod val="85000"/>
          </a:sysClr>
        </a:solidFill>
        <a:ln>
          <a:solidFill>
            <a:schemeClr val="tx1"/>
          </a:solidFill>
        </a:ln>
      </c:spPr>
    </c:plotArea>
    <c:plotVisOnly val="1"/>
    <c:dispBlanksAs val="gap"/>
    <c:showDLblsOverMax val="0"/>
  </c:chart>
  <c:spPr>
    <a:ln>
      <a:solidFill>
        <a:sysClr val="windowText" lastClr="000000"/>
      </a:solid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mn-lt"/>
                <a:ea typeface="+mn-ea"/>
                <a:cs typeface="+mn-cs"/>
              </a:defRPr>
            </a:pPr>
            <a:r>
              <a:rPr lang="ja-JP" altLang="en-US"/>
              <a:t>要精検率（</a:t>
            </a:r>
            <a:r>
              <a:rPr lang="en-US" altLang="ja-JP"/>
              <a:t>%</a:t>
            </a:r>
            <a:r>
              <a:rPr lang="ja-JP" altLang="en-US"/>
              <a:t>）</a:t>
            </a:r>
          </a:p>
        </c:rich>
      </c:tx>
      <c:overlay val="1"/>
    </c:title>
    <c:autoTitleDeleted val="0"/>
    <c:plotArea>
      <c:layout>
        <c:manualLayout>
          <c:layoutTarget val="inner"/>
          <c:xMode val="edge"/>
          <c:yMode val="edge"/>
          <c:x val="5.2547457594015384E-2"/>
          <c:y val="0.14291570402257991"/>
          <c:w val="0.9001533052039381"/>
          <c:h val="0.63459794823397819"/>
        </c:manualLayout>
      </c:layout>
      <c:barChart>
        <c:barDir val="col"/>
        <c:grouping val="clustered"/>
        <c:varyColors val="0"/>
        <c:ser>
          <c:idx val="0"/>
          <c:order val="0"/>
          <c:spPr>
            <a:gradFill>
              <a:gsLst>
                <a:gs pos="0">
                  <a:srgbClr val="5E9EFF"/>
                </a:gs>
                <a:gs pos="39999">
                  <a:srgbClr val="85C2FF"/>
                </a:gs>
                <a:gs pos="70000">
                  <a:srgbClr val="C4D6EB"/>
                </a:gs>
                <a:gs pos="100000">
                  <a:srgbClr val="FFEBFA"/>
                </a:gs>
              </a:gsLst>
              <a:lin ang="5400000" scaled="0"/>
            </a:gradFill>
            <a:ln w="12700">
              <a:solidFill>
                <a:sysClr val="windowText" lastClr="000000"/>
              </a:solidFill>
            </a:ln>
          </c:spPr>
          <c:invertIfNegative val="0"/>
          <c:cat>
            <c:strRef>
              <c:f>[6]大腸がん要精検率ランキング!$G$2:$G$44</c:f>
              <c:strCache>
                <c:ptCount val="43"/>
                <c:pt idx="0">
                  <c:v>富田林市</c:v>
                </c:pt>
                <c:pt idx="1">
                  <c:v>摂津市</c:v>
                </c:pt>
                <c:pt idx="2">
                  <c:v>大東市</c:v>
                </c:pt>
                <c:pt idx="3">
                  <c:v>河南町</c:v>
                </c:pt>
                <c:pt idx="4">
                  <c:v>堺市</c:v>
                </c:pt>
                <c:pt idx="5">
                  <c:v>泉南市</c:v>
                </c:pt>
                <c:pt idx="6">
                  <c:v>泉佐野市</c:v>
                </c:pt>
                <c:pt idx="7">
                  <c:v>島本町</c:v>
                </c:pt>
                <c:pt idx="8">
                  <c:v>岬町</c:v>
                </c:pt>
                <c:pt idx="9">
                  <c:v>枚方市</c:v>
                </c:pt>
                <c:pt idx="10">
                  <c:v>守口市</c:v>
                </c:pt>
                <c:pt idx="11">
                  <c:v>門真市</c:v>
                </c:pt>
                <c:pt idx="12">
                  <c:v>忠岡町</c:v>
                </c:pt>
                <c:pt idx="13">
                  <c:v>茨木市</c:v>
                </c:pt>
                <c:pt idx="14">
                  <c:v>松原市</c:v>
                </c:pt>
                <c:pt idx="15">
                  <c:v>熊取町</c:v>
                </c:pt>
                <c:pt idx="16">
                  <c:v>柏原市</c:v>
                </c:pt>
                <c:pt idx="17">
                  <c:v>大阪市</c:v>
                </c:pt>
                <c:pt idx="18">
                  <c:v>岸和田市</c:v>
                </c:pt>
                <c:pt idx="19">
                  <c:v>高石市</c:v>
                </c:pt>
                <c:pt idx="20">
                  <c:v>千早赤阪村</c:v>
                </c:pt>
                <c:pt idx="21">
                  <c:v>能勢町</c:v>
                </c:pt>
                <c:pt idx="22">
                  <c:v>東大阪市</c:v>
                </c:pt>
                <c:pt idx="23">
                  <c:v>和泉市</c:v>
                </c:pt>
                <c:pt idx="24">
                  <c:v>高槻市</c:v>
                </c:pt>
                <c:pt idx="25">
                  <c:v>田尻町</c:v>
                </c:pt>
                <c:pt idx="26">
                  <c:v>豊中市</c:v>
                </c:pt>
                <c:pt idx="27">
                  <c:v>貝塚市</c:v>
                </c:pt>
                <c:pt idx="28">
                  <c:v>羽曳野市</c:v>
                </c:pt>
                <c:pt idx="29">
                  <c:v>箕面市</c:v>
                </c:pt>
                <c:pt idx="30">
                  <c:v>八尾市</c:v>
                </c:pt>
                <c:pt idx="31">
                  <c:v>寝屋川市</c:v>
                </c:pt>
                <c:pt idx="32">
                  <c:v>大阪狭山市</c:v>
                </c:pt>
                <c:pt idx="33">
                  <c:v>太子町</c:v>
                </c:pt>
                <c:pt idx="34">
                  <c:v>交野市</c:v>
                </c:pt>
                <c:pt idx="35">
                  <c:v>池田市</c:v>
                </c:pt>
                <c:pt idx="36">
                  <c:v>河内長野市</c:v>
                </c:pt>
                <c:pt idx="37">
                  <c:v>阪南市</c:v>
                </c:pt>
                <c:pt idx="38">
                  <c:v>吹田市</c:v>
                </c:pt>
                <c:pt idx="39">
                  <c:v>藤井寺市</c:v>
                </c:pt>
                <c:pt idx="40">
                  <c:v>豊能町</c:v>
                </c:pt>
                <c:pt idx="41">
                  <c:v>四條畷市</c:v>
                </c:pt>
                <c:pt idx="42">
                  <c:v>泉大津市</c:v>
                </c:pt>
              </c:strCache>
            </c:strRef>
          </c:cat>
          <c:val>
            <c:numRef>
              <c:f>[6]大腸がん要精検率ランキング!$H$2:$H$44</c:f>
              <c:numCache>
                <c:formatCode>General</c:formatCode>
                <c:ptCount val="43"/>
                <c:pt idx="0">
                  <c:v>7.232968881412952</c:v>
                </c:pt>
                <c:pt idx="1">
                  <c:v>7.1626434507320935</c:v>
                </c:pt>
                <c:pt idx="2">
                  <c:v>7.0615623383341957</c:v>
                </c:pt>
                <c:pt idx="3">
                  <c:v>6.8914956011730197</c:v>
                </c:pt>
                <c:pt idx="4">
                  <c:v>6.7327986492190792</c:v>
                </c:pt>
                <c:pt idx="5">
                  <c:v>6.602162777461583</c:v>
                </c:pt>
                <c:pt idx="6">
                  <c:v>6.5849227974568576</c:v>
                </c:pt>
                <c:pt idx="7">
                  <c:v>6.5709969788519631</c:v>
                </c:pt>
                <c:pt idx="8">
                  <c:v>6.5677966101694922</c:v>
                </c:pt>
                <c:pt idx="9">
                  <c:v>6.5391057853369405</c:v>
                </c:pt>
                <c:pt idx="10">
                  <c:v>6.2008469449485784</c:v>
                </c:pt>
                <c:pt idx="11">
                  <c:v>6.1545176778699258</c:v>
                </c:pt>
                <c:pt idx="12">
                  <c:v>6.1302681992337158</c:v>
                </c:pt>
                <c:pt idx="13">
                  <c:v>5.992608236536431</c:v>
                </c:pt>
                <c:pt idx="14">
                  <c:v>5.9622195985832347</c:v>
                </c:pt>
                <c:pt idx="15">
                  <c:v>5.931612002791347</c:v>
                </c:pt>
                <c:pt idx="16">
                  <c:v>5.8047493403693933</c:v>
                </c:pt>
                <c:pt idx="17">
                  <c:v>5.7936125822500397</c:v>
                </c:pt>
                <c:pt idx="18">
                  <c:v>5.7187017001545595</c:v>
                </c:pt>
                <c:pt idx="19">
                  <c:v>5.6915544675642593</c:v>
                </c:pt>
                <c:pt idx="20">
                  <c:v>5.6872037914691944</c:v>
                </c:pt>
                <c:pt idx="21">
                  <c:v>5.6179775280898872</c:v>
                </c:pt>
                <c:pt idx="22">
                  <c:v>5.6141747959386823</c:v>
                </c:pt>
                <c:pt idx="23">
                  <c:v>5.6140350877192979</c:v>
                </c:pt>
                <c:pt idx="24">
                  <c:v>5.5803700910725684</c:v>
                </c:pt>
                <c:pt idx="25">
                  <c:v>5.5684454756380504</c:v>
                </c:pt>
                <c:pt idx="26">
                  <c:v>5.5480984340044737</c:v>
                </c:pt>
                <c:pt idx="27">
                  <c:v>5.5463301228827628</c:v>
                </c:pt>
                <c:pt idx="28">
                  <c:v>5.5236532677057699</c:v>
                </c:pt>
                <c:pt idx="29">
                  <c:v>5.4836152219873151</c:v>
                </c:pt>
                <c:pt idx="30">
                  <c:v>5.4685847260418869</c:v>
                </c:pt>
                <c:pt idx="31">
                  <c:v>5.3807767411586029</c:v>
                </c:pt>
                <c:pt idx="32">
                  <c:v>5.2861299709020368</c:v>
                </c:pt>
                <c:pt idx="33">
                  <c:v>5.2631578947368416</c:v>
                </c:pt>
                <c:pt idx="34">
                  <c:v>5.2576601671309193</c:v>
                </c:pt>
                <c:pt idx="35">
                  <c:v>5.2559414990859237</c:v>
                </c:pt>
                <c:pt idx="36">
                  <c:v>5.2056555269922882</c:v>
                </c:pt>
                <c:pt idx="37">
                  <c:v>5.1045510455104557</c:v>
                </c:pt>
                <c:pt idx="38">
                  <c:v>4.9137443438914028</c:v>
                </c:pt>
                <c:pt idx="39">
                  <c:v>4.4768069039913696</c:v>
                </c:pt>
                <c:pt idx="40">
                  <c:v>4.4722719141323797</c:v>
                </c:pt>
                <c:pt idx="41">
                  <c:v>4.4534412955465585</c:v>
                </c:pt>
                <c:pt idx="42">
                  <c:v>4.0887850467289715</c:v>
                </c:pt>
              </c:numCache>
            </c:numRef>
          </c:val>
          <c:extLst>
            <c:ext xmlns:c16="http://schemas.microsoft.com/office/drawing/2014/chart" uri="{C3380CC4-5D6E-409C-BE32-E72D297353CC}">
              <c16:uniqueId val="{00000000-6AB9-44D7-8F02-0BC73E3753CD}"/>
            </c:ext>
          </c:extLst>
        </c:ser>
        <c:dLbls>
          <c:showLegendKey val="0"/>
          <c:showVal val="0"/>
          <c:showCatName val="0"/>
          <c:showSerName val="0"/>
          <c:showPercent val="0"/>
          <c:showBubbleSize val="0"/>
        </c:dLbls>
        <c:gapWidth val="150"/>
        <c:axId val="649133624"/>
        <c:axId val="649134016"/>
      </c:barChart>
      <c:lineChart>
        <c:grouping val="standard"/>
        <c:varyColors val="0"/>
        <c:ser>
          <c:idx val="1"/>
          <c:order val="1"/>
          <c:spPr>
            <a:ln w="19050">
              <a:solidFill>
                <a:sysClr val="windowText" lastClr="000000"/>
              </a:solidFill>
            </a:ln>
          </c:spPr>
          <c:marker>
            <c:symbol val="none"/>
          </c:marker>
          <c:cat>
            <c:strRef>
              <c:f>[6]大腸がん要精検率ランキング!$G$2:$G$44</c:f>
              <c:strCache>
                <c:ptCount val="43"/>
                <c:pt idx="0">
                  <c:v>富田林市</c:v>
                </c:pt>
                <c:pt idx="1">
                  <c:v>摂津市</c:v>
                </c:pt>
                <c:pt idx="2">
                  <c:v>大東市</c:v>
                </c:pt>
                <c:pt idx="3">
                  <c:v>河南町</c:v>
                </c:pt>
                <c:pt idx="4">
                  <c:v>堺市</c:v>
                </c:pt>
                <c:pt idx="5">
                  <c:v>泉南市</c:v>
                </c:pt>
                <c:pt idx="6">
                  <c:v>泉佐野市</c:v>
                </c:pt>
                <c:pt idx="7">
                  <c:v>島本町</c:v>
                </c:pt>
                <c:pt idx="8">
                  <c:v>岬町</c:v>
                </c:pt>
                <c:pt idx="9">
                  <c:v>枚方市</c:v>
                </c:pt>
                <c:pt idx="10">
                  <c:v>守口市</c:v>
                </c:pt>
                <c:pt idx="11">
                  <c:v>門真市</c:v>
                </c:pt>
                <c:pt idx="12">
                  <c:v>忠岡町</c:v>
                </c:pt>
                <c:pt idx="13">
                  <c:v>茨木市</c:v>
                </c:pt>
                <c:pt idx="14">
                  <c:v>松原市</c:v>
                </c:pt>
                <c:pt idx="15">
                  <c:v>熊取町</c:v>
                </c:pt>
                <c:pt idx="16">
                  <c:v>柏原市</c:v>
                </c:pt>
                <c:pt idx="17">
                  <c:v>大阪市</c:v>
                </c:pt>
                <c:pt idx="18">
                  <c:v>岸和田市</c:v>
                </c:pt>
                <c:pt idx="19">
                  <c:v>高石市</c:v>
                </c:pt>
                <c:pt idx="20">
                  <c:v>千早赤阪村</c:v>
                </c:pt>
                <c:pt idx="21">
                  <c:v>能勢町</c:v>
                </c:pt>
                <c:pt idx="22">
                  <c:v>東大阪市</c:v>
                </c:pt>
                <c:pt idx="23">
                  <c:v>和泉市</c:v>
                </c:pt>
                <c:pt idx="24">
                  <c:v>高槻市</c:v>
                </c:pt>
                <c:pt idx="25">
                  <c:v>田尻町</c:v>
                </c:pt>
                <c:pt idx="26">
                  <c:v>豊中市</c:v>
                </c:pt>
                <c:pt idx="27">
                  <c:v>貝塚市</c:v>
                </c:pt>
                <c:pt idx="28">
                  <c:v>羽曳野市</c:v>
                </c:pt>
                <c:pt idx="29">
                  <c:v>箕面市</c:v>
                </c:pt>
                <c:pt idx="30">
                  <c:v>八尾市</c:v>
                </c:pt>
                <c:pt idx="31">
                  <c:v>寝屋川市</c:v>
                </c:pt>
                <c:pt idx="32">
                  <c:v>大阪狭山市</c:v>
                </c:pt>
                <c:pt idx="33">
                  <c:v>太子町</c:v>
                </c:pt>
                <c:pt idx="34">
                  <c:v>交野市</c:v>
                </c:pt>
                <c:pt idx="35">
                  <c:v>池田市</c:v>
                </c:pt>
                <c:pt idx="36">
                  <c:v>河内長野市</c:v>
                </c:pt>
                <c:pt idx="37">
                  <c:v>阪南市</c:v>
                </c:pt>
                <c:pt idx="38">
                  <c:v>吹田市</c:v>
                </c:pt>
                <c:pt idx="39">
                  <c:v>藤井寺市</c:v>
                </c:pt>
                <c:pt idx="40">
                  <c:v>豊能町</c:v>
                </c:pt>
                <c:pt idx="41">
                  <c:v>四條畷市</c:v>
                </c:pt>
                <c:pt idx="42">
                  <c:v>泉大津市</c:v>
                </c:pt>
              </c:strCache>
            </c:strRef>
          </c:cat>
          <c:val>
            <c:numRef>
              <c:f>[6]大腸がん要精検率ランキング!$I$2:$I$44</c:f>
              <c:numCache>
                <c:formatCode>General</c:formatCode>
                <c:ptCount val="43"/>
                <c:pt idx="0">
                  <c:v>5.8</c:v>
                </c:pt>
                <c:pt idx="1">
                  <c:v>5.8</c:v>
                </c:pt>
                <c:pt idx="2">
                  <c:v>5.8</c:v>
                </c:pt>
                <c:pt idx="3">
                  <c:v>5.8</c:v>
                </c:pt>
                <c:pt idx="4">
                  <c:v>5.8</c:v>
                </c:pt>
                <c:pt idx="5">
                  <c:v>5.8</c:v>
                </c:pt>
                <c:pt idx="6">
                  <c:v>5.8</c:v>
                </c:pt>
                <c:pt idx="7">
                  <c:v>5.8</c:v>
                </c:pt>
                <c:pt idx="8">
                  <c:v>5.8</c:v>
                </c:pt>
                <c:pt idx="9">
                  <c:v>5.8</c:v>
                </c:pt>
                <c:pt idx="10">
                  <c:v>5.8</c:v>
                </c:pt>
                <c:pt idx="11">
                  <c:v>5.8</c:v>
                </c:pt>
                <c:pt idx="12">
                  <c:v>5.8</c:v>
                </c:pt>
                <c:pt idx="13">
                  <c:v>5.8</c:v>
                </c:pt>
                <c:pt idx="14">
                  <c:v>5.8</c:v>
                </c:pt>
                <c:pt idx="15">
                  <c:v>5.8</c:v>
                </c:pt>
                <c:pt idx="16">
                  <c:v>5.8</c:v>
                </c:pt>
                <c:pt idx="17">
                  <c:v>5.8</c:v>
                </c:pt>
                <c:pt idx="18">
                  <c:v>5.8</c:v>
                </c:pt>
                <c:pt idx="19">
                  <c:v>5.8</c:v>
                </c:pt>
                <c:pt idx="20">
                  <c:v>5.8</c:v>
                </c:pt>
                <c:pt idx="21">
                  <c:v>5.8</c:v>
                </c:pt>
                <c:pt idx="22">
                  <c:v>5.8</c:v>
                </c:pt>
                <c:pt idx="23">
                  <c:v>5.8</c:v>
                </c:pt>
                <c:pt idx="24">
                  <c:v>5.8</c:v>
                </c:pt>
                <c:pt idx="25">
                  <c:v>5.8</c:v>
                </c:pt>
                <c:pt idx="26">
                  <c:v>5.8</c:v>
                </c:pt>
                <c:pt idx="27">
                  <c:v>5.8</c:v>
                </c:pt>
                <c:pt idx="28">
                  <c:v>5.8</c:v>
                </c:pt>
                <c:pt idx="29">
                  <c:v>5.8</c:v>
                </c:pt>
                <c:pt idx="30">
                  <c:v>5.8</c:v>
                </c:pt>
                <c:pt idx="31">
                  <c:v>5.8</c:v>
                </c:pt>
                <c:pt idx="32">
                  <c:v>5.8</c:v>
                </c:pt>
                <c:pt idx="33">
                  <c:v>5.8</c:v>
                </c:pt>
                <c:pt idx="34">
                  <c:v>5.8</c:v>
                </c:pt>
                <c:pt idx="35">
                  <c:v>5.8</c:v>
                </c:pt>
                <c:pt idx="36">
                  <c:v>5.8</c:v>
                </c:pt>
                <c:pt idx="37">
                  <c:v>5.8</c:v>
                </c:pt>
                <c:pt idx="38">
                  <c:v>5.8</c:v>
                </c:pt>
                <c:pt idx="39">
                  <c:v>5.8</c:v>
                </c:pt>
                <c:pt idx="40">
                  <c:v>5.8</c:v>
                </c:pt>
                <c:pt idx="41">
                  <c:v>5.8</c:v>
                </c:pt>
                <c:pt idx="42">
                  <c:v>5.8</c:v>
                </c:pt>
              </c:numCache>
            </c:numRef>
          </c:val>
          <c:smooth val="0"/>
          <c:extLst>
            <c:ext xmlns:c16="http://schemas.microsoft.com/office/drawing/2014/chart" uri="{C3380CC4-5D6E-409C-BE32-E72D297353CC}">
              <c16:uniqueId val="{00000001-6AB9-44D7-8F02-0BC73E3753CD}"/>
            </c:ext>
          </c:extLst>
        </c:ser>
        <c:ser>
          <c:idx val="2"/>
          <c:order val="2"/>
          <c:spPr>
            <a:ln w="22225" cmpd="thinThick">
              <a:prstDash val="sysDot"/>
              <a:round/>
            </a:ln>
          </c:spPr>
          <c:marker>
            <c:symbol val="none"/>
          </c:marker>
          <c:cat>
            <c:strRef>
              <c:f>[6]大腸がん要精検率ランキング!$G$2:$G$44</c:f>
              <c:strCache>
                <c:ptCount val="43"/>
                <c:pt idx="0">
                  <c:v>富田林市</c:v>
                </c:pt>
                <c:pt idx="1">
                  <c:v>摂津市</c:v>
                </c:pt>
                <c:pt idx="2">
                  <c:v>大東市</c:v>
                </c:pt>
                <c:pt idx="3">
                  <c:v>河南町</c:v>
                </c:pt>
                <c:pt idx="4">
                  <c:v>堺市</c:v>
                </c:pt>
                <c:pt idx="5">
                  <c:v>泉南市</c:v>
                </c:pt>
                <c:pt idx="6">
                  <c:v>泉佐野市</c:v>
                </c:pt>
                <c:pt idx="7">
                  <c:v>島本町</c:v>
                </c:pt>
                <c:pt idx="8">
                  <c:v>岬町</c:v>
                </c:pt>
                <c:pt idx="9">
                  <c:v>枚方市</c:v>
                </c:pt>
                <c:pt idx="10">
                  <c:v>守口市</c:v>
                </c:pt>
                <c:pt idx="11">
                  <c:v>門真市</c:v>
                </c:pt>
                <c:pt idx="12">
                  <c:v>忠岡町</c:v>
                </c:pt>
                <c:pt idx="13">
                  <c:v>茨木市</c:v>
                </c:pt>
                <c:pt idx="14">
                  <c:v>松原市</c:v>
                </c:pt>
                <c:pt idx="15">
                  <c:v>熊取町</c:v>
                </c:pt>
                <c:pt idx="16">
                  <c:v>柏原市</c:v>
                </c:pt>
                <c:pt idx="17">
                  <c:v>大阪市</c:v>
                </c:pt>
                <c:pt idx="18">
                  <c:v>岸和田市</c:v>
                </c:pt>
                <c:pt idx="19">
                  <c:v>高石市</c:v>
                </c:pt>
                <c:pt idx="20">
                  <c:v>千早赤阪村</c:v>
                </c:pt>
                <c:pt idx="21">
                  <c:v>能勢町</c:v>
                </c:pt>
                <c:pt idx="22">
                  <c:v>東大阪市</c:v>
                </c:pt>
                <c:pt idx="23">
                  <c:v>和泉市</c:v>
                </c:pt>
                <c:pt idx="24">
                  <c:v>高槻市</c:v>
                </c:pt>
                <c:pt idx="25">
                  <c:v>田尻町</c:v>
                </c:pt>
                <c:pt idx="26">
                  <c:v>豊中市</c:v>
                </c:pt>
                <c:pt idx="27">
                  <c:v>貝塚市</c:v>
                </c:pt>
                <c:pt idx="28">
                  <c:v>羽曳野市</c:v>
                </c:pt>
                <c:pt idx="29">
                  <c:v>箕面市</c:v>
                </c:pt>
                <c:pt idx="30">
                  <c:v>八尾市</c:v>
                </c:pt>
                <c:pt idx="31">
                  <c:v>寝屋川市</c:v>
                </c:pt>
                <c:pt idx="32">
                  <c:v>大阪狭山市</c:v>
                </c:pt>
                <c:pt idx="33">
                  <c:v>太子町</c:v>
                </c:pt>
                <c:pt idx="34">
                  <c:v>交野市</c:v>
                </c:pt>
                <c:pt idx="35">
                  <c:v>池田市</c:v>
                </c:pt>
                <c:pt idx="36">
                  <c:v>河内長野市</c:v>
                </c:pt>
                <c:pt idx="37">
                  <c:v>阪南市</c:v>
                </c:pt>
                <c:pt idx="38">
                  <c:v>吹田市</c:v>
                </c:pt>
                <c:pt idx="39">
                  <c:v>藤井寺市</c:v>
                </c:pt>
                <c:pt idx="40">
                  <c:v>豊能町</c:v>
                </c:pt>
                <c:pt idx="41">
                  <c:v>四條畷市</c:v>
                </c:pt>
                <c:pt idx="42">
                  <c:v>泉大津市</c:v>
                </c:pt>
              </c:strCache>
            </c:strRef>
          </c:cat>
          <c:val>
            <c:numRef>
              <c:f>[6]大腸がん要精検率ランキング!$J$2:$J$44</c:f>
              <c:numCache>
                <c:formatCode>General</c:formatCode>
                <c:ptCount val="43"/>
                <c:pt idx="0">
                  <c:v>6.8</c:v>
                </c:pt>
                <c:pt idx="1">
                  <c:v>6.8</c:v>
                </c:pt>
                <c:pt idx="2">
                  <c:v>6.8</c:v>
                </c:pt>
                <c:pt idx="3">
                  <c:v>6.8</c:v>
                </c:pt>
                <c:pt idx="4">
                  <c:v>6.8</c:v>
                </c:pt>
                <c:pt idx="5">
                  <c:v>6.8</c:v>
                </c:pt>
                <c:pt idx="6">
                  <c:v>6.8</c:v>
                </c:pt>
                <c:pt idx="7">
                  <c:v>6.8</c:v>
                </c:pt>
                <c:pt idx="8">
                  <c:v>6.8</c:v>
                </c:pt>
                <c:pt idx="9">
                  <c:v>6.8</c:v>
                </c:pt>
                <c:pt idx="10">
                  <c:v>6.8</c:v>
                </c:pt>
                <c:pt idx="11">
                  <c:v>6.8</c:v>
                </c:pt>
                <c:pt idx="12">
                  <c:v>6.8</c:v>
                </c:pt>
                <c:pt idx="13">
                  <c:v>6.8</c:v>
                </c:pt>
                <c:pt idx="14">
                  <c:v>6.8</c:v>
                </c:pt>
                <c:pt idx="15">
                  <c:v>6.8</c:v>
                </c:pt>
                <c:pt idx="16">
                  <c:v>6.8</c:v>
                </c:pt>
                <c:pt idx="17">
                  <c:v>6.8</c:v>
                </c:pt>
                <c:pt idx="18">
                  <c:v>6.8</c:v>
                </c:pt>
                <c:pt idx="19">
                  <c:v>6.8</c:v>
                </c:pt>
                <c:pt idx="20">
                  <c:v>6.8</c:v>
                </c:pt>
                <c:pt idx="21">
                  <c:v>6.8</c:v>
                </c:pt>
                <c:pt idx="22">
                  <c:v>6.8</c:v>
                </c:pt>
                <c:pt idx="23">
                  <c:v>6.8</c:v>
                </c:pt>
                <c:pt idx="24">
                  <c:v>6.8</c:v>
                </c:pt>
                <c:pt idx="25">
                  <c:v>6.8</c:v>
                </c:pt>
                <c:pt idx="26">
                  <c:v>6.8</c:v>
                </c:pt>
                <c:pt idx="27">
                  <c:v>6.8</c:v>
                </c:pt>
                <c:pt idx="28">
                  <c:v>6.8</c:v>
                </c:pt>
                <c:pt idx="29">
                  <c:v>6.8</c:v>
                </c:pt>
                <c:pt idx="30">
                  <c:v>6.8</c:v>
                </c:pt>
                <c:pt idx="31">
                  <c:v>6.8</c:v>
                </c:pt>
                <c:pt idx="32">
                  <c:v>6.8</c:v>
                </c:pt>
                <c:pt idx="33">
                  <c:v>6.8</c:v>
                </c:pt>
                <c:pt idx="34">
                  <c:v>6.8</c:v>
                </c:pt>
                <c:pt idx="35">
                  <c:v>6.8</c:v>
                </c:pt>
                <c:pt idx="36">
                  <c:v>6.8</c:v>
                </c:pt>
                <c:pt idx="37">
                  <c:v>6.8</c:v>
                </c:pt>
                <c:pt idx="38">
                  <c:v>6.8</c:v>
                </c:pt>
                <c:pt idx="39">
                  <c:v>6.8</c:v>
                </c:pt>
                <c:pt idx="40">
                  <c:v>6.8</c:v>
                </c:pt>
                <c:pt idx="41">
                  <c:v>6.8</c:v>
                </c:pt>
                <c:pt idx="42">
                  <c:v>6.8</c:v>
                </c:pt>
              </c:numCache>
            </c:numRef>
          </c:val>
          <c:smooth val="1"/>
          <c:extLst>
            <c:ext xmlns:c16="http://schemas.microsoft.com/office/drawing/2014/chart" uri="{C3380CC4-5D6E-409C-BE32-E72D297353CC}">
              <c16:uniqueId val="{00000002-6AB9-44D7-8F02-0BC73E3753CD}"/>
            </c:ext>
          </c:extLst>
        </c:ser>
        <c:dLbls>
          <c:showLegendKey val="0"/>
          <c:showVal val="0"/>
          <c:showCatName val="0"/>
          <c:showSerName val="0"/>
          <c:showPercent val="0"/>
          <c:showBubbleSize val="0"/>
        </c:dLbls>
        <c:marker val="1"/>
        <c:smooth val="0"/>
        <c:axId val="649133624"/>
        <c:axId val="649134016"/>
      </c:lineChart>
      <c:catAx>
        <c:axId val="649133624"/>
        <c:scaling>
          <c:orientation val="minMax"/>
        </c:scaling>
        <c:delete val="0"/>
        <c:axPos val="b"/>
        <c:numFmt formatCode="General" sourceLinked="0"/>
        <c:majorTickMark val="out"/>
        <c:minorTickMark val="none"/>
        <c:tickLblPos val="nextTo"/>
        <c:txPr>
          <a:bodyPr rot="0" vert="eaVert"/>
          <a:lstStyle/>
          <a:p>
            <a:pPr>
              <a:defRPr sz="700"/>
            </a:pPr>
            <a:endParaRPr lang="ja-JP"/>
          </a:p>
        </c:txPr>
        <c:crossAx val="649134016"/>
        <c:crosses val="autoZero"/>
        <c:auto val="1"/>
        <c:lblAlgn val="ctr"/>
        <c:lblOffset val="100"/>
        <c:noMultiLvlLbl val="0"/>
      </c:catAx>
      <c:valAx>
        <c:axId val="649134016"/>
        <c:scaling>
          <c:orientation val="minMax"/>
          <c:max val="10"/>
          <c:min val="0"/>
        </c:scaling>
        <c:delete val="0"/>
        <c:axPos val="l"/>
        <c:numFmt formatCode="#,##0.0_ " sourceLinked="0"/>
        <c:majorTickMark val="out"/>
        <c:minorTickMark val="none"/>
        <c:tickLblPos val="nextTo"/>
        <c:crossAx val="649133624"/>
        <c:crosses val="autoZero"/>
        <c:crossBetween val="between"/>
        <c:majorUnit val="2"/>
      </c:valAx>
      <c:spPr>
        <a:solidFill>
          <a:sysClr val="window" lastClr="FFFFFF">
            <a:lumMod val="85000"/>
          </a:sysClr>
        </a:solidFill>
        <a:ln>
          <a:solidFill>
            <a:schemeClr val="tx1"/>
          </a:solidFill>
        </a:ln>
      </c:spPr>
    </c:plotArea>
    <c:plotVisOnly val="1"/>
    <c:dispBlanksAs val="gap"/>
    <c:showDLblsOverMax val="0"/>
  </c:chart>
  <c:spPr>
    <a:ln>
      <a:solidFill>
        <a:sysClr val="windowText" lastClr="000000"/>
      </a:solid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mn-lt"/>
                <a:ea typeface="+mn-ea"/>
                <a:cs typeface="+mn-cs"/>
              </a:defRPr>
            </a:pPr>
            <a:r>
              <a:rPr lang="ja-JP" altLang="en-US"/>
              <a:t>精検受診率（</a:t>
            </a:r>
            <a:r>
              <a:rPr lang="en-US" altLang="ja-JP"/>
              <a:t>%</a:t>
            </a:r>
            <a:r>
              <a:rPr lang="ja-JP" altLang="en-US"/>
              <a:t>）</a:t>
            </a:r>
          </a:p>
        </c:rich>
      </c:tx>
      <c:overlay val="1"/>
    </c:title>
    <c:autoTitleDeleted val="0"/>
    <c:plotArea>
      <c:layout>
        <c:manualLayout>
          <c:layoutTarget val="inner"/>
          <c:xMode val="edge"/>
          <c:yMode val="edge"/>
          <c:x val="5.2547457594015384E-2"/>
          <c:y val="0.14291570402257991"/>
          <c:w val="0.87449408530898742"/>
          <c:h val="0.60796343871790837"/>
        </c:manualLayout>
      </c:layout>
      <c:barChart>
        <c:barDir val="col"/>
        <c:grouping val="clustered"/>
        <c:varyColors val="0"/>
        <c:ser>
          <c:idx val="0"/>
          <c:order val="0"/>
          <c:spPr>
            <a:gradFill>
              <a:gsLst>
                <a:gs pos="0">
                  <a:srgbClr val="5E9EFF"/>
                </a:gs>
                <a:gs pos="39999">
                  <a:srgbClr val="85C2FF"/>
                </a:gs>
                <a:gs pos="70000">
                  <a:srgbClr val="C4D6EB"/>
                </a:gs>
                <a:gs pos="100000">
                  <a:srgbClr val="FFEBFA"/>
                </a:gs>
              </a:gsLst>
              <a:lin ang="5400000" scaled="0"/>
            </a:gradFill>
            <a:ln w="12700">
              <a:solidFill>
                <a:sysClr val="windowText" lastClr="000000"/>
              </a:solidFill>
            </a:ln>
          </c:spPr>
          <c:invertIfNegative val="0"/>
          <c:cat>
            <c:strRef>
              <c:f>[5]大腸がん精検受診率ランキング!$G$2:$G$44</c:f>
              <c:strCache>
                <c:ptCount val="43"/>
                <c:pt idx="0">
                  <c:v>忠岡町</c:v>
                </c:pt>
                <c:pt idx="1">
                  <c:v>貝塚市</c:v>
                </c:pt>
                <c:pt idx="2">
                  <c:v>河南町</c:v>
                </c:pt>
                <c:pt idx="3">
                  <c:v>豊能町</c:v>
                </c:pt>
                <c:pt idx="4">
                  <c:v>千早赤阪村</c:v>
                </c:pt>
                <c:pt idx="5">
                  <c:v>能勢町</c:v>
                </c:pt>
                <c:pt idx="6">
                  <c:v>河内長野市</c:v>
                </c:pt>
                <c:pt idx="7">
                  <c:v>熊取町</c:v>
                </c:pt>
                <c:pt idx="8">
                  <c:v>高石市</c:v>
                </c:pt>
                <c:pt idx="9">
                  <c:v>柏原市</c:v>
                </c:pt>
                <c:pt idx="10">
                  <c:v>摂津市</c:v>
                </c:pt>
                <c:pt idx="11">
                  <c:v>太子町</c:v>
                </c:pt>
                <c:pt idx="12">
                  <c:v>大東市</c:v>
                </c:pt>
                <c:pt idx="13">
                  <c:v>吹田市</c:v>
                </c:pt>
                <c:pt idx="14">
                  <c:v>四條畷市</c:v>
                </c:pt>
                <c:pt idx="15">
                  <c:v>羽曳野市</c:v>
                </c:pt>
                <c:pt idx="16">
                  <c:v>八尾市</c:v>
                </c:pt>
                <c:pt idx="17">
                  <c:v>島本町</c:v>
                </c:pt>
                <c:pt idx="18">
                  <c:v>高槻市</c:v>
                </c:pt>
                <c:pt idx="19">
                  <c:v>泉大津市</c:v>
                </c:pt>
                <c:pt idx="20">
                  <c:v>富田林市</c:v>
                </c:pt>
                <c:pt idx="21">
                  <c:v>岬町</c:v>
                </c:pt>
                <c:pt idx="22">
                  <c:v>藤井寺市</c:v>
                </c:pt>
                <c:pt idx="23">
                  <c:v>阪南市</c:v>
                </c:pt>
                <c:pt idx="24">
                  <c:v>寝屋川市</c:v>
                </c:pt>
                <c:pt idx="25">
                  <c:v>松原市</c:v>
                </c:pt>
                <c:pt idx="26">
                  <c:v>枚方市</c:v>
                </c:pt>
                <c:pt idx="27">
                  <c:v>守口市</c:v>
                </c:pt>
                <c:pt idx="28">
                  <c:v>茨木市</c:v>
                </c:pt>
                <c:pt idx="29">
                  <c:v>泉佐野市</c:v>
                </c:pt>
                <c:pt idx="30">
                  <c:v>田尻町</c:v>
                </c:pt>
                <c:pt idx="31">
                  <c:v>大阪狭山市</c:v>
                </c:pt>
                <c:pt idx="32">
                  <c:v>岸和田市</c:v>
                </c:pt>
                <c:pt idx="33">
                  <c:v>和泉市</c:v>
                </c:pt>
                <c:pt idx="34">
                  <c:v>交野市</c:v>
                </c:pt>
                <c:pt idx="35">
                  <c:v>東大阪市</c:v>
                </c:pt>
                <c:pt idx="36">
                  <c:v>箕面市</c:v>
                </c:pt>
                <c:pt idx="37">
                  <c:v>門真市</c:v>
                </c:pt>
                <c:pt idx="38">
                  <c:v>池田市</c:v>
                </c:pt>
                <c:pt idx="39">
                  <c:v>豊中市</c:v>
                </c:pt>
                <c:pt idx="40">
                  <c:v>大阪市</c:v>
                </c:pt>
                <c:pt idx="41">
                  <c:v>泉南市</c:v>
                </c:pt>
                <c:pt idx="42">
                  <c:v>堺市</c:v>
                </c:pt>
              </c:strCache>
            </c:strRef>
          </c:cat>
          <c:val>
            <c:numRef>
              <c:f>[5]大腸がん精検受診率ランキング!$H$2:$H$44</c:f>
              <c:numCache>
                <c:formatCode>General</c:formatCode>
                <c:ptCount val="43"/>
                <c:pt idx="0">
                  <c:v>100</c:v>
                </c:pt>
                <c:pt idx="1">
                  <c:v>94.011976047904184</c:v>
                </c:pt>
                <c:pt idx="2">
                  <c:v>93.61702127659575</c:v>
                </c:pt>
                <c:pt idx="3">
                  <c:v>92</c:v>
                </c:pt>
                <c:pt idx="4">
                  <c:v>91.666666666666657</c:v>
                </c:pt>
                <c:pt idx="5">
                  <c:v>90</c:v>
                </c:pt>
                <c:pt idx="6">
                  <c:v>89.711934156378604</c:v>
                </c:pt>
                <c:pt idx="7">
                  <c:v>89.411764705882362</c:v>
                </c:pt>
                <c:pt idx="8">
                  <c:v>89.247311827956992</c:v>
                </c:pt>
                <c:pt idx="9">
                  <c:v>89.090909090909093</c:v>
                </c:pt>
                <c:pt idx="10">
                  <c:v>88.950276243093924</c:v>
                </c:pt>
                <c:pt idx="11">
                  <c:v>87.5</c:v>
                </c:pt>
                <c:pt idx="12">
                  <c:v>87.179487179487182</c:v>
                </c:pt>
                <c:pt idx="13">
                  <c:v>86.906474820143885</c:v>
                </c:pt>
                <c:pt idx="14">
                  <c:v>86.36363636363636</c:v>
                </c:pt>
                <c:pt idx="15">
                  <c:v>86.138613861386133</c:v>
                </c:pt>
                <c:pt idx="16">
                  <c:v>85.880077369439064</c:v>
                </c:pt>
                <c:pt idx="17">
                  <c:v>85.057471264367805</c:v>
                </c:pt>
                <c:pt idx="18">
                  <c:v>84.823284823284823</c:v>
                </c:pt>
                <c:pt idx="19">
                  <c:v>84.761904761904759</c:v>
                </c:pt>
                <c:pt idx="20">
                  <c:v>84.108527131782949</c:v>
                </c:pt>
                <c:pt idx="21">
                  <c:v>83.870967741935488</c:v>
                </c:pt>
                <c:pt idx="22">
                  <c:v>83.132530120481931</c:v>
                </c:pt>
                <c:pt idx="23">
                  <c:v>81.92771084337349</c:v>
                </c:pt>
                <c:pt idx="24">
                  <c:v>81.854838709677423</c:v>
                </c:pt>
                <c:pt idx="25">
                  <c:v>80.858085808580853</c:v>
                </c:pt>
                <c:pt idx="26">
                  <c:v>80.492610837438434</c:v>
                </c:pt>
                <c:pt idx="27">
                  <c:v>80.487804878048792</c:v>
                </c:pt>
                <c:pt idx="28">
                  <c:v>80.32305433186491</c:v>
                </c:pt>
                <c:pt idx="29">
                  <c:v>79.310344827586206</c:v>
                </c:pt>
                <c:pt idx="30">
                  <c:v>79.166666666666657</c:v>
                </c:pt>
                <c:pt idx="31">
                  <c:v>78.899082568807344</c:v>
                </c:pt>
                <c:pt idx="32">
                  <c:v>78.86977886977887</c:v>
                </c:pt>
                <c:pt idx="33">
                  <c:v>75.5859375</c:v>
                </c:pt>
                <c:pt idx="34">
                  <c:v>75.496688741721854</c:v>
                </c:pt>
                <c:pt idx="35">
                  <c:v>75.413711583924353</c:v>
                </c:pt>
                <c:pt idx="36">
                  <c:v>74.698795180722882</c:v>
                </c:pt>
                <c:pt idx="37">
                  <c:v>73.75886524822694</c:v>
                </c:pt>
                <c:pt idx="38">
                  <c:v>71.304347826086953</c:v>
                </c:pt>
                <c:pt idx="39">
                  <c:v>68.817204301075279</c:v>
                </c:pt>
                <c:pt idx="40">
                  <c:v>67.748318163830632</c:v>
                </c:pt>
                <c:pt idx="41">
                  <c:v>67.241379310344826</c:v>
                </c:pt>
                <c:pt idx="42">
                  <c:v>63.134796238244519</c:v>
                </c:pt>
              </c:numCache>
            </c:numRef>
          </c:val>
          <c:extLst>
            <c:ext xmlns:c16="http://schemas.microsoft.com/office/drawing/2014/chart" uri="{C3380CC4-5D6E-409C-BE32-E72D297353CC}">
              <c16:uniqueId val="{00000000-2476-442D-BCAB-271A5DFFF1D1}"/>
            </c:ext>
          </c:extLst>
        </c:ser>
        <c:dLbls>
          <c:showLegendKey val="0"/>
          <c:showVal val="0"/>
          <c:showCatName val="0"/>
          <c:showSerName val="0"/>
          <c:showPercent val="0"/>
          <c:showBubbleSize val="0"/>
        </c:dLbls>
        <c:gapWidth val="150"/>
        <c:axId val="655199888"/>
        <c:axId val="655200280"/>
      </c:barChart>
      <c:lineChart>
        <c:grouping val="standard"/>
        <c:varyColors val="0"/>
        <c:ser>
          <c:idx val="1"/>
          <c:order val="1"/>
          <c:spPr>
            <a:ln w="19050">
              <a:solidFill>
                <a:sysClr val="windowText" lastClr="000000"/>
              </a:solidFill>
            </a:ln>
          </c:spPr>
          <c:marker>
            <c:symbol val="none"/>
          </c:marker>
          <c:cat>
            <c:strRef>
              <c:f>[5]大腸がん精検受診率ランキング!$G$2:$G$44</c:f>
              <c:strCache>
                <c:ptCount val="43"/>
                <c:pt idx="0">
                  <c:v>忠岡町</c:v>
                </c:pt>
                <c:pt idx="1">
                  <c:v>貝塚市</c:v>
                </c:pt>
                <c:pt idx="2">
                  <c:v>河南町</c:v>
                </c:pt>
                <c:pt idx="3">
                  <c:v>豊能町</c:v>
                </c:pt>
                <c:pt idx="4">
                  <c:v>千早赤阪村</c:v>
                </c:pt>
                <c:pt idx="5">
                  <c:v>能勢町</c:v>
                </c:pt>
                <c:pt idx="6">
                  <c:v>河内長野市</c:v>
                </c:pt>
                <c:pt idx="7">
                  <c:v>熊取町</c:v>
                </c:pt>
                <c:pt idx="8">
                  <c:v>高石市</c:v>
                </c:pt>
                <c:pt idx="9">
                  <c:v>柏原市</c:v>
                </c:pt>
                <c:pt idx="10">
                  <c:v>摂津市</c:v>
                </c:pt>
                <c:pt idx="11">
                  <c:v>太子町</c:v>
                </c:pt>
                <c:pt idx="12">
                  <c:v>大東市</c:v>
                </c:pt>
                <c:pt idx="13">
                  <c:v>吹田市</c:v>
                </c:pt>
                <c:pt idx="14">
                  <c:v>四條畷市</c:v>
                </c:pt>
                <c:pt idx="15">
                  <c:v>羽曳野市</c:v>
                </c:pt>
                <c:pt idx="16">
                  <c:v>八尾市</c:v>
                </c:pt>
                <c:pt idx="17">
                  <c:v>島本町</c:v>
                </c:pt>
                <c:pt idx="18">
                  <c:v>高槻市</c:v>
                </c:pt>
                <c:pt idx="19">
                  <c:v>泉大津市</c:v>
                </c:pt>
                <c:pt idx="20">
                  <c:v>富田林市</c:v>
                </c:pt>
                <c:pt idx="21">
                  <c:v>岬町</c:v>
                </c:pt>
                <c:pt idx="22">
                  <c:v>藤井寺市</c:v>
                </c:pt>
                <c:pt idx="23">
                  <c:v>阪南市</c:v>
                </c:pt>
                <c:pt idx="24">
                  <c:v>寝屋川市</c:v>
                </c:pt>
                <c:pt idx="25">
                  <c:v>松原市</c:v>
                </c:pt>
                <c:pt idx="26">
                  <c:v>枚方市</c:v>
                </c:pt>
                <c:pt idx="27">
                  <c:v>守口市</c:v>
                </c:pt>
                <c:pt idx="28">
                  <c:v>茨木市</c:v>
                </c:pt>
                <c:pt idx="29">
                  <c:v>泉佐野市</c:v>
                </c:pt>
                <c:pt idx="30">
                  <c:v>田尻町</c:v>
                </c:pt>
                <c:pt idx="31">
                  <c:v>大阪狭山市</c:v>
                </c:pt>
                <c:pt idx="32">
                  <c:v>岸和田市</c:v>
                </c:pt>
                <c:pt idx="33">
                  <c:v>和泉市</c:v>
                </c:pt>
                <c:pt idx="34">
                  <c:v>交野市</c:v>
                </c:pt>
                <c:pt idx="35">
                  <c:v>東大阪市</c:v>
                </c:pt>
                <c:pt idx="36">
                  <c:v>箕面市</c:v>
                </c:pt>
                <c:pt idx="37">
                  <c:v>門真市</c:v>
                </c:pt>
                <c:pt idx="38">
                  <c:v>池田市</c:v>
                </c:pt>
                <c:pt idx="39">
                  <c:v>豊中市</c:v>
                </c:pt>
                <c:pt idx="40">
                  <c:v>大阪市</c:v>
                </c:pt>
                <c:pt idx="41">
                  <c:v>泉南市</c:v>
                </c:pt>
                <c:pt idx="42">
                  <c:v>堺市</c:v>
                </c:pt>
              </c:strCache>
            </c:strRef>
          </c:cat>
          <c:val>
            <c:numRef>
              <c:f>[5]大腸がん精検受診率ランキング!$I$2:$I$44</c:f>
              <c:numCache>
                <c:formatCode>General</c:formatCode>
                <c:ptCount val="43"/>
                <c:pt idx="0">
                  <c:v>76.8</c:v>
                </c:pt>
                <c:pt idx="1">
                  <c:v>76.8</c:v>
                </c:pt>
                <c:pt idx="2">
                  <c:v>76.8</c:v>
                </c:pt>
                <c:pt idx="3">
                  <c:v>76.8</c:v>
                </c:pt>
                <c:pt idx="4">
                  <c:v>76.8</c:v>
                </c:pt>
                <c:pt idx="5">
                  <c:v>76.8</c:v>
                </c:pt>
                <c:pt idx="6">
                  <c:v>76.8</c:v>
                </c:pt>
                <c:pt idx="7">
                  <c:v>76.8</c:v>
                </c:pt>
                <c:pt idx="8">
                  <c:v>76.8</c:v>
                </c:pt>
                <c:pt idx="9">
                  <c:v>76.8</c:v>
                </c:pt>
                <c:pt idx="10">
                  <c:v>76.8</c:v>
                </c:pt>
                <c:pt idx="11">
                  <c:v>76.8</c:v>
                </c:pt>
                <c:pt idx="12">
                  <c:v>76.8</c:v>
                </c:pt>
                <c:pt idx="13">
                  <c:v>76.8</c:v>
                </c:pt>
                <c:pt idx="14">
                  <c:v>76.8</c:v>
                </c:pt>
                <c:pt idx="15">
                  <c:v>76.8</c:v>
                </c:pt>
                <c:pt idx="16">
                  <c:v>76.8</c:v>
                </c:pt>
                <c:pt idx="17">
                  <c:v>76.8</c:v>
                </c:pt>
                <c:pt idx="18">
                  <c:v>76.8</c:v>
                </c:pt>
                <c:pt idx="19">
                  <c:v>76.8</c:v>
                </c:pt>
                <c:pt idx="20">
                  <c:v>76.8</c:v>
                </c:pt>
                <c:pt idx="21">
                  <c:v>76.8</c:v>
                </c:pt>
                <c:pt idx="22">
                  <c:v>76.8</c:v>
                </c:pt>
                <c:pt idx="23">
                  <c:v>76.8</c:v>
                </c:pt>
                <c:pt idx="24">
                  <c:v>76.8</c:v>
                </c:pt>
                <c:pt idx="25">
                  <c:v>76.8</c:v>
                </c:pt>
                <c:pt idx="26">
                  <c:v>76.8</c:v>
                </c:pt>
                <c:pt idx="27">
                  <c:v>76.8</c:v>
                </c:pt>
                <c:pt idx="28">
                  <c:v>76.8</c:v>
                </c:pt>
                <c:pt idx="29">
                  <c:v>76.8</c:v>
                </c:pt>
                <c:pt idx="30">
                  <c:v>76.8</c:v>
                </c:pt>
                <c:pt idx="31">
                  <c:v>76.8</c:v>
                </c:pt>
                <c:pt idx="32">
                  <c:v>76.8</c:v>
                </c:pt>
                <c:pt idx="33">
                  <c:v>76.8</c:v>
                </c:pt>
                <c:pt idx="34">
                  <c:v>76.8</c:v>
                </c:pt>
                <c:pt idx="35">
                  <c:v>76.8</c:v>
                </c:pt>
                <c:pt idx="36">
                  <c:v>76.8</c:v>
                </c:pt>
                <c:pt idx="37">
                  <c:v>76.8</c:v>
                </c:pt>
                <c:pt idx="38">
                  <c:v>76.8</c:v>
                </c:pt>
                <c:pt idx="39">
                  <c:v>76.8</c:v>
                </c:pt>
                <c:pt idx="40">
                  <c:v>76.8</c:v>
                </c:pt>
                <c:pt idx="41">
                  <c:v>76.8</c:v>
                </c:pt>
                <c:pt idx="42">
                  <c:v>76.8</c:v>
                </c:pt>
              </c:numCache>
            </c:numRef>
          </c:val>
          <c:smooth val="0"/>
          <c:extLst>
            <c:ext xmlns:c16="http://schemas.microsoft.com/office/drawing/2014/chart" uri="{C3380CC4-5D6E-409C-BE32-E72D297353CC}">
              <c16:uniqueId val="{00000001-2476-442D-BCAB-271A5DFFF1D1}"/>
            </c:ext>
          </c:extLst>
        </c:ser>
        <c:ser>
          <c:idx val="2"/>
          <c:order val="2"/>
          <c:spPr>
            <a:ln w="22225" cmpd="thinThick">
              <a:prstDash val="sysDot"/>
              <a:round/>
            </a:ln>
          </c:spPr>
          <c:marker>
            <c:symbol val="none"/>
          </c:marker>
          <c:cat>
            <c:strRef>
              <c:f>[5]大腸がん精検受診率ランキング!$G$2:$G$44</c:f>
              <c:strCache>
                <c:ptCount val="43"/>
                <c:pt idx="0">
                  <c:v>忠岡町</c:v>
                </c:pt>
                <c:pt idx="1">
                  <c:v>貝塚市</c:v>
                </c:pt>
                <c:pt idx="2">
                  <c:v>河南町</c:v>
                </c:pt>
                <c:pt idx="3">
                  <c:v>豊能町</c:v>
                </c:pt>
                <c:pt idx="4">
                  <c:v>千早赤阪村</c:v>
                </c:pt>
                <c:pt idx="5">
                  <c:v>能勢町</c:v>
                </c:pt>
                <c:pt idx="6">
                  <c:v>河内長野市</c:v>
                </c:pt>
                <c:pt idx="7">
                  <c:v>熊取町</c:v>
                </c:pt>
                <c:pt idx="8">
                  <c:v>高石市</c:v>
                </c:pt>
                <c:pt idx="9">
                  <c:v>柏原市</c:v>
                </c:pt>
                <c:pt idx="10">
                  <c:v>摂津市</c:v>
                </c:pt>
                <c:pt idx="11">
                  <c:v>太子町</c:v>
                </c:pt>
                <c:pt idx="12">
                  <c:v>大東市</c:v>
                </c:pt>
                <c:pt idx="13">
                  <c:v>吹田市</c:v>
                </c:pt>
                <c:pt idx="14">
                  <c:v>四條畷市</c:v>
                </c:pt>
                <c:pt idx="15">
                  <c:v>羽曳野市</c:v>
                </c:pt>
                <c:pt idx="16">
                  <c:v>八尾市</c:v>
                </c:pt>
                <c:pt idx="17">
                  <c:v>島本町</c:v>
                </c:pt>
                <c:pt idx="18">
                  <c:v>高槻市</c:v>
                </c:pt>
                <c:pt idx="19">
                  <c:v>泉大津市</c:v>
                </c:pt>
                <c:pt idx="20">
                  <c:v>富田林市</c:v>
                </c:pt>
                <c:pt idx="21">
                  <c:v>岬町</c:v>
                </c:pt>
                <c:pt idx="22">
                  <c:v>藤井寺市</c:v>
                </c:pt>
                <c:pt idx="23">
                  <c:v>阪南市</c:v>
                </c:pt>
                <c:pt idx="24">
                  <c:v>寝屋川市</c:v>
                </c:pt>
                <c:pt idx="25">
                  <c:v>松原市</c:v>
                </c:pt>
                <c:pt idx="26">
                  <c:v>枚方市</c:v>
                </c:pt>
                <c:pt idx="27">
                  <c:v>守口市</c:v>
                </c:pt>
                <c:pt idx="28">
                  <c:v>茨木市</c:v>
                </c:pt>
                <c:pt idx="29">
                  <c:v>泉佐野市</c:v>
                </c:pt>
                <c:pt idx="30">
                  <c:v>田尻町</c:v>
                </c:pt>
                <c:pt idx="31">
                  <c:v>大阪狭山市</c:v>
                </c:pt>
                <c:pt idx="32">
                  <c:v>岸和田市</c:v>
                </c:pt>
                <c:pt idx="33">
                  <c:v>和泉市</c:v>
                </c:pt>
                <c:pt idx="34">
                  <c:v>交野市</c:v>
                </c:pt>
                <c:pt idx="35">
                  <c:v>東大阪市</c:v>
                </c:pt>
                <c:pt idx="36">
                  <c:v>箕面市</c:v>
                </c:pt>
                <c:pt idx="37">
                  <c:v>門真市</c:v>
                </c:pt>
                <c:pt idx="38">
                  <c:v>池田市</c:v>
                </c:pt>
                <c:pt idx="39">
                  <c:v>豊中市</c:v>
                </c:pt>
                <c:pt idx="40">
                  <c:v>大阪市</c:v>
                </c:pt>
                <c:pt idx="41">
                  <c:v>泉南市</c:v>
                </c:pt>
                <c:pt idx="42">
                  <c:v>堺市</c:v>
                </c:pt>
              </c:strCache>
            </c:strRef>
          </c:cat>
          <c:val>
            <c:numRef>
              <c:f>[5]大腸がん精検受診率ランキング!$J$2:$J$44</c:f>
              <c:numCache>
                <c:formatCode>General</c:formatCode>
                <c:ptCount val="43"/>
                <c:pt idx="0">
                  <c:v>90</c:v>
                </c:pt>
                <c:pt idx="1">
                  <c:v>90</c:v>
                </c:pt>
                <c:pt idx="2">
                  <c:v>90</c:v>
                </c:pt>
                <c:pt idx="3">
                  <c:v>90</c:v>
                </c:pt>
                <c:pt idx="4">
                  <c:v>90</c:v>
                </c:pt>
                <c:pt idx="5">
                  <c:v>90</c:v>
                </c:pt>
                <c:pt idx="6">
                  <c:v>90</c:v>
                </c:pt>
                <c:pt idx="7">
                  <c:v>90</c:v>
                </c:pt>
                <c:pt idx="8">
                  <c:v>90</c:v>
                </c:pt>
                <c:pt idx="9">
                  <c:v>90</c:v>
                </c:pt>
                <c:pt idx="10">
                  <c:v>90</c:v>
                </c:pt>
                <c:pt idx="11">
                  <c:v>90</c:v>
                </c:pt>
                <c:pt idx="12">
                  <c:v>90</c:v>
                </c:pt>
                <c:pt idx="13">
                  <c:v>90</c:v>
                </c:pt>
                <c:pt idx="14">
                  <c:v>90</c:v>
                </c:pt>
                <c:pt idx="15">
                  <c:v>90</c:v>
                </c:pt>
                <c:pt idx="16">
                  <c:v>90</c:v>
                </c:pt>
                <c:pt idx="17">
                  <c:v>90</c:v>
                </c:pt>
                <c:pt idx="18">
                  <c:v>90</c:v>
                </c:pt>
                <c:pt idx="19">
                  <c:v>90</c:v>
                </c:pt>
                <c:pt idx="20">
                  <c:v>90</c:v>
                </c:pt>
                <c:pt idx="21">
                  <c:v>90</c:v>
                </c:pt>
                <c:pt idx="22">
                  <c:v>90</c:v>
                </c:pt>
                <c:pt idx="23">
                  <c:v>90</c:v>
                </c:pt>
                <c:pt idx="24">
                  <c:v>90</c:v>
                </c:pt>
                <c:pt idx="25">
                  <c:v>90</c:v>
                </c:pt>
                <c:pt idx="26">
                  <c:v>90</c:v>
                </c:pt>
                <c:pt idx="27">
                  <c:v>90</c:v>
                </c:pt>
                <c:pt idx="28">
                  <c:v>90</c:v>
                </c:pt>
                <c:pt idx="29">
                  <c:v>90</c:v>
                </c:pt>
                <c:pt idx="30">
                  <c:v>90</c:v>
                </c:pt>
                <c:pt idx="31">
                  <c:v>90</c:v>
                </c:pt>
                <c:pt idx="32">
                  <c:v>90</c:v>
                </c:pt>
                <c:pt idx="33">
                  <c:v>90</c:v>
                </c:pt>
                <c:pt idx="34">
                  <c:v>90</c:v>
                </c:pt>
                <c:pt idx="35">
                  <c:v>90</c:v>
                </c:pt>
                <c:pt idx="36">
                  <c:v>90</c:v>
                </c:pt>
                <c:pt idx="37">
                  <c:v>90</c:v>
                </c:pt>
                <c:pt idx="38">
                  <c:v>90</c:v>
                </c:pt>
                <c:pt idx="39">
                  <c:v>90</c:v>
                </c:pt>
                <c:pt idx="40">
                  <c:v>90</c:v>
                </c:pt>
                <c:pt idx="41">
                  <c:v>90</c:v>
                </c:pt>
                <c:pt idx="42">
                  <c:v>90</c:v>
                </c:pt>
              </c:numCache>
            </c:numRef>
          </c:val>
          <c:smooth val="1"/>
          <c:extLst>
            <c:ext xmlns:c16="http://schemas.microsoft.com/office/drawing/2014/chart" uri="{C3380CC4-5D6E-409C-BE32-E72D297353CC}">
              <c16:uniqueId val="{00000002-2476-442D-BCAB-271A5DFFF1D1}"/>
            </c:ext>
          </c:extLst>
        </c:ser>
        <c:dLbls>
          <c:showLegendKey val="0"/>
          <c:showVal val="0"/>
          <c:showCatName val="0"/>
          <c:showSerName val="0"/>
          <c:showPercent val="0"/>
          <c:showBubbleSize val="0"/>
        </c:dLbls>
        <c:marker val="1"/>
        <c:smooth val="0"/>
        <c:axId val="655199888"/>
        <c:axId val="655200280"/>
      </c:lineChart>
      <c:catAx>
        <c:axId val="655199888"/>
        <c:scaling>
          <c:orientation val="minMax"/>
        </c:scaling>
        <c:delete val="0"/>
        <c:axPos val="b"/>
        <c:numFmt formatCode="General" sourceLinked="0"/>
        <c:majorTickMark val="out"/>
        <c:minorTickMark val="none"/>
        <c:tickLblPos val="nextTo"/>
        <c:txPr>
          <a:bodyPr rot="0" vert="eaVert"/>
          <a:lstStyle/>
          <a:p>
            <a:pPr>
              <a:defRPr sz="700"/>
            </a:pPr>
            <a:endParaRPr lang="ja-JP"/>
          </a:p>
        </c:txPr>
        <c:crossAx val="655200280"/>
        <c:crosses val="autoZero"/>
        <c:auto val="1"/>
        <c:lblAlgn val="ctr"/>
        <c:lblOffset val="100"/>
        <c:noMultiLvlLbl val="0"/>
      </c:catAx>
      <c:valAx>
        <c:axId val="655200280"/>
        <c:scaling>
          <c:orientation val="minMax"/>
          <c:max val="109"/>
          <c:min val="0"/>
        </c:scaling>
        <c:delete val="0"/>
        <c:axPos val="l"/>
        <c:numFmt formatCode="#,##0.0_ " sourceLinked="0"/>
        <c:majorTickMark val="out"/>
        <c:minorTickMark val="none"/>
        <c:tickLblPos val="nextTo"/>
        <c:crossAx val="655199888"/>
        <c:crosses val="autoZero"/>
        <c:crossBetween val="between"/>
        <c:majorUnit val="20"/>
      </c:valAx>
      <c:spPr>
        <a:solidFill>
          <a:sysClr val="window" lastClr="FFFFFF">
            <a:lumMod val="85000"/>
          </a:sysClr>
        </a:solidFill>
        <a:ln>
          <a:solidFill>
            <a:schemeClr val="tx1"/>
          </a:solidFill>
        </a:ln>
      </c:spPr>
    </c:plotArea>
    <c:plotVisOnly val="1"/>
    <c:dispBlanksAs val="gap"/>
    <c:showDLblsOverMax val="0"/>
  </c:chart>
  <c:spPr>
    <a:ln>
      <a:solidFill>
        <a:sysClr val="windowText" lastClr="000000"/>
      </a:solid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mn-lt"/>
                <a:ea typeface="+mn-ea"/>
                <a:cs typeface="+mn-cs"/>
              </a:defRPr>
            </a:pPr>
            <a:r>
              <a:rPr lang="ja-JP" altLang="en-US"/>
              <a:t>がん発見率（</a:t>
            </a:r>
            <a:r>
              <a:rPr lang="en-US" altLang="ja-JP"/>
              <a:t>%</a:t>
            </a:r>
            <a:r>
              <a:rPr lang="ja-JP" altLang="en-US"/>
              <a:t>）</a:t>
            </a:r>
          </a:p>
        </c:rich>
      </c:tx>
      <c:overlay val="1"/>
    </c:title>
    <c:autoTitleDeleted val="0"/>
    <c:plotArea>
      <c:layout>
        <c:manualLayout>
          <c:layoutTarget val="inner"/>
          <c:xMode val="edge"/>
          <c:yMode val="edge"/>
          <c:x val="5.2547457594015384E-2"/>
          <c:y val="0.14291570402257991"/>
          <c:w val="0.88701468708897491"/>
          <c:h val="0.63015886748346939"/>
        </c:manualLayout>
      </c:layout>
      <c:barChart>
        <c:barDir val="col"/>
        <c:grouping val="clustered"/>
        <c:varyColors val="0"/>
        <c:ser>
          <c:idx val="0"/>
          <c:order val="0"/>
          <c:tx>
            <c:strRef>
              <c:f>'\\LS220DBBBD\share\大阪がん検診\◆精度管理\R５がん検診\冊子用\表・グラフ\Ｄ1～Ｄ5　単年度ランキング\[D2　R5大腸がんグラフ.xlsx]大腸がん発見率ランキング'!$H$1</c:f>
              <c:strCache>
                <c:ptCount val="1"/>
                <c:pt idx="0">
                  <c:v>大腸がん発見率</c:v>
                </c:pt>
              </c:strCache>
            </c:strRef>
          </c:tx>
          <c:spPr>
            <a:gradFill>
              <a:gsLst>
                <a:gs pos="0">
                  <a:srgbClr val="5E9EFF"/>
                </a:gs>
                <a:gs pos="39999">
                  <a:srgbClr val="85C2FF"/>
                </a:gs>
                <a:gs pos="70000">
                  <a:srgbClr val="C4D6EB"/>
                </a:gs>
                <a:gs pos="100000">
                  <a:srgbClr val="FFEBFA"/>
                </a:gs>
              </a:gsLst>
              <a:lin ang="5400000" scaled="0"/>
            </a:gradFill>
            <a:ln w="12700">
              <a:solidFill>
                <a:sysClr val="windowText" lastClr="000000"/>
              </a:solidFill>
            </a:ln>
          </c:spPr>
          <c:invertIfNegative val="0"/>
          <c:cat>
            <c:strRef>
              <c:f>[5]大腸がん発見率ランキング!$G$2:$G$44</c:f>
              <c:strCache>
                <c:ptCount val="43"/>
                <c:pt idx="0">
                  <c:v>忠岡町</c:v>
                </c:pt>
                <c:pt idx="1">
                  <c:v>大東市</c:v>
                </c:pt>
                <c:pt idx="2">
                  <c:v>四條畷市</c:v>
                </c:pt>
                <c:pt idx="3">
                  <c:v>柏原市</c:v>
                </c:pt>
                <c:pt idx="4">
                  <c:v>貝塚市</c:v>
                </c:pt>
                <c:pt idx="5">
                  <c:v>千早赤阪村</c:v>
                </c:pt>
                <c:pt idx="6">
                  <c:v>田尻町</c:v>
                </c:pt>
                <c:pt idx="7">
                  <c:v>泉南市</c:v>
                </c:pt>
                <c:pt idx="8">
                  <c:v>羽曳野市</c:v>
                </c:pt>
                <c:pt idx="9">
                  <c:v>阪南市</c:v>
                </c:pt>
                <c:pt idx="10">
                  <c:v>岬町</c:v>
                </c:pt>
                <c:pt idx="11">
                  <c:v>島本町</c:v>
                </c:pt>
                <c:pt idx="12">
                  <c:v>泉大津市</c:v>
                </c:pt>
                <c:pt idx="13">
                  <c:v>富田林市</c:v>
                </c:pt>
                <c:pt idx="14">
                  <c:v>大阪市</c:v>
                </c:pt>
                <c:pt idx="15">
                  <c:v>八尾市</c:v>
                </c:pt>
                <c:pt idx="16">
                  <c:v>高石市</c:v>
                </c:pt>
                <c:pt idx="17">
                  <c:v>河内長野市</c:v>
                </c:pt>
                <c:pt idx="18">
                  <c:v>岸和田市</c:v>
                </c:pt>
                <c:pt idx="19">
                  <c:v>河南町</c:v>
                </c:pt>
                <c:pt idx="20">
                  <c:v>寝屋川市</c:v>
                </c:pt>
                <c:pt idx="21">
                  <c:v>熊取町</c:v>
                </c:pt>
                <c:pt idx="22">
                  <c:v>堺市</c:v>
                </c:pt>
                <c:pt idx="23">
                  <c:v>泉佐野市</c:v>
                </c:pt>
                <c:pt idx="24">
                  <c:v>東大阪市</c:v>
                </c:pt>
                <c:pt idx="25">
                  <c:v>太子町</c:v>
                </c:pt>
                <c:pt idx="26">
                  <c:v>高槻市</c:v>
                </c:pt>
                <c:pt idx="27">
                  <c:v>豊中市</c:v>
                </c:pt>
                <c:pt idx="28">
                  <c:v>枚方市</c:v>
                </c:pt>
                <c:pt idx="29">
                  <c:v>茨木市</c:v>
                </c:pt>
                <c:pt idx="30">
                  <c:v>吹田市</c:v>
                </c:pt>
                <c:pt idx="31">
                  <c:v>大阪狭山市</c:v>
                </c:pt>
                <c:pt idx="32">
                  <c:v>摂津市</c:v>
                </c:pt>
                <c:pt idx="33">
                  <c:v>門真市</c:v>
                </c:pt>
                <c:pt idx="34">
                  <c:v>松原市</c:v>
                </c:pt>
                <c:pt idx="35">
                  <c:v>守口市</c:v>
                </c:pt>
                <c:pt idx="36">
                  <c:v>交野市</c:v>
                </c:pt>
                <c:pt idx="37">
                  <c:v>箕面市</c:v>
                </c:pt>
                <c:pt idx="38">
                  <c:v>和泉市</c:v>
                </c:pt>
                <c:pt idx="39">
                  <c:v>能勢町</c:v>
                </c:pt>
                <c:pt idx="40">
                  <c:v>豊能町</c:v>
                </c:pt>
                <c:pt idx="41">
                  <c:v>藤井寺市</c:v>
                </c:pt>
                <c:pt idx="42">
                  <c:v>池田市</c:v>
                </c:pt>
              </c:strCache>
            </c:strRef>
          </c:cat>
          <c:val>
            <c:numRef>
              <c:f>[5]大腸がん発見率ランキング!$H$2:$H$44</c:f>
              <c:numCache>
                <c:formatCode>General</c:formatCode>
                <c:ptCount val="43"/>
                <c:pt idx="0">
                  <c:v>0.76628352490421447</c:v>
                </c:pt>
                <c:pt idx="1">
                  <c:v>0.75012933264355919</c:v>
                </c:pt>
                <c:pt idx="2">
                  <c:v>0.60728744939271251</c:v>
                </c:pt>
                <c:pt idx="3">
                  <c:v>0.52770448548812665</c:v>
                </c:pt>
                <c:pt idx="4">
                  <c:v>0.49817336433078707</c:v>
                </c:pt>
                <c:pt idx="5">
                  <c:v>0.47393364928909953</c:v>
                </c:pt>
                <c:pt idx="6">
                  <c:v>0.46403712296983757</c:v>
                </c:pt>
                <c:pt idx="7">
                  <c:v>0.45532157085941949</c:v>
                </c:pt>
                <c:pt idx="8">
                  <c:v>0.43751709051134807</c:v>
                </c:pt>
                <c:pt idx="9">
                  <c:v>0.43050430504305043</c:v>
                </c:pt>
                <c:pt idx="10">
                  <c:v>0.42372881355932202</c:v>
                </c:pt>
                <c:pt idx="11">
                  <c:v>0.37764350453172207</c:v>
                </c:pt>
                <c:pt idx="12">
                  <c:v>0.35046728971962615</c:v>
                </c:pt>
                <c:pt idx="13">
                  <c:v>0.33641715727502103</c:v>
                </c:pt>
                <c:pt idx="14">
                  <c:v>0.31409771419400689</c:v>
                </c:pt>
                <c:pt idx="15">
                  <c:v>0.30674846625766872</c:v>
                </c:pt>
                <c:pt idx="16">
                  <c:v>0.30599755201958384</c:v>
                </c:pt>
                <c:pt idx="17">
                  <c:v>0.29991431019708653</c:v>
                </c:pt>
                <c:pt idx="18">
                  <c:v>0.29506814669102149</c:v>
                </c:pt>
                <c:pt idx="19">
                  <c:v>0.2932551319648094</c:v>
                </c:pt>
                <c:pt idx="20">
                  <c:v>0.28205684530266867</c:v>
                </c:pt>
                <c:pt idx="21">
                  <c:v>0.27913468248429868</c:v>
                </c:pt>
                <c:pt idx="22">
                  <c:v>0.27437737441958632</c:v>
                </c:pt>
                <c:pt idx="23">
                  <c:v>0.27247956403269752</c:v>
                </c:pt>
                <c:pt idx="24">
                  <c:v>0.26544561682925211</c:v>
                </c:pt>
                <c:pt idx="25">
                  <c:v>0.26315789473684209</c:v>
                </c:pt>
                <c:pt idx="26">
                  <c:v>0.26103602297117001</c:v>
                </c:pt>
                <c:pt idx="27">
                  <c:v>0.26099925428784487</c:v>
                </c:pt>
                <c:pt idx="28">
                  <c:v>0.25769875016106175</c:v>
                </c:pt>
                <c:pt idx="29">
                  <c:v>0.25519183386131644</c:v>
                </c:pt>
                <c:pt idx="30">
                  <c:v>0.2474547511312217</c:v>
                </c:pt>
                <c:pt idx="31">
                  <c:v>0.24248302618816686</c:v>
                </c:pt>
                <c:pt idx="32">
                  <c:v>0.23743569449940641</c:v>
                </c:pt>
                <c:pt idx="33">
                  <c:v>0.21824530772588391</c:v>
                </c:pt>
                <c:pt idx="34">
                  <c:v>0.21645021645021645</c:v>
                </c:pt>
                <c:pt idx="35">
                  <c:v>0.21173623714458562</c:v>
                </c:pt>
                <c:pt idx="36">
                  <c:v>0.20891364902506965</c:v>
                </c:pt>
                <c:pt idx="37">
                  <c:v>0.1982029598308668</c:v>
                </c:pt>
                <c:pt idx="38">
                  <c:v>0.19736842105263158</c:v>
                </c:pt>
                <c:pt idx="39">
                  <c:v>0.18726591760299627</c:v>
                </c:pt>
                <c:pt idx="40">
                  <c:v>0.17889087656529518</c:v>
                </c:pt>
                <c:pt idx="41">
                  <c:v>0.16181229773462785</c:v>
                </c:pt>
                <c:pt idx="42">
                  <c:v>0.13711151736745886</c:v>
                </c:pt>
              </c:numCache>
            </c:numRef>
          </c:val>
          <c:extLst>
            <c:ext xmlns:c16="http://schemas.microsoft.com/office/drawing/2014/chart" uri="{C3380CC4-5D6E-409C-BE32-E72D297353CC}">
              <c16:uniqueId val="{00000000-834A-4934-AAD8-8654B1501124}"/>
            </c:ext>
          </c:extLst>
        </c:ser>
        <c:dLbls>
          <c:showLegendKey val="0"/>
          <c:showVal val="0"/>
          <c:showCatName val="0"/>
          <c:showSerName val="0"/>
          <c:showPercent val="0"/>
          <c:showBubbleSize val="0"/>
        </c:dLbls>
        <c:gapWidth val="150"/>
        <c:axId val="655201064"/>
        <c:axId val="655201456"/>
      </c:barChart>
      <c:lineChart>
        <c:grouping val="standard"/>
        <c:varyColors val="0"/>
        <c:ser>
          <c:idx val="1"/>
          <c:order val="1"/>
          <c:tx>
            <c:strRef>
              <c:f>'\\LS220DBBBD\share\大阪がん検診\◆精度管理\R５がん検診\冊子用\表・グラフ\Ｄ1～Ｄ5　単年度ランキング\[D2　R5大腸がんグラフ.xlsx]大腸がん発見率ランキング'!$I$1</c:f>
              <c:strCache>
                <c:ptCount val="1"/>
                <c:pt idx="0">
                  <c:v>大阪府平均</c:v>
                </c:pt>
              </c:strCache>
            </c:strRef>
          </c:tx>
          <c:spPr>
            <a:ln w="19050">
              <a:solidFill>
                <a:sysClr val="windowText" lastClr="000000"/>
              </a:solidFill>
            </a:ln>
          </c:spPr>
          <c:marker>
            <c:symbol val="none"/>
          </c:marker>
          <c:cat>
            <c:strRef>
              <c:f>[5]大腸がん発見率ランキング!$G$2:$G$44</c:f>
              <c:strCache>
                <c:ptCount val="43"/>
                <c:pt idx="0">
                  <c:v>忠岡町</c:v>
                </c:pt>
                <c:pt idx="1">
                  <c:v>大東市</c:v>
                </c:pt>
                <c:pt idx="2">
                  <c:v>四條畷市</c:v>
                </c:pt>
                <c:pt idx="3">
                  <c:v>柏原市</c:v>
                </c:pt>
                <c:pt idx="4">
                  <c:v>貝塚市</c:v>
                </c:pt>
                <c:pt idx="5">
                  <c:v>千早赤阪村</c:v>
                </c:pt>
                <c:pt idx="6">
                  <c:v>田尻町</c:v>
                </c:pt>
                <c:pt idx="7">
                  <c:v>泉南市</c:v>
                </c:pt>
                <c:pt idx="8">
                  <c:v>羽曳野市</c:v>
                </c:pt>
                <c:pt idx="9">
                  <c:v>阪南市</c:v>
                </c:pt>
                <c:pt idx="10">
                  <c:v>岬町</c:v>
                </c:pt>
                <c:pt idx="11">
                  <c:v>島本町</c:v>
                </c:pt>
                <c:pt idx="12">
                  <c:v>泉大津市</c:v>
                </c:pt>
                <c:pt idx="13">
                  <c:v>富田林市</c:v>
                </c:pt>
                <c:pt idx="14">
                  <c:v>大阪市</c:v>
                </c:pt>
                <c:pt idx="15">
                  <c:v>八尾市</c:v>
                </c:pt>
                <c:pt idx="16">
                  <c:v>高石市</c:v>
                </c:pt>
                <c:pt idx="17">
                  <c:v>河内長野市</c:v>
                </c:pt>
                <c:pt idx="18">
                  <c:v>岸和田市</c:v>
                </c:pt>
                <c:pt idx="19">
                  <c:v>河南町</c:v>
                </c:pt>
                <c:pt idx="20">
                  <c:v>寝屋川市</c:v>
                </c:pt>
                <c:pt idx="21">
                  <c:v>熊取町</c:v>
                </c:pt>
                <c:pt idx="22">
                  <c:v>堺市</c:v>
                </c:pt>
                <c:pt idx="23">
                  <c:v>泉佐野市</c:v>
                </c:pt>
                <c:pt idx="24">
                  <c:v>東大阪市</c:v>
                </c:pt>
                <c:pt idx="25">
                  <c:v>太子町</c:v>
                </c:pt>
                <c:pt idx="26">
                  <c:v>高槻市</c:v>
                </c:pt>
                <c:pt idx="27">
                  <c:v>豊中市</c:v>
                </c:pt>
                <c:pt idx="28">
                  <c:v>枚方市</c:v>
                </c:pt>
                <c:pt idx="29">
                  <c:v>茨木市</c:v>
                </c:pt>
                <c:pt idx="30">
                  <c:v>吹田市</c:v>
                </c:pt>
                <c:pt idx="31">
                  <c:v>大阪狭山市</c:v>
                </c:pt>
                <c:pt idx="32">
                  <c:v>摂津市</c:v>
                </c:pt>
                <c:pt idx="33">
                  <c:v>門真市</c:v>
                </c:pt>
                <c:pt idx="34">
                  <c:v>松原市</c:v>
                </c:pt>
                <c:pt idx="35">
                  <c:v>守口市</c:v>
                </c:pt>
                <c:pt idx="36">
                  <c:v>交野市</c:v>
                </c:pt>
                <c:pt idx="37">
                  <c:v>箕面市</c:v>
                </c:pt>
                <c:pt idx="38">
                  <c:v>和泉市</c:v>
                </c:pt>
                <c:pt idx="39">
                  <c:v>能勢町</c:v>
                </c:pt>
                <c:pt idx="40">
                  <c:v>豊能町</c:v>
                </c:pt>
                <c:pt idx="41">
                  <c:v>藤井寺市</c:v>
                </c:pt>
                <c:pt idx="42">
                  <c:v>池田市</c:v>
                </c:pt>
              </c:strCache>
            </c:strRef>
          </c:cat>
          <c:val>
            <c:numRef>
              <c:f>[5]大腸がん発見率ランキング!$I$2:$I$44</c:f>
              <c:numCache>
                <c:formatCode>General</c:formatCode>
                <c:ptCount val="43"/>
                <c:pt idx="0">
                  <c:v>0.28999999999999998</c:v>
                </c:pt>
                <c:pt idx="1">
                  <c:v>0.28999999999999998</c:v>
                </c:pt>
                <c:pt idx="2">
                  <c:v>0.28999999999999998</c:v>
                </c:pt>
                <c:pt idx="3">
                  <c:v>0.28999999999999998</c:v>
                </c:pt>
                <c:pt idx="4">
                  <c:v>0.28999999999999998</c:v>
                </c:pt>
                <c:pt idx="5">
                  <c:v>0.28999999999999998</c:v>
                </c:pt>
                <c:pt idx="6">
                  <c:v>0.28999999999999998</c:v>
                </c:pt>
                <c:pt idx="7">
                  <c:v>0.28999999999999998</c:v>
                </c:pt>
                <c:pt idx="8">
                  <c:v>0.28999999999999998</c:v>
                </c:pt>
                <c:pt idx="9">
                  <c:v>0.28999999999999998</c:v>
                </c:pt>
                <c:pt idx="10">
                  <c:v>0.28999999999999998</c:v>
                </c:pt>
                <c:pt idx="11">
                  <c:v>0.28999999999999998</c:v>
                </c:pt>
                <c:pt idx="12">
                  <c:v>0.28999999999999998</c:v>
                </c:pt>
                <c:pt idx="13">
                  <c:v>0.28999999999999998</c:v>
                </c:pt>
                <c:pt idx="14">
                  <c:v>0.28999999999999998</c:v>
                </c:pt>
                <c:pt idx="15">
                  <c:v>0.28999999999999998</c:v>
                </c:pt>
                <c:pt idx="16">
                  <c:v>0.28999999999999998</c:v>
                </c:pt>
                <c:pt idx="17">
                  <c:v>0.28999999999999998</c:v>
                </c:pt>
                <c:pt idx="18">
                  <c:v>0.28999999999999998</c:v>
                </c:pt>
                <c:pt idx="19">
                  <c:v>0.28999999999999998</c:v>
                </c:pt>
                <c:pt idx="20">
                  <c:v>0.28999999999999998</c:v>
                </c:pt>
                <c:pt idx="21">
                  <c:v>0.28999999999999998</c:v>
                </c:pt>
                <c:pt idx="22">
                  <c:v>0.28999999999999998</c:v>
                </c:pt>
                <c:pt idx="23">
                  <c:v>0.28999999999999998</c:v>
                </c:pt>
                <c:pt idx="24">
                  <c:v>0.28999999999999998</c:v>
                </c:pt>
                <c:pt idx="25">
                  <c:v>0.28999999999999998</c:v>
                </c:pt>
                <c:pt idx="26">
                  <c:v>0.28999999999999998</c:v>
                </c:pt>
                <c:pt idx="27">
                  <c:v>0.28999999999999998</c:v>
                </c:pt>
                <c:pt idx="28">
                  <c:v>0.28999999999999998</c:v>
                </c:pt>
                <c:pt idx="29">
                  <c:v>0.28999999999999998</c:v>
                </c:pt>
                <c:pt idx="30">
                  <c:v>0.28999999999999998</c:v>
                </c:pt>
                <c:pt idx="31">
                  <c:v>0.28999999999999998</c:v>
                </c:pt>
                <c:pt idx="32">
                  <c:v>0.28999999999999998</c:v>
                </c:pt>
                <c:pt idx="33">
                  <c:v>0.28999999999999998</c:v>
                </c:pt>
                <c:pt idx="34">
                  <c:v>0.28999999999999998</c:v>
                </c:pt>
                <c:pt idx="35">
                  <c:v>0.28999999999999998</c:v>
                </c:pt>
                <c:pt idx="36">
                  <c:v>0.28999999999999998</c:v>
                </c:pt>
                <c:pt idx="37">
                  <c:v>0.28999999999999998</c:v>
                </c:pt>
                <c:pt idx="38">
                  <c:v>0.28999999999999998</c:v>
                </c:pt>
                <c:pt idx="39">
                  <c:v>0.28999999999999998</c:v>
                </c:pt>
                <c:pt idx="40">
                  <c:v>0.28999999999999998</c:v>
                </c:pt>
                <c:pt idx="41">
                  <c:v>0.28999999999999998</c:v>
                </c:pt>
                <c:pt idx="42">
                  <c:v>0.28999999999999998</c:v>
                </c:pt>
              </c:numCache>
            </c:numRef>
          </c:val>
          <c:smooth val="0"/>
          <c:extLst>
            <c:ext xmlns:c16="http://schemas.microsoft.com/office/drawing/2014/chart" uri="{C3380CC4-5D6E-409C-BE32-E72D297353CC}">
              <c16:uniqueId val="{00000001-834A-4934-AAD8-8654B1501124}"/>
            </c:ext>
          </c:extLst>
        </c:ser>
        <c:ser>
          <c:idx val="2"/>
          <c:order val="2"/>
          <c:tx>
            <c:strRef>
              <c:f>'\\LS220DBBBD\share\大阪がん検診\◆精度管理\R５がん検診\冊子用\表・グラフ\Ｄ1～Ｄ5　単年度ランキング\[D2　R5大腸がんグラフ.xlsx]大腸がん発見率ランキング'!$J$1</c:f>
              <c:strCache>
                <c:ptCount val="1"/>
                <c:pt idx="0">
                  <c:v>基準値</c:v>
                </c:pt>
              </c:strCache>
            </c:strRef>
          </c:tx>
          <c:spPr>
            <a:ln w="22225" cmpd="thinThick">
              <a:prstDash val="sysDot"/>
              <a:round/>
            </a:ln>
          </c:spPr>
          <c:marker>
            <c:symbol val="none"/>
          </c:marker>
          <c:cat>
            <c:strRef>
              <c:f>[5]大腸がん発見率ランキング!$G$2:$G$44</c:f>
              <c:strCache>
                <c:ptCount val="43"/>
                <c:pt idx="0">
                  <c:v>忠岡町</c:v>
                </c:pt>
                <c:pt idx="1">
                  <c:v>大東市</c:v>
                </c:pt>
                <c:pt idx="2">
                  <c:v>四條畷市</c:v>
                </c:pt>
                <c:pt idx="3">
                  <c:v>柏原市</c:v>
                </c:pt>
                <c:pt idx="4">
                  <c:v>貝塚市</c:v>
                </c:pt>
                <c:pt idx="5">
                  <c:v>千早赤阪村</c:v>
                </c:pt>
                <c:pt idx="6">
                  <c:v>田尻町</c:v>
                </c:pt>
                <c:pt idx="7">
                  <c:v>泉南市</c:v>
                </c:pt>
                <c:pt idx="8">
                  <c:v>羽曳野市</c:v>
                </c:pt>
                <c:pt idx="9">
                  <c:v>阪南市</c:v>
                </c:pt>
                <c:pt idx="10">
                  <c:v>岬町</c:v>
                </c:pt>
                <c:pt idx="11">
                  <c:v>島本町</c:v>
                </c:pt>
                <c:pt idx="12">
                  <c:v>泉大津市</c:v>
                </c:pt>
                <c:pt idx="13">
                  <c:v>富田林市</c:v>
                </c:pt>
                <c:pt idx="14">
                  <c:v>大阪市</c:v>
                </c:pt>
                <c:pt idx="15">
                  <c:v>八尾市</c:v>
                </c:pt>
                <c:pt idx="16">
                  <c:v>高石市</c:v>
                </c:pt>
                <c:pt idx="17">
                  <c:v>河内長野市</c:v>
                </c:pt>
                <c:pt idx="18">
                  <c:v>岸和田市</c:v>
                </c:pt>
                <c:pt idx="19">
                  <c:v>河南町</c:v>
                </c:pt>
                <c:pt idx="20">
                  <c:v>寝屋川市</c:v>
                </c:pt>
                <c:pt idx="21">
                  <c:v>熊取町</c:v>
                </c:pt>
                <c:pt idx="22">
                  <c:v>堺市</c:v>
                </c:pt>
                <c:pt idx="23">
                  <c:v>泉佐野市</c:v>
                </c:pt>
                <c:pt idx="24">
                  <c:v>東大阪市</c:v>
                </c:pt>
                <c:pt idx="25">
                  <c:v>太子町</c:v>
                </c:pt>
                <c:pt idx="26">
                  <c:v>高槻市</c:v>
                </c:pt>
                <c:pt idx="27">
                  <c:v>豊中市</c:v>
                </c:pt>
                <c:pt idx="28">
                  <c:v>枚方市</c:v>
                </c:pt>
                <c:pt idx="29">
                  <c:v>茨木市</c:v>
                </c:pt>
                <c:pt idx="30">
                  <c:v>吹田市</c:v>
                </c:pt>
                <c:pt idx="31">
                  <c:v>大阪狭山市</c:v>
                </c:pt>
                <c:pt idx="32">
                  <c:v>摂津市</c:v>
                </c:pt>
                <c:pt idx="33">
                  <c:v>門真市</c:v>
                </c:pt>
                <c:pt idx="34">
                  <c:v>松原市</c:v>
                </c:pt>
                <c:pt idx="35">
                  <c:v>守口市</c:v>
                </c:pt>
                <c:pt idx="36">
                  <c:v>交野市</c:v>
                </c:pt>
                <c:pt idx="37">
                  <c:v>箕面市</c:v>
                </c:pt>
                <c:pt idx="38">
                  <c:v>和泉市</c:v>
                </c:pt>
                <c:pt idx="39">
                  <c:v>能勢町</c:v>
                </c:pt>
                <c:pt idx="40">
                  <c:v>豊能町</c:v>
                </c:pt>
                <c:pt idx="41">
                  <c:v>藤井寺市</c:v>
                </c:pt>
                <c:pt idx="42">
                  <c:v>池田市</c:v>
                </c:pt>
              </c:strCache>
            </c:strRef>
          </c:cat>
          <c:val>
            <c:numRef>
              <c:f>[5]大腸がん発見率ランキング!$J$2:$J$44</c:f>
              <c:numCache>
                <c:formatCode>General</c:formatCode>
                <c:ptCount val="43"/>
                <c:pt idx="0">
                  <c:v>0.21</c:v>
                </c:pt>
                <c:pt idx="1">
                  <c:v>0.21</c:v>
                </c:pt>
                <c:pt idx="2">
                  <c:v>0.21</c:v>
                </c:pt>
                <c:pt idx="3">
                  <c:v>0.21</c:v>
                </c:pt>
                <c:pt idx="4">
                  <c:v>0.21</c:v>
                </c:pt>
                <c:pt idx="5">
                  <c:v>0.21</c:v>
                </c:pt>
                <c:pt idx="6">
                  <c:v>0.21</c:v>
                </c:pt>
                <c:pt idx="7">
                  <c:v>0.21</c:v>
                </c:pt>
                <c:pt idx="8">
                  <c:v>0.21</c:v>
                </c:pt>
                <c:pt idx="9">
                  <c:v>0.21</c:v>
                </c:pt>
                <c:pt idx="10">
                  <c:v>0.21</c:v>
                </c:pt>
                <c:pt idx="11">
                  <c:v>0.21</c:v>
                </c:pt>
                <c:pt idx="12">
                  <c:v>0.21</c:v>
                </c:pt>
                <c:pt idx="13">
                  <c:v>0.21</c:v>
                </c:pt>
                <c:pt idx="14">
                  <c:v>0.21</c:v>
                </c:pt>
                <c:pt idx="15">
                  <c:v>0.21</c:v>
                </c:pt>
                <c:pt idx="16">
                  <c:v>0.21</c:v>
                </c:pt>
                <c:pt idx="17">
                  <c:v>0.21</c:v>
                </c:pt>
                <c:pt idx="18">
                  <c:v>0.21</c:v>
                </c:pt>
                <c:pt idx="19">
                  <c:v>0.21</c:v>
                </c:pt>
                <c:pt idx="20">
                  <c:v>0.21</c:v>
                </c:pt>
                <c:pt idx="21">
                  <c:v>0.21</c:v>
                </c:pt>
                <c:pt idx="22">
                  <c:v>0.21</c:v>
                </c:pt>
                <c:pt idx="23">
                  <c:v>0.21</c:v>
                </c:pt>
                <c:pt idx="24">
                  <c:v>0.21</c:v>
                </c:pt>
                <c:pt idx="25">
                  <c:v>0.21</c:v>
                </c:pt>
                <c:pt idx="26">
                  <c:v>0.21</c:v>
                </c:pt>
                <c:pt idx="27">
                  <c:v>0.21</c:v>
                </c:pt>
                <c:pt idx="28">
                  <c:v>0.21</c:v>
                </c:pt>
                <c:pt idx="29">
                  <c:v>0.21</c:v>
                </c:pt>
                <c:pt idx="30">
                  <c:v>0.21</c:v>
                </c:pt>
                <c:pt idx="31">
                  <c:v>0.21</c:v>
                </c:pt>
                <c:pt idx="32">
                  <c:v>0.21</c:v>
                </c:pt>
                <c:pt idx="33">
                  <c:v>0.21</c:v>
                </c:pt>
                <c:pt idx="34">
                  <c:v>0.21</c:v>
                </c:pt>
                <c:pt idx="35">
                  <c:v>0.21</c:v>
                </c:pt>
                <c:pt idx="36">
                  <c:v>0.21</c:v>
                </c:pt>
                <c:pt idx="37">
                  <c:v>0.21</c:v>
                </c:pt>
                <c:pt idx="38">
                  <c:v>0.21</c:v>
                </c:pt>
                <c:pt idx="39">
                  <c:v>0.21</c:v>
                </c:pt>
                <c:pt idx="40">
                  <c:v>0.21</c:v>
                </c:pt>
                <c:pt idx="41">
                  <c:v>0.21</c:v>
                </c:pt>
                <c:pt idx="42">
                  <c:v>0.21</c:v>
                </c:pt>
              </c:numCache>
            </c:numRef>
          </c:val>
          <c:smooth val="1"/>
          <c:extLst>
            <c:ext xmlns:c16="http://schemas.microsoft.com/office/drawing/2014/chart" uri="{C3380CC4-5D6E-409C-BE32-E72D297353CC}">
              <c16:uniqueId val="{00000002-834A-4934-AAD8-8654B1501124}"/>
            </c:ext>
          </c:extLst>
        </c:ser>
        <c:dLbls>
          <c:showLegendKey val="0"/>
          <c:showVal val="0"/>
          <c:showCatName val="0"/>
          <c:showSerName val="0"/>
          <c:showPercent val="0"/>
          <c:showBubbleSize val="0"/>
        </c:dLbls>
        <c:marker val="1"/>
        <c:smooth val="0"/>
        <c:axId val="655201064"/>
        <c:axId val="655201456"/>
      </c:lineChart>
      <c:catAx>
        <c:axId val="655201064"/>
        <c:scaling>
          <c:orientation val="minMax"/>
        </c:scaling>
        <c:delete val="0"/>
        <c:axPos val="b"/>
        <c:numFmt formatCode="General" sourceLinked="0"/>
        <c:majorTickMark val="out"/>
        <c:minorTickMark val="none"/>
        <c:tickLblPos val="nextTo"/>
        <c:txPr>
          <a:bodyPr rot="0" vert="eaVert"/>
          <a:lstStyle/>
          <a:p>
            <a:pPr>
              <a:defRPr sz="700"/>
            </a:pPr>
            <a:endParaRPr lang="ja-JP"/>
          </a:p>
        </c:txPr>
        <c:crossAx val="655201456"/>
        <c:crosses val="autoZero"/>
        <c:auto val="1"/>
        <c:lblAlgn val="ctr"/>
        <c:lblOffset val="100"/>
        <c:noMultiLvlLbl val="0"/>
      </c:catAx>
      <c:valAx>
        <c:axId val="655201456"/>
        <c:scaling>
          <c:orientation val="minMax"/>
          <c:max val="0.8"/>
          <c:min val="0"/>
        </c:scaling>
        <c:delete val="0"/>
        <c:axPos val="l"/>
        <c:numFmt formatCode="#,##0.00_ " sourceLinked="0"/>
        <c:majorTickMark val="out"/>
        <c:minorTickMark val="none"/>
        <c:tickLblPos val="nextTo"/>
        <c:crossAx val="655201064"/>
        <c:crosses val="autoZero"/>
        <c:crossBetween val="between"/>
        <c:majorUnit val="0.2"/>
      </c:valAx>
      <c:spPr>
        <a:solidFill>
          <a:sysClr val="window" lastClr="FFFFFF">
            <a:lumMod val="85000"/>
          </a:sysClr>
        </a:solidFill>
        <a:ln>
          <a:solidFill>
            <a:schemeClr val="tx1"/>
          </a:solidFill>
        </a:ln>
      </c:spPr>
    </c:plotArea>
    <c:plotVisOnly val="1"/>
    <c:dispBlanksAs val="gap"/>
    <c:showDLblsOverMax val="0"/>
  </c:chart>
  <c:spPr>
    <a:ln>
      <a:solidFill>
        <a:sysClr val="windowText" lastClr="000000"/>
      </a:solid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mn-lt"/>
                <a:ea typeface="+mn-ea"/>
                <a:cs typeface="+mn-cs"/>
              </a:defRPr>
            </a:pPr>
            <a:r>
              <a:rPr lang="ja-JP" altLang="en-US"/>
              <a:t>陽性反応適中度（</a:t>
            </a:r>
            <a:r>
              <a:rPr lang="en-US" altLang="ja-JP"/>
              <a:t>%</a:t>
            </a:r>
            <a:r>
              <a:rPr lang="ja-JP" altLang="en-US"/>
              <a:t>）</a:t>
            </a:r>
          </a:p>
        </c:rich>
      </c:tx>
      <c:overlay val="1"/>
    </c:title>
    <c:autoTitleDeleted val="0"/>
    <c:plotArea>
      <c:layout>
        <c:manualLayout>
          <c:layoutTarget val="inner"/>
          <c:xMode val="edge"/>
          <c:yMode val="edge"/>
          <c:x val="5.2547457594015384E-2"/>
          <c:y val="0.14291570402257991"/>
          <c:w val="0.88698722205177771"/>
          <c:h val="0.63015886748346939"/>
        </c:manualLayout>
      </c:layout>
      <c:barChart>
        <c:barDir val="col"/>
        <c:grouping val="clustered"/>
        <c:varyColors val="0"/>
        <c:ser>
          <c:idx val="0"/>
          <c:order val="0"/>
          <c:tx>
            <c:strRef>
              <c:f>'\\LS220DBBBD\share\大阪がん検診\◆精度管理\R５がん検診\冊子用\表・グラフ\Ｄ1～Ｄ5　単年度ランキング\[D2　R5大腸がんグラフ.xlsx]府HP用陽性反応適中度'!$H$1</c:f>
              <c:strCache>
                <c:ptCount val="1"/>
              </c:strCache>
            </c:strRef>
          </c:tx>
          <c:spPr>
            <a:gradFill>
              <a:gsLst>
                <a:gs pos="0">
                  <a:srgbClr val="5E9EFF"/>
                </a:gs>
                <a:gs pos="39999">
                  <a:srgbClr val="85C2FF"/>
                </a:gs>
                <a:gs pos="70000">
                  <a:srgbClr val="C4D6EB"/>
                </a:gs>
                <a:gs pos="100000">
                  <a:srgbClr val="FFEBFA"/>
                </a:gs>
              </a:gsLst>
              <a:lin ang="5400000" scaled="0"/>
            </a:gradFill>
            <a:ln w="12700">
              <a:solidFill>
                <a:sysClr val="windowText" lastClr="000000"/>
              </a:solidFill>
            </a:ln>
          </c:spPr>
          <c:invertIfNegative val="0"/>
          <c:cat>
            <c:strRef>
              <c:f>[5]府HP用陽性反応適中度!$G$2:$G$44</c:f>
              <c:strCache>
                <c:ptCount val="43"/>
                <c:pt idx="0">
                  <c:v>四條畷市</c:v>
                </c:pt>
                <c:pt idx="1">
                  <c:v>忠岡町</c:v>
                </c:pt>
                <c:pt idx="2">
                  <c:v>大東市</c:v>
                </c:pt>
                <c:pt idx="3">
                  <c:v>柏原市</c:v>
                </c:pt>
                <c:pt idx="4">
                  <c:v>貝塚市</c:v>
                </c:pt>
                <c:pt idx="5">
                  <c:v>泉大津市</c:v>
                </c:pt>
                <c:pt idx="6">
                  <c:v>阪南市</c:v>
                </c:pt>
                <c:pt idx="7">
                  <c:v>千早赤阪村</c:v>
                </c:pt>
                <c:pt idx="8">
                  <c:v>田尻町</c:v>
                </c:pt>
                <c:pt idx="9">
                  <c:v>羽曳野市</c:v>
                </c:pt>
                <c:pt idx="10">
                  <c:v>泉南市</c:v>
                </c:pt>
                <c:pt idx="11">
                  <c:v>岬町</c:v>
                </c:pt>
                <c:pt idx="12">
                  <c:v>河内長野市</c:v>
                </c:pt>
                <c:pt idx="13">
                  <c:v>島本町</c:v>
                </c:pt>
                <c:pt idx="14">
                  <c:v>八尾市</c:v>
                </c:pt>
                <c:pt idx="15">
                  <c:v>大阪市</c:v>
                </c:pt>
                <c:pt idx="16">
                  <c:v>高石市</c:v>
                </c:pt>
                <c:pt idx="17">
                  <c:v>寝屋川市</c:v>
                </c:pt>
                <c:pt idx="18">
                  <c:v>岸和田市</c:v>
                </c:pt>
                <c:pt idx="19">
                  <c:v>吹田市</c:v>
                </c:pt>
                <c:pt idx="20">
                  <c:v>太子町</c:v>
                </c:pt>
                <c:pt idx="21">
                  <c:v>東大阪市</c:v>
                </c:pt>
                <c:pt idx="22">
                  <c:v>熊取町</c:v>
                </c:pt>
                <c:pt idx="23">
                  <c:v>豊中市</c:v>
                </c:pt>
                <c:pt idx="24">
                  <c:v>高槻市</c:v>
                </c:pt>
                <c:pt idx="25">
                  <c:v>富田林市</c:v>
                </c:pt>
                <c:pt idx="26">
                  <c:v>大阪狭山市</c:v>
                </c:pt>
                <c:pt idx="27">
                  <c:v>茨木市</c:v>
                </c:pt>
                <c:pt idx="28">
                  <c:v>河南町</c:v>
                </c:pt>
                <c:pt idx="29">
                  <c:v>泉佐野市</c:v>
                </c:pt>
                <c:pt idx="30">
                  <c:v>堺市</c:v>
                </c:pt>
                <c:pt idx="31">
                  <c:v>豊能町</c:v>
                </c:pt>
                <c:pt idx="32">
                  <c:v>交野市</c:v>
                </c:pt>
                <c:pt idx="33">
                  <c:v>枚方市</c:v>
                </c:pt>
                <c:pt idx="34">
                  <c:v>松原市</c:v>
                </c:pt>
                <c:pt idx="35">
                  <c:v>箕面市</c:v>
                </c:pt>
                <c:pt idx="36">
                  <c:v>藤井寺市</c:v>
                </c:pt>
                <c:pt idx="37">
                  <c:v>門真市</c:v>
                </c:pt>
                <c:pt idx="38">
                  <c:v>和泉市</c:v>
                </c:pt>
                <c:pt idx="39">
                  <c:v>守口市</c:v>
                </c:pt>
                <c:pt idx="40">
                  <c:v>能勢町</c:v>
                </c:pt>
                <c:pt idx="41">
                  <c:v>摂津市</c:v>
                </c:pt>
                <c:pt idx="42">
                  <c:v>池田市</c:v>
                </c:pt>
              </c:strCache>
            </c:strRef>
          </c:cat>
          <c:val>
            <c:numRef>
              <c:f>[5]府HP用陽性反応適中度!$H$2:$H$44</c:f>
              <c:numCache>
                <c:formatCode>General</c:formatCode>
                <c:ptCount val="43"/>
                <c:pt idx="0">
                  <c:v>13.636363636363635</c:v>
                </c:pt>
                <c:pt idx="1">
                  <c:v>12.5</c:v>
                </c:pt>
                <c:pt idx="2">
                  <c:v>10.622710622710622</c:v>
                </c:pt>
                <c:pt idx="3">
                  <c:v>9.0909090909090917</c:v>
                </c:pt>
                <c:pt idx="4">
                  <c:v>8.9820359281437128</c:v>
                </c:pt>
                <c:pt idx="5">
                  <c:v>8.5714285714285712</c:v>
                </c:pt>
                <c:pt idx="6">
                  <c:v>8.4337349397590362</c:v>
                </c:pt>
                <c:pt idx="7">
                  <c:v>8.3333333333333321</c:v>
                </c:pt>
                <c:pt idx="8">
                  <c:v>8.3333333333333321</c:v>
                </c:pt>
                <c:pt idx="9">
                  <c:v>7.9207920792079207</c:v>
                </c:pt>
                <c:pt idx="10">
                  <c:v>6.8965517241379306</c:v>
                </c:pt>
                <c:pt idx="11">
                  <c:v>6.4516129032258061</c:v>
                </c:pt>
                <c:pt idx="12">
                  <c:v>5.761316872427984</c:v>
                </c:pt>
                <c:pt idx="13">
                  <c:v>5.7471264367816088</c:v>
                </c:pt>
                <c:pt idx="14">
                  <c:v>5.6092843326885884</c:v>
                </c:pt>
                <c:pt idx="15">
                  <c:v>5.4214483577364465</c:v>
                </c:pt>
                <c:pt idx="16">
                  <c:v>5.376344086021505</c:v>
                </c:pt>
                <c:pt idx="17">
                  <c:v>5.241935483870968</c:v>
                </c:pt>
                <c:pt idx="18">
                  <c:v>5.1597051597051591</c:v>
                </c:pt>
                <c:pt idx="19">
                  <c:v>5.0359712230215825</c:v>
                </c:pt>
                <c:pt idx="20">
                  <c:v>5</c:v>
                </c:pt>
                <c:pt idx="21">
                  <c:v>4.7281323877068555</c:v>
                </c:pt>
                <c:pt idx="22">
                  <c:v>4.7058823529411766</c:v>
                </c:pt>
                <c:pt idx="23">
                  <c:v>4.704301075268817</c:v>
                </c:pt>
                <c:pt idx="24">
                  <c:v>4.6777546777546783</c:v>
                </c:pt>
                <c:pt idx="25">
                  <c:v>4.6511627906976747</c:v>
                </c:pt>
                <c:pt idx="26">
                  <c:v>4.5871559633027523</c:v>
                </c:pt>
                <c:pt idx="27">
                  <c:v>4.2584434654919239</c:v>
                </c:pt>
                <c:pt idx="28">
                  <c:v>4.2553191489361701</c:v>
                </c:pt>
                <c:pt idx="29">
                  <c:v>4.1379310344827589</c:v>
                </c:pt>
                <c:pt idx="30">
                  <c:v>4.0752351097178678</c:v>
                </c:pt>
                <c:pt idx="31">
                  <c:v>4</c:v>
                </c:pt>
                <c:pt idx="32">
                  <c:v>3.9735099337748347</c:v>
                </c:pt>
                <c:pt idx="33">
                  <c:v>3.9408866995073892</c:v>
                </c:pt>
                <c:pt idx="34">
                  <c:v>3.6303630363036308</c:v>
                </c:pt>
                <c:pt idx="35">
                  <c:v>3.6144578313253009</c:v>
                </c:pt>
                <c:pt idx="36">
                  <c:v>3.6144578313253009</c:v>
                </c:pt>
                <c:pt idx="37">
                  <c:v>3.5460992907801421</c:v>
                </c:pt>
                <c:pt idx="38">
                  <c:v>3.515625</c:v>
                </c:pt>
                <c:pt idx="39">
                  <c:v>3.4146341463414638</c:v>
                </c:pt>
                <c:pt idx="40">
                  <c:v>3.3333333333333335</c:v>
                </c:pt>
                <c:pt idx="41">
                  <c:v>3.3149171270718232</c:v>
                </c:pt>
                <c:pt idx="42">
                  <c:v>2.6086956521739131</c:v>
                </c:pt>
              </c:numCache>
            </c:numRef>
          </c:val>
          <c:extLst>
            <c:ext xmlns:c16="http://schemas.microsoft.com/office/drawing/2014/chart" uri="{C3380CC4-5D6E-409C-BE32-E72D297353CC}">
              <c16:uniqueId val="{00000000-29D9-475C-8B64-BF85E879A380}"/>
            </c:ext>
          </c:extLst>
        </c:ser>
        <c:dLbls>
          <c:showLegendKey val="0"/>
          <c:showVal val="0"/>
          <c:showCatName val="0"/>
          <c:showSerName val="0"/>
          <c:showPercent val="0"/>
          <c:showBubbleSize val="0"/>
        </c:dLbls>
        <c:gapWidth val="150"/>
        <c:axId val="655202240"/>
        <c:axId val="655202632"/>
      </c:barChart>
      <c:lineChart>
        <c:grouping val="standard"/>
        <c:varyColors val="0"/>
        <c:ser>
          <c:idx val="1"/>
          <c:order val="1"/>
          <c:tx>
            <c:strRef>
              <c:f>'\\LS220DBBBD\share\大阪がん検診\◆精度管理\R５がん検診\冊子用\表・グラフ\Ｄ1～Ｄ5　単年度ランキング\[D2　R5大腸がんグラフ.xlsx]府HP用陽性反応適中度'!$I$1</c:f>
              <c:strCache>
                <c:ptCount val="1"/>
                <c:pt idx="0">
                  <c:v>大阪府平均</c:v>
                </c:pt>
              </c:strCache>
            </c:strRef>
          </c:tx>
          <c:spPr>
            <a:ln w="19050">
              <a:solidFill>
                <a:sysClr val="windowText" lastClr="000000"/>
              </a:solidFill>
            </a:ln>
          </c:spPr>
          <c:marker>
            <c:symbol val="none"/>
          </c:marker>
          <c:cat>
            <c:strRef>
              <c:f>[5]府HP用陽性反応適中度!$G$2:$G$44</c:f>
              <c:strCache>
                <c:ptCount val="43"/>
                <c:pt idx="0">
                  <c:v>四條畷市</c:v>
                </c:pt>
                <c:pt idx="1">
                  <c:v>忠岡町</c:v>
                </c:pt>
                <c:pt idx="2">
                  <c:v>大東市</c:v>
                </c:pt>
                <c:pt idx="3">
                  <c:v>柏原市</c:v>
                </c:pt>
                <c:pt idx="4">
                  <c:v>貝塚市</c:v>
                </c:pt>
                <c:pt idx="5">
                  <c:v>泉大津市</c:v>
                </c:pt>
                <c:pt idx="6">
                  <c:v>阪南市</c:v>
                </c:pt>
                <c:pt idx="7">
                  <c:v>千早赤阪村</c:v>
                </c:pt>
                <c:pt idx="8">
                  <c:v>田尻町</c:v>
                </c:pt>
                <c:pt idx="9">
                  <c:v>羽曳野市</c:v>
                </c:pt>
                <c:pt idx="10">
                  <c:v>泉南市</c:v>
                </c:pt>
                <c:pt idx="11">
                  <c:v>岬町</c:v>
                </c:pt>
                <c:pt idx="12">
                  <c:v>河内長野市</c:v>
                </c:pt>
                <c:pt idx="13">
                  <c:v>島本町</c:v>
                </c:pt>
                <c:pt idx="14">
                  <c:v>八尾市</c:v>
                </c:pt>
                <c:pt idx="15">
                  <c:v>大阪市</c:v>
                </c:pt>
                <c:pt idx="16">
                  <c:v>高石市</c:v>
                </c:pt>
                <c:pt idx="17">
                  <c:v>寝屋川市</c:v>
                </c:pt>
                <c:pt idx="18">
                  <c:v>岸和田市</c:v>
                </c:pt>
                <c:pt idx="19">
                  <c:v>吹田市</c:v>
                </c:pt>
                <c:pt idx="20">
                  <c:v>太子町</c:v>
                </c:pt>
                <c:pt idx="21">
                  <c:v>東大阪市</c:v>
                </c:pt>
                <c:pt idx="22">
                  <c:v>熊取町</c:v>
                </c:pt>
                <c:pt idx="23">
                  <c:v>豊中市</c:v>
                </c:pt>
                <c:pt idx="24">
                  <c:v>高槻市</c:v>
                </c:pt>
                <c:pt idx="25">
                  <c:v>富田林市</c:v>
                </c:pt>
                <c:pt idx="26">
                  <c:v>大阪狭山市</c:v>
                </c:pt>
                <c:pt idx="27">
                  <c:v>茨木市</c:v>
                </c:pt>
                <c:pt idx="28">
                  <c:v>河南町</c:v>
                </c:pt>
                <c:pt idx="29">
                  <c:v>泉佐野市</c:v>
                </c:pt>
                <c:pt idx="30">
                  <c:v>堺市</c:v>
                </c:pt>
                <c:pt idx="31">
                  <c:v>豊能町</c:v>
                </c:pt>
                <c:pt idx="32">
                  <c:v>交野市</c:v>
                </c:pt>
                <c:pt idx="33">
                  <c:v>枚方市</c:v>
                </c:pt>
                <c:pt idx="34">
                  <c:v>松原市</c:v>
                </c:pt>
                <c:pt idx="35">
                  <c:v>箕面市</c:v>
                </c:pt>
                <c:pt idx="36">
                  <c:v>藤井寺市</c:v>
                </c:pt>
                <c:pt idx="37">
                  <c:v>門真市</c:v>
                </c:pt>
                <c:pt idx="38">
                  <c:v>和泉市</c:v>
                </c:pt>
                <c:pt idx="39">
                  <c:v>守口市</c:v>
                </c:pt>
                <c:pt idx="40">
                  <c:v>能勢町</c:v>
                </c:pt>
                <c:pt idx="41">
                  <c:v>摂津市</c:v>
                </c:pt>
                <c:pt idx="42">
                  <c:v>池田市</c:v>
                </c:pt>
              </c:strCache>
            </c:strRef>
          </c:cat>
          <c:val>
            <c:numRef>
              <c:f>[5]府HP用陽性反応適中度!$I$2:$I$44</c:f>
              <c:numCache>
                <c:formatCode>General</c:formatCode>
                <c:ptCount val="43"/>
                <c:pt idx="0">
                  <c:v>5</c:v>
                </c:pt>
                <c:pt idx="1">
                  <c:v>5</c:v>
                </c:pt>
                <c:pt idx="2">
                  <c:v>5</c:v>
                </c:pt>
                <c:pt idx="3">
                  <c:v>5</c:v>
                </c:pt>
                <c:pt idx="4">
                  <c:v>5</c:v>
                </c:pt>
                <c:pt idx="5">
                  <c:v>5</c:v>
                </c:pt>
                <c:pt idx="6">
                  <c:v>5</c:v>
                </c:pt>
                <c:pt idx="7">
                  <c:v>5</c:v>
                </c:pt>
                <c:pt idx="8">
                  <c:v>5</c:v>
                </c:pt>
                <c:pt idx="9">
                  <c:v>5</c:v>
                </c:pt>
                <c:pt idx="10">
                  <c:v>5</c:v>
                </c:pt>
                <c:pt idx="11">
                  <c:v>5</c:v>
                </c:pt>
                <c:pt idx="12">
                  <c:v>5</c:v>
                </c:pt>
                <c:pt idx="13">
                  <c:v>5</c:v>
                </c:pt>
                <c:pt idx="14">
                  <c:v>5</c:v>
                </c:pt>
                <c:pt idx="15">
                  <c:v>5</c:v>
                </c:pt>
                <c:pt idx="16">
                  <c:v>5</c:v>
                </c:pt>
                <c:pt idx="17">
                  <c:v>5</c:v>
                </c:pt>
                <c:pt idx="18">
                  <c:v>5</c:v>
                </c:pt>
                <c:pt idx="19">
                  <c:v>5</c:v>
                </c:pt>
                <c:pt idx="20">
                  <c:v>5</c:v>
                </c:pt>
                <c:pt idx="21">
                  <c:v>5</c:v>
                </c:pt>
                <c:pt idx="22">
                  <c:v>5</c:v>
                </c:pt>
                <c:pt idx="23">
                  <c:v>5</c:v>
                </c:pt>
                <c:pt idx="24">
                  <c:v>5</c:v>
                </c:pt>
                <c:pt idx="25">
                  <c:v>5</c:v>
                </c:pt>
                <c:pt idx="26">
                  <c:v>5</c:v>
                </c:pt>
                <c:pt idx="27">
                  <c:v>5</c:v>
                </c:pt>
                <c:pt idx="28">
                  <c:v>5</c:v>
                </c:pt>
                <c:pt idx="29">
                  <c:v>5</c:v>
                </c:pt>
                <c:pt idx="30">
                  <c:v>5</c:v>
                </c:pt>
                <c:pt idx="31">
                  <c:v>5</c:v>
                </c:pt>
                <c:pt idx="32">
                  <c:v>5</c:v>
                </c:pt>
                <c:pt idx="33">
                  <c:v>5</c:v>
                </c:pt>
                <c:pt idx="34">
                  <c:v>5</c:v>
                </c:pt>
                <c:pt idx="35">
                  <c:v>5</c:v>
                </c:pt>
                <c:pt idx="36">
                  <c:v>5</c:v>
                </c:pt>
                <c:pt idx="37">
                  <c:v>5</c:v>
                </c:pt>
                <c:pt idx="38">
                  <c:v>5</c:v>
                </c:pt>
                <c:pt idx="39">
                  <c:v>5</c:v>
                </c:pt>
                <c:pt idx="40">
                  <c:v>5</c:v>
                </c:pt>
                <c:pt idx="41">
                  <c:v>5</c:v>
                </c:pt>
                <c:pt idx="42">
                  <c:v>5</c:v>
                </c:pt>
              </c:numCache>
            </c:numRef>
          </c:val>
          <c:smooth val="0"/>
          <c:extLst>
            <c:ext xmlns:c16="http://schemas.microsoft.com/office/drawing/2014/chart" uri="{C3380CC4-5D6E-409C-BE32-E72D297353CC}">
              <c16:uniqueId val="{00000001-29D9-475C-8B64-BF85E879A380}"/>
            </c:ext>
          </c:extLst>
        </c:ser>
        <c:ser>
          <c:idx val="2"/>
          <c:order val="2"/>
          <c:tx>
            <c:strRef>
              <c:f>'\\LS220DBBBD\share\大阪がん検診\◆精度管理\R５がん検診\冊子用\表・グラフ\Ｄ1～Ｄ5　単年度ランキング\[D2　R5大腸がんグラフ.xlsx]府HP用陽性反応適中度'!$J$1</c:f>
              <c:strCache>
                <c:ptCount val="1"/>
                <c:pt idx="0">
                  <c:v>基準値</c:v>
                </c:pt>
              </c:strCache>
            </c:strRef>
          </c:tx>
          <c:spPr>
            <a:ln w="22225" cmpd="thinThick">
              <a:prstDash val="sysDot"/>
              <a:round/>
            </a:ln>
          </c:spPr>
          <c:marker>
            <c:symbol val="none"/>
          </c:marker>
          <c:cat>
            <c:strRef>
              <c:f>[5]府HP用陽性反応適中度!$G$2:$G$44</c:f>
              <c:strCache>
                <c:ptCount val="43"/>
                <c:pt idx="0">
                  <c:v>四條畷市</c:v>
                </c:pt>
                <c:pt idx="1">
                  <c:v>忠岡町</c:v>
                </c:pt>
                <c:pt idx="2">
                  <c:v>大東市</c:v>
                </c:pt>
                <c:pt idx="3">
                  <c:v>柏原市</c:v>
                </c:pt>
                <c:pt idx="4">
                  <c:v>貝塚市</c:v>
                </c:pt>
                <c:pt idx="5">
                  <c:v>泉大津市</c:v>
                </c:pt>
                <c:pt idx="6">
                  <c:v>阪南市</c:v>
                </c:pt>
                <c:pt idx="7">
                  <c:v>千早赤阪村</c:v>
                </c:pt>
                <c:pt idx="8">
                  <c:v>田尻町</c:v>
                </c:pt>
                <c:pt idx="9">
                  <c:v>羽曳野市</c:v>
                </c:pt>
                <c:pt idx="10">
                  <c:v>泉南市</c:v>
                </c:pt>
                <c:pt idx="11">
                  <c:v>岬町</c:v>
                </c:pt>
                <c:pt idx="12">
                  <c:v>河内長野市</c:v>
                </c:pt>
                <c:pt idx="13">
                  <c:v>島本町</c:v>
                </c:pt>
                <c:pt idx="14">
                  <c:v>八尾市</c:v>
                </c:pt>
                <c:pt idx="15">
                  <c:v>大阪市</c:v>
                </c:pt>
                <c:pt idx="16">
                  <c:v>高石市</c:v>
                </c:pt>
                <c:pt idx="17">
                  <c:v>寝屋川市</c:v>
                </c:pt>
                <c:pt idx="18">
                  <c:v>岸和田市</c:v>
                </c:pt>
                <c:pt idx="19">
                  <c:v>吹田市</c:v>
                </c:pt>
                <c:pt idx="20">
                  <c:v>太子町</c:v>
                </c:pt>
                <c:pt idx="21">
                  <c:v>東大阪市</c:v>
                </c:pt>
                <c:pt idx="22">
                  <c:v>熊取町</c:v>
                </c:pt>
                <c:pt idx="23">
                  <c:v>豊中市</c:v>
                </c:pt>
                <c:pt idx="24">
                  <c:v>高槻市</c:v>
                </c:pt>
                <c:pt idx="25">
                  <c:v>富田林市</c:v>
                </c:pt>
                <c:pt idx="26">
                  <c:v>大阪狭山市</c:v>
                </c:pt>
                <c:pt idx="27">
                  <c:v>茨木市</c:v>
                </c:pt>
                <c:pt idx="28">
                  <c:v>河南町</c:v>
                </c:pt>
                <c:pt idx="29">
                  <c:v>泉佐野市</c:v>
                </c:pt>
                <c:pt idx="30">
                  <c:v>堺市</c:v>
                </c:pt>
                <c:pt idx="31">
                  <c:v>豊能町</c:v>
                </c:pt>
                <c:pt idx="32">
                  <c:v>交野市</c:v>
                </c:pt>
                <c:pt idx="33">
                  <c:v>枚方市</c:v>
                </c:pt>
                <c:pt idx="34">
                  <c:v>松原市</c:v>
                </c:pt>
                <c:pt idx="35">
                  <c:v>箕面市</c:v>
                </c:pt>
                <c:pt idx="36">
                  <c:v>藤井寺市</c:v>
                </c:pt>
                <c:pt idx="37">
                  <c:v>門真市</c:v>
                </c:pt>
                <c:pt idx="38">
                  <c:v>和泉市</c:v>
                </c:pt>
                <c:pt idx="39">
                  <c:v>守口市</c:v>
                </c:pt>
                <c:pt idx="40">
                  <c:v>能勢町</c:v>
                </c:pt>
                <c:pt idx="41">
                  <c:v>摂津市</c:v>
                </c:pt>
                <c:pt idx="42">
                  <c:v>池田市</c:v>
                </c:pt>
              </c:strCache>
            </c:strRef>
          </c:cat>
          <c:val>
            <c:numRef>
              <c:f>[5]府HP用陽性反応適中度!$J$2:$J$44</c:f>
              <c:numCache>
                <c:formatCode>General</c:formatCode>
                <c:ptCount val="43"/>
                <c:pt idx="0">
                  <c:v>3</c:v>
                </c:pt>
                <c:pt idx="1">
                  <c:v>3</c:v>
                </c:pt>
                <c:pt idx="2">
                  <c:v>3</c:v>
                </c:pt>
                <c:pt idx="3">
                  <c:v>3</c:v>
                </c:pt>
                <c:pt idx="4">
                  <c:v>3</c:v>
                </c:pt>
                <c:pt idx="5">
                  <c:v>3</c:v>
                </c:pt>
                <c:pt idx="6">
                  <c:v>3</c:v>
                </c:pt>
                <c:pt idx="7">
                  <c:v>3</c:v>
                </c:pt>
                <c:pt idx="8">
                  <c:v>3</c:v>
                </c:pt>
                <c:pt idx="9">
                  <c:v>3</c:v>
                </c:pt>
                <c:pt idx="10">
                  <c:v>3</c:v>
                </c:pt>
                <c:pt idx="11">
                  <c:v>3</c:v>
                </c:pt>
                <c:pt idx="12">
                  <c:v>3</c:v>
                </c:pt>
                <c:pt idx="13">
                  <c:v>3</c:v>
                </c:pt>
                <c:pt idx="14">
                  <c:v>3</c:v>
                </c:pt>
                <c:pt idx="15">
                  <c:v>3</c:v>
                </c:pt>
                <c:pt idx="16">
                  <c:v>3</c:v>
                </c:pt>
                <c:pt idx="17">
                  <c:v>3</c:v>
                </c:pt>
                <c:pt idx="18">
                  <c:v>3</c:v>
                </c:pt>
                <c:pt idx="19">
                  <c:v>3</c:v>
                </c:pt>
                <c:pt idx="20">
                  <c:v>3</c:v>
                </c:pt>
                <c:pt idx="21">
                  <c:v>3</c:v>
                </c:pt>
                <c:pt idx="22">
                  <c:v>3</c:v>
                </c:pt>
                <c:pt idx="23">
                  <c:v>3</c:v>
                </c:pt>
                <c:pt idx="24">
                  <c:v>3</c:v>
                </c:pt>
                <c:pt idx="25">
                  <c:v>3</c:v>
                </c:pt>
                <c:pt idx="26">
                  <c:v>3</c:v>
                </c:pt>
                <c:pt idx="27">
                  <c:v>3</c:v>
                </c:pt>
                <c:pt idx="28">
                  <c:v>3</c:v>
                </c:pt>
                <c:pt idx="29">
                  <c:v>3</c:v>
                </c:pt>
                <c:pt idx="30">
                  <c:v>3</c:v>
                </c:pt>
                <c:pt idx="31">
                  <c:v>3</c:v>
                </c:pt>
                <c:pt idx="32">
                  <c:v>3</c:v>
                </c:pt>
                <c:pt idx="33">
                  <c:v>3</c:v>
                </c:pt>
                <c:pt idx="34">
                  <c:v>3</c:v>
                </c:pt>
                <c:pt idx="35">
                  <c:v>3</c:v>
                </c:pt>
                <c:pt idx="36">
                  <c:v>3</c:v>
                </c:pt>
                <c:pt idx="37">
                  <c:v>3</c:v>
                </c:pt>
                <c:pt idx="38">
                  <c:v>3</c:v>
                </c:pt>
                <c:pt idx="39">
                  <c:v>3</c:v>
                </c:pt>
                <c:pt idx="40">
                  <c:v>3</c:v>
                </c:pt>
                <c:pt idx="41">
                  <c:v>3</c:v>
                </c:pt>
                <c:pt idx="42">
                  <c:v>3</c:v>
                </c:pt>
              </c:numCache>
            </c:numRef>
          </c:val>
          <c:smooth val="1"/>
          <c:extLst>
            <c:ext xmlns:c16="http://schemas.microsoft.com/office/drawing/2014/chart" uri="{C3380CC4-5D6E-409C-BE32-E72D297353CC}">
              <c16:uniqueId val="{00000002-29D9-475C-8B64-BF85E879A380}"/>
            </c:ext>
          </c:extLst>
        </c:ser>
        <c:dLbls>
          <c:showLegendKey val="0"/>
          <c:showVal val="0"/>
          <c:showCatName val="0"/>
          <c:showSerName val="0"/>
          <c:showPercent val="0"/>
          <c:showBubbleSize val="0"/>
        </c:dLbls>
        <c:marker val="1"/>
        <c:smooth val="0"/>
        <c:axId val="655202240"/>
        <c:axId val="655202632"/>
      </c:lineChart>
      <c:catAx>
        <c:axId val="655202240"/>
        <c:scaling>
          <c:orientation val="minMax"/>
        </c:scaling>
        <c:delete val="0"/>
        <c:axPos val="b"/>
        <c:numFmt formatCode="General" sourceLinked="0"/>
        <c:majorTickMark val="out"/>
        <c:minorTickMark val="none"/>
        <c:tickLblPos val="nextTo"/>
        <c:txPr>
          <a:bodyPr rot="0" vert="eaVert"/>
          <a:lstStyle/>
          <a:p>
            <a:pPr>
              <a:defRPr sz="700"/>
            </a:pPr>
            <a:endParaRPr lang="ja-JP"/>
          </a:p>
        </c:txPr>
        <c:crossAx val="655202632"/>
        <c:crosses val="autoZero"/>
        <c:auto val="1"/>
        <c:lblAlgn val="ctr"/>
        <c:lblOffset val="100"/>
        <c:noMultiLvlLbl val="0"/>
      </c:catAx>
      <c:valAx>
        <c:axId val="655202632"/>
        <c:scaling>
          <c:orientation val="minMax"/>
          <c:max val="14"/>
          <c:min val="0"/>
        </c:scaling>
        <c:delete val="0"/>
        <c:axPos val="l"/>
        <c:numFmt formatCode="#,##0.0_ " sourceLinked="0"/>
        <c:majorTickMark val="out"/>
        <c:minorTickMark val="none"/>
        <c:tickLblPos val="nextTo"/>
        <c:crossAx val="655202240"/>
        <c:crosses val="autoZero"/>
        <c:crossBetween val="between"/>
      </c:valAx>
      <c:spPr>
        <a:solidFill>
          <a:sysClr val="window" lastClr="FFFFFF">
            <a:lumMod val="85000"/>
          </a:sysClr>
        </a:solidFill>
        <a:ln>
          <a:solidFill>
            <a:schemeClr val="tx1"/>
          </a:solidFill>
        </a:ln>
      </c:spPr>
    </c:plotArea>
    <c:plotVisOnly val="1"/>
    <c:dispBlanksAs val="gap"/>
    <c:showDLblsOverMax val="0"/>
  </c:chart>
  <c:spPr>
    <a:ln>
      <a:solidFill>
        <a:sysClr val="windowText" lastClr="000000"/>
      </a:solidFill>
    </a:ln>
  </c:spPr>
  <c:externalData r:id="rId2">
    <c:autoUpdate val="0"/>
  </c:externalData>
</c:chartSpac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C07DD-318F-4BC3-AC15-78807A7CC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5</Pages>
  <Words>286</Words>
  <Characters>1632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HOSTNAME</dc:creator>
  <cp:lastModifiedBy>天谷　美咲</cp:lastModifiedBy>
  <cp:revision>27</cp:revision>
  <cp:lastPrinted>2024-01-05T04:25:00Z</cp:lastPrinted>
  <dcterms:created xsi:type="dcterms:W3CDTF">2020-10-23T06:42:00Z</dcterms:created>
  <dcterms:modified xsi:type="dcterms:W3CDTF">2025-12-23T08:47:00Z</dcterms:modified>
</cp:coreProperties>
</file>