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drawings/drawing1.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7F2AB" w14:textId="4894D60D" w:rsidR="009B14D9" w:rsidRDefault="00493B80" w:rsidP="00493B80">
      <w:pPr>
        <w:jc w:val="left"/>
        <w:rPr>
          <w:b/>
          <w:sz w:val="36"/>
          <w:szCs w:val="36"/>
          <w:u w:val="single"/>
        </w:rPr>
      </w:pPr>
      <w:r w:rsidRPr="00493B80">
        <w:rPr>
          <w:rFonts w:hint="eastAsia"/>
          <w:b/>
          <w:sz w:val="36"/>
          <w:szCs w:val="36"/>
          <w:u w:val="single"/>
        </w:rPr>
        <w:t>受診率</w:t>
      </w:r>
    </w:p>
    <w:p w14:paraId="787BE881" w14:textId="10E4865E" w:rsidR="00E31255" w:rsidRPr="0058715B" w:rsidRDefault="00E31255" w:rsidP="00D2004D">
      <w:pPr>
        <w:jc w:val="center"/>
        <w:rPr>
          <w:b/>
          <w:sz w:val="36"/>
          <w:szCs w:val="36"/>
          <w:u w:val="single"/>
        </w:rPr>
      </w:pPr>
      <w:r>
        <w:rPr>
          <w:noProof/>
        </w:rPr>
        <mc:AlternateContent>
          <mc:Choice Requires="wps">
            <w:drawing>
              <wp:anchor distT="0" distB="0" distL="114300" distR="114300" simplePos="0" relativeHeight="251659264" behindDoc="0" locked="0" layoutInCell="1" allowOverlap="1" wp14:anchorId="006A2033" wp14:editId="042DBF36">
                <wp:simplePos x="0" y="0"/>
                <wp:positionH relativeFrom="column">
                  <wp:posOffset>5232188</wp:posOffset>
                </wp:positionH>
                <wp:positionV relativeFrom="paragraph">
                  <wp:posOffset>75777</wp:posOffset>
                </wp:positionV>
                <wp:extent cx="1117600" cy="274320"/>
                <wp:effectExtent l="0" t="0" r="0" b="0"/>
                <wp:wrapNone/>
                <wp:docPr id="13" name="テキスト ボックス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117600" cy="27432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B00EFD4" w14:textId="77777777" w:rsidR="00E31255" w:rsidRPr="000B6982" w:rsidRDefault="00E31255" w:rsidP="000B6982">
                            <w:pPr>
                              <w:jc w:val="left"/>
                              <w:rPr>
                                <w:rFonts w:ascii="ＭＳ Ｐゴシック" w:eastAsia="ＭＳ Ｐゴシック" w:hAnsi="ＭＳ Ｐゴシック" w:cstheme="minorBidi"/>
                                <w:color w:val="000000"/>
                                <w:kern w:val="0"/>
                                <w:sz w:val="18"/>
                                <w:szCs w:val="18"/>
                              </w:rPr>
                            </w:pPr>
                            <w:r w:rsidRPr="000B6982">
                              <w:rPr>
                                <w:rFonts w:ascii="ＭＳ Ｐゴシック" w:eastAsia="ＭＳ Ｐゴシック" w:hAnsi="ＭＳ Ｐゴシック" w:cstheme="minorBidi" w:hint="eastAsia"/>
                                <w:color w:val="000000"/>
                                <w:sz w:val="18"/>
                                <w:szCs w:val="18"/>
                              </w:rPr>
                              <w:t>大阪府平均 4.3</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type w14:anchorId="006A2033" id="_x0000_t202" coordsize="21600,21600" o:spt="202" path="m,l,21600r21600,l21600,xe">
                <v:stroke joinstyle="miter"/>
                <v:path gradientshapeok="t" o:connecttype="rect"/>
              </v:shapetype>
              <v:shape id="テキスト ボックス 11" o:spid="_x0000_s1026" type="#_x0000_t202" style="position:absolute;left:0;text-align:left;margin-left:412pt;margin-top:5.95pt;width:88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" filled="f" stroked="f">
                <o:lock v:ext="edit" aspectratio="t"/>
                <v:textbox>
                  <w:txbxContent>
                    <w:p w14:paraId="4B00EFD4" w14:textId="77777777" w:rsidR="00E31255" w:rsidRPr="000B6982" w:rsidRDefault="00E31255" w:rsidP="000B6982">
                      <w:pPr>
                        <w:jc w:val="left"/>
                        <w:rPr>
                          <w:rFonts w:ascii="ＭＳ Ｐゴシック" w:eastAsia="ＭＳ Ｐゴシック" w:hAnsi="ＭＳ Ｐゴシック" w:cstheme="minorBidi"/>
                          <w:color w:val="000000"/>
                          <w:kern w:val="0"/>
                          <w:sz w:val="18"/>
                          <w:szCs w:val="18"/>
                        </w:rPr>
                      </w:pPr>
                      <w:r w:rsidRPr="000B6982">
                        <w:rPr>
                          <w:rFonts w:ascii="ＭＳ Ｐゴシック" w:eastAsia="ＭＳ Ｐゴシック" w:hAnsi="ＭＳ Ｐゴシック" w:cstheme="minorBidi" w:hint="eastAsia"/>
                          <w:color w:val="000000"/>
                          <w:sz w:val="18"/>
                          <w:szCs w:val="18"/>
                        </w:rPr>
                        <w:t>大阪府平均 4.3</w:t>
                      </w:r>
                    </w:p>
                  </w:txbxContent>
                </v:textbox>
              </v:shape>
            </w:pict>
          </mc:Fallback>
        </mc:AlternateContent>
      </w:r>
      <w:r>
        <w:rPr>
          <w:noProof/>
        </w:rPr>
        <w:drawing>
          <wp:inline distT="0" distB="0" distL="0" distR="0" wp14:anchorId="1B9B5609" wp14:editId="16F3503B">
            <wp:extent cx="6408420" cy="1867535"/>
            <wp:effectExtent l="0" t="0" r="11430" b="18415"/>
            <wp:docPr id="10" name="グラフ 10">
              <a:extLst xmlns:a="http://schemas.openxmlformats.org/drawingml/2006/main">
                <a:ext uri="{FF2B5EF4-FFF2-40B4-BE49-F238E27FC236}">
                  <a16:creationId xmlns:a16="http://schemas.microsoft.com/office/drawing/2014/main" id="{F8254334-38AA-4F11-AAF3-B468AEF9C3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bl>
      <w:tblPr>
        <w:tblpPr w:leftFromText="142" w:rightFromText="142" w:vertAnchor="text" w:horzAnchor="margin" w:tblpXSpec="center" w:tblpY="193"/>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20" w:firstRow="1" w:lastRow="0" w:firstColumn="0" w:lastColumn="0" w:noHBand="0" w:noVBand="1"/>
      </w:tblPr>
      <w:tblGrid>
        <w:gridCol w:w="3794"/>
        <w:gridCol w:w="2835"/>
        <w:gridCol w:w="2977"/>
      </w:tblGrid>
      <w:tr w:rsidR="009B14D9" w:rsidRPr="00984237" w14:paraId="21F43E4D" w14:textId="77777777" w:rsidTr="00D2004D">
        <w:trPr>
          <w:trHeight w:val="165"/>
        </w:trPr>
        <w:tc>
          <w:tcPr>
            <w:tcW w:w="3794" w:type="dxa"/>
            <w:tcBorders>
              <w:top w:val="single" w:sz="8" w:space="0" w:color="4BACC6"/>
              <w:left w:val="single" w:sz="8" w:space="0" w:color="4BACC6"/>
              <w:bottom w:val="single" w:sz="18" w:space="0" w:color="4BACC6"/>
              <w:right w:val="single" w:sz="8" w:space="0" w:color="4BACC6"/>
            </w:tcBorders>
            <w:noWrap/>
            <w:hideMark/>
          </w:tcPr>
          <w:p w14:paraId="324F4BDD" w14:textId="77777777" w:rsidR="009B14D9" w:rsidRPr="00984237" w:rsidRDefault="009B14D9" w:rsidP="00FC3782">
            <w:pPr>
              <w:spacing w:line="240" w:lineRule="atLeast"/>
              <w:ind w:firstLineChars="100" w:firstLine="161"/>
              <w:jc w:val="center"/>
              <w:rPr>
                <w:rFonts w:ascii="HG丸ｺﾞｼｯｸM-PRO" w:eastAsia="HG丸ｺﾞｼｯｸM-PRO" w:hAnsi="HG丸ｺﾞｼｯｸM-PRO"/>
                <w:b/>
                <w:bCs/>
                <w:sz w:val="16"/>
                <w:szCs w:val="16"/>
              </w:rPr>
            </w:pPr>
            <w:r w:rsidRPr="00984237">
              <w:rPr>
                <w:rFonts w:ascii="HG丸ｺﾞｼｯｸM-PRO" w:eastAsia="HG丸ｺﾞｼｯｸM-PRO" w:hAnsi="HG丸ｺﾞｼｯｸM-PRO" w:hint="eastAsia"/>
                <w:b/>
                <w:bCs/>
                <w:sz w:val="16"/>
                <w:szCs w:val="16"/>
              </w:rPr>
              <w:t>受診率とは</w:t>
            </w:r>
          </w:p>
        </w:tc>
        <w:tc>
          <w:tcPr>
            <w:tcW w:w="2835" w:type="dxa"/>
            <w:tcBorders>
              <w:top w:val="single" w:sz="8" w:space="0" w:color="4BACC6"/>
              <w:left w:val="single" w:sz="8" w:space="0" w:color="4BACC6"/>
              <w:bottom w:val="single" w:sz="18" w:space="0" w:color="4BACC6"/>
              <w:right w:val="single" w:sz="8" w:space="0" w:color="4BACC6"/>
            </w:tcBorders>
            <w:noWrap/>
            <w:hideMark/>
          </w:tcPr>
          <w:p w14:paraId="271E3A59" w14:textId="77777777" w:rsidR="009B14D9" w:rsidRPr="00984237" w:rsidRDefault="009B14D9" w:rsidP="00FC3782">
            <w:pPr>
              <w:spacing w:line="240" w:lineRule="atLeast"/>
              <w:ind w:firstLineChars="100" w:firstLine="161"/>
              <w:jc w:val="center"/>
              <w:rPr>
                <w:rFonts w:ascii="HG丸ｺﾞｼｯｸM-PRO" w:eastAsia="HG丸ｺﾞｼｯｸM-PRO" w:hAnsi="HG丸ｺﾞｼｯｸM-PRO"/>
                <w:b/>
                <w:bCs/>
                <w:sz w:val="16"/>
                <w:szCs w:val="16"/>
              </w:rPr>
            </w:pPr>
            <w:r w:rsidRPr="00984237">
              <w:rPr>
                <w:rFonts w:ascii="HG丸ｺﾞｼｯｸM-PRO" w:eastAsia="HG丸ｺﾞｼｯｸM-PRO" w:hAnsi="HG丸ｺﾞｼｯｸM-PRO" w:hint="eastAsia"/>
                <w:b/>
                <w:bCs/>
                <w:sz w:val="16"/>
                <w:szCs w:val="16"/>
              </w:rPr>
              <w:t>高い場合</w:t>
            </w:r>
          </w:p>
        </w:tc>
        <w:tc>
          <w:tcPr>
            <w:tcW w:w="2977" w:type="dxa"/>
            <w:tcBorders>
              <w:top w:val="single" w:sz="8" w:space="0" w:color="4BACC6"/>
              <w:left w:val="single" w:sz="8" w:space="0" w:color="4BACC6"/>
              <w:bottom w:val="single" w:sz="18" w:space="0" w:color="4BACC6"/>
              <w:right w:val="single" w:sz="8" w:space="0" w:color="4BACC6"/>
            </w:tcBorders>
            <w:noWrap/>
            <w:hideMark/>
          </w:tcPr>
          <w:p w14:paraId="4DB132BC" w14:textId="77777777" w:rsidR="009B14D9" w:rsidRPr="00984237" w:rsidRDefault="009B14D9" w:rsidP="00FC3782">
            <w:pPr>
              <w:spacing w:line="240" w:lineRule="atLeast"/>
              <w:ind w:firstLineChars="100" w:firstLine="161"/>
              <w:jc w:val="center"/>
              <w:rPr>
                <w:rFonts w:ascii="HG丸ｺﾞｼｯｸM-PRO" w:eastAsia="HG丸ｺﾞｼｯｸM-PRO" w:hAnsi="HG丸ｺﾞｼｯｸM-PRO"/>
                <w:b/>
                <w:bCs/>
                <w:sz w:val="16"/>
                <w:szCs w:val="16"/>
              </w:rPr>
            </w:pPr>
            <w:r w:rsidRPr="00984237">
              <w:rPr>
                <w:rFonts w:ascii="HG丸ｺﾞｼｯｸM-PRO" w:eastAsia="HG丸ｺﾞｼｯｸM-PRO" w:hAnsi="HG丸ｺﾞｼｯｸM-PRO" w:hint="eastAsia"/>
                <w:b/>
                <w:bCs/>
                <w:sz w:val="16"/>
                <w:szCs w:val="16"/>
              </w:rPr>
              <w:t>低い場合</w:t>
            </w:r>
          </w:p>
        </w:tc>
      </w:tr>
      <w:tr w:rsidR="009B14D9" w:rsidRPr="00984237" w14:paraId="2E0F9EBA" w14:textId="77777777" w:rsidTr="00D2004D">
        <w:trPr>
          <w:trHeight w:val="1024"/>
        </w:trPr>
        <w:tc>
          <w:tcPr>
            <w:tcW w:w="3794" w:type="dxa"/>
            <w:tcBorders>
              <w:top w:val="single" w:sz="8" w:space="0" w:color="4BACC6"/>
              <w:left w:val="single" w:sz="8" w:space="0" w:color="4BACC6"/>
              <w:bottom w:val="single" w:sz="8" w:space="0" w:color="4BACC6"/>
              <w:right w:val="single" w:sz="8" w:space="0" w:color="4BACC6"/>
            </w:tcBorders>
            <w:shd w:val="clear" w:color="auto" w:fill="D2EAF1"/>
            <w:hideMark/>
          </w:tcPr>
          <w:p w14:paraId="3206C7F2" w14:textId="77777777" w:rsidR="009B14D9" w:rsidRPr="00984237" w:rsidRDefault="009B14D9" w:rsidP="0057755D">
            <w:pPr>
              <w:spacing w:line="240" w:lineRule="atLeast"/>
              <w:jc w:val="left"/>
              <w:rPr>
                <w:rFonts w:ascii="HG丸ｺﾞｼｯｸM-PRO" w:eastAsia="HG丸ｺﾞｼｯｸM-PRO" w:hAnsi="HG丸ｺﾞｼｯｸM-PRO"/>
                <w:sz w:val="16"/>
                <w:szCs w:val="16"/>
              </w:rPr>
            </w:pPr>
            <w:r w:rsidRPr="00984237">
              <w:rPr>
                <w:rFonts w:ascii="HG丸ｺﾞｼｯｸM-PRO" w:eastAsia="HG丸ｺﾞｼｯｸM-PRO" w:hAnsi="HG丸ｺﾞｼｯｸM-PRO" w:hint="eastAsia"/>
                <w:sz w:val="16"/>
                <w:szCs w:val="16"/>
              </w:rPr>
              <w:t>がん検診対象者のうち、実際に受診した人の割合。</w:t>
            </w:r>
          </w:p>
          <w:p w14:paraId="49315CB0" w14:textId="77777777" w:rsidR="009B14D9" w:rsidRPr="00984237" w:rsidRDefault="009B14D9" w:rsidP="0057755D">
            <w:pPr>
              <w:spacing w:line="240" w:lineRule="atLeast"/>
              <w:jc w:val="left"/>
              <w:rPr>
                <w:rFonts w:ascii="HG丸ｺﾞｼｯｸM-PRO" w:eastAsia="HG丸ｺﾞｼｯｸM-PRO" w:hAnsi="HG丸ｺﾞｼｯｸM-PRO"/>
                <w:sz w:val="16"/>
                <w:szCs w:val="16"/>
              </w:rPr>
            </w:pPr>
            <w:r w:rsidRPr="00984237">
              <w:rPr>
                <w:rFonts w:ascii="HG丸ｺﾞｼｯｸM-PRO" w:eastAsia="HG丸ｺﾞｼｯｸM-PRO" w:hAnsi="HG丸ｺﾞｼｯｸM-PRO" w:hint="eastAsia"/>
                <w:sz w:val="16"/>
                <w:szCs w:val="16"/>
              </w:rPr>
              <w:t>※市町村が行うがん検診では、40歳以上（</w:t>
            </w:r>
            <w:r>
              <w:rPr>
                <w:rFonts w:ascii="HG丸ｺﾞｼｯｸM-PRO" w:eastAsia="HG丸ｺﾞｼｯｸM-PRO" w:hAnsi="HG丸ｺﾞｼｯｸM-PRO" w:hint="eastAsia"/>
                <w:sz w:val="16"/>
                <w:szCs w:val="16"/>
              </w:rPr>
              <w:t>胃がんは50歳以上、</w:t>
            </w:r>
            <w:r w:rsidRPr="00984237">
              <w:rPr>
                <w:rFonts w:ascii="HG丸ｺﾞｼｯｸM-PRO" w:eastAsia="HG丸ｺﾞｼｯｸM-PRO" w:hAnsi="HG丸ｺﾞｼｯｸM-PRO" w:hint="eastAsia"/>
                <w:sz w:val="16"/>
                <w:szCs w:val="16"/>
              </w:rPr>
              <w:t>子宮頸がんは20歳以上）で、かつ職場で受診する機会がない人が「がん検診対象者」であると定められています。</w:t>
            </w:r>
          </w:p>
        </w:tc>
        <w:tc>
          <w:tcPr>
            <w:tcW w:w="2835" w:type="dxa"/>
            <w:tcBorders>
              <w:top w:val="single" w:sz="8" w:space="0" w:color="4BACC6"/>
              <w:left w:val="single" w:sz="8" w:space="0" w:color="4BACC6"/>
              <w:bottom w:val="single" w:sz="8" w:space="0" w:color="4BACC6"/>
              <w:right w:val="single" w:sz="8" w:space="0" w:color="4BACC6"/>
            </w:tcBorders>
            <w:shd w:val="clear" w:color="auto" w:fill="D2EAF1"/>
            <w:hideMark/>
          </w:tcPr>
          <w:p w14:paraId="05BDBA9C" w14:textId="77777777" w:rsidR="009B14D9" w:rsidRPr="00984237" w:rsidRDefault="009B14D9" w:rsidP="0057755D">
            <w:pPr>
              <w:spacing w:line="240" w:lineRule="atLeast"/>
              <w:rPr>
                <w:rFonts w:ascii="HG丸ｺﾞｼｯｸM-PRO" w:eastAsia="HG丸ｺﾞｼｯｸM-PRO" w:hAnsi="HG丸ｺﾞｼｯｸM-PRO"/>
                <w:sz w:val="16"/>
                <w:szCs w:val="16"/>
              </w:rPr>
            </w:pPr>
            <w:r w:rsidRPr="00984237">
              <w:rPr>
                <w:rFonts w:ascii="HG丸ｺﾞｼｯｸM-PRO" w:eastAsia="HG丸ｺﾞｼｯｸM-PRO" w:hAnsi="HG丸ｺﾞｼｯｸM-PRO" w:hint="eastAsia"/>
                <w:sz w:val="16"/>
                <w:szCs w:val="16"/>
              </w:rPr>
              <w:t>○高いことが望ましい。</w:t>
            </w:r>
          </w:p>
        </w:tc>
        <w:tc>
          <w:tcPr>
            <w:tcW w:w="2977" w:type="dxa"/>
            <w:tcBorders>
              <w:top w:val="single" w:sz="8" w:space="0" w:color="4BACC6"/>
              <w:left w:val="single" w:sz="8" w:space="0" w:color="4BACC6"/>
              <w:bottom w:val="single" w:sz="8" w:space="0" w:color="4BACC6"/>
              <w:right w:val="single" w:sz="8" w:space="0" w:color="4BACC6"/>
            </w:tcBorders>
            <w:shd w:val="clear" w:color="auto" w:fill="D2EAF1"/>
            <w:hideMark/>
          </w:tcPr>
          <w:p w14:paraId="5AACB103" w14:textId="77777777" w:rsidR="009B14D9" w:rsidRPr="00984237" w:rsidRDefault="009B14D9" w:rsidP="0057755D">
            <w:pPr>
              <w:spacing w:line="240" w:lineRule="atLeast"/>
              <w:jc w:val="left"/>
              <w:rPr>
                <w:rFonts w:ascii="HG丸ｺﾞｼｯｸM-PRO" w:eastAsia="HG丸ｺﾞｼｯｸM-PRO" w:hAnsi="HG丸ｺﾞｼｯｸM-PRO"/>
                <w:sz w:val="16"/>
                <w:szCs w:val="16"/>
              </w:rPr>
            </w:pPr>
            <w:r w:rsidRPr="00984237">
              <w:rPr>
                <w:rFonts w:ascii="HG丸ｺﾞｼｯｸM-PRO" w:eastAsia="HG丸ｺﾞｼｯｸM-PRO" w:hAnsi="HG丸ｺﾞｼｯｸM-PRO" w:hint="eastAsia"/>
                <w:sz w:val="16"/>
                <w:szCs w:val="16"/>
              </w:rPr>
              <w:t xml:space="preserve">○検診の提供体制や受診勧奨等の充実を図る必要がある。　　　　　　　　　　　　　　　　　　　　　　　　　　　　　　　</w:t>
            </w:r>
          </w:p>
        </w:tc>
      </w:tr>
    </w:tbl>
    <w:p w14:paraId="7676E26E" w14:textId="77777777" w:rsidR="005F2FFA" w:rsidRDefault="005F2FFA" w:rsidP="009B14D9">
      <w:pPr>
        <w:rPr>
          <w:rFonts w:ascii="HG丸ｺﾞｼｯｸM-PRO" w:eastAsia="HG丸ｺﾞｼｯｸM-PRO" w:hAnsi="HG丸ｺﾞｼｯｸM-PRO"/>
          <w:sz w:val="17"/>
          <w:szCs w:val="17"/>
        </w:rPr>
      </w:pPr>
    </w:p>
    <w:p w14:paraId="571B94FB" w14:textId="77777777" w:rsidR="009B14D9" w:rsidRDefault="00360553" w:rsidP="005F2FFA">
      <w:pPr>
        <w:spacing w:line="320" w:lineRule="exact"/>
        <w:rPr>
          <w:rFonts w:asciiTheme="minorEastAsia" w:eastAsiaTheme="minorEastAsia" w:hAnsiTheme="minorEastAsia"/>
          <w:sz w:val="18"/>
          <w:szCs w:val="17"/>
        </w:rPr>
      </w:pPr>
      <w:r w:rsidRPr="00E72613">
        <w:rPr>
          <w:rFonts w:asciiTheme="minorEastAsia" w:eastAsiaTheme="minorEastAsia" w:hAnsiTheme="minorEastAsia" w:hint="eastAsia"/>
          <w:sz w:val="18"/>
          <w:szCs w:val="17"/>
        </w:rPr>
        <w:t>※受診率の算出元（分母）となる対象者数は、地域保健・健康増進事業報告の15</w:t>
      </w:r>
      <w:r w:rsidR="00A727CC" w:rsidRPr="00E72613">
        <w:rPr>
          <w:rFonts w:asciiTheme="minorEastAsia" w:eastAsiaTheme="minorEastAsia" w:hAnsiTheme="minorEastAsia" w:hint="eastAsia"/>
          <w:sz w:val="18"/>
          <w:szCs w:val="17"/>
        </w:rPr>
        <w:t>（</w:t>
      </w:r>
      <w:r w:rsidRPr="00E72613">
        <w:rPr>
          <w:rFonts w:asciiTheme="minorEastAsia" w:eastAsiaTheme="minorEastAsia" w:hAnsiTheme="minorEastAsia" w:hint="eastAsia"/>
          <w:sz w:val="18"/>
          <w:szCs w:val="17"/>
        </w:rPr>
        <w:t>１）健康増進事業等の対象者の</w:t>
      </w:r>
    </w:p>
    <w:p w14:paraId="0AC027EB" w14:textId="77777777" w:rsidR="00FC3782" w:rsidRDefault="00360553" w:rsidP="005F2FFA">
      <w:pPr>
        <w:spacing w:line="320" w:lineRule="exact"/>
        <w:ind w:firstLineChars="100" w:firstLine="180"/>
        <w:rPr>
          <w:rFonts w:asciiTheme="minorEastAsia" w:eastAsiaTheme="minorEastAsia" w:hAnsiTheme="minorEastAsia"/>
          <w:sz w:val="18"/>
          <w:szCs w:val="17"/>
        </w:rPr>
      </w:pPr>
      <w:r w:rsidRPr="00E72613">
        <w:rPr>
          <w:rFonts w:asciiTheme="minorEastAsia" w:eastAsiaTheme="minorEastAsia" w:hAnsiTheme="minorEastAsia" w:hint="eastAsia"/>
          <w:sz w:val="18"/>
          <w:szCs w:val="17"/>
        </w:rPr>
        <w:t>各がんで報告した数としている。</w:t>
      </w:r>
    </w:p>
    <w:p w14:paraId="7D0C8DBF" w14:textId="77777777" w:rsidR="00FC3782" w:rsidRDefault="00FC3782" w:rsidP="005F2FFA">
      <w:pPr>
        <w:spacing w:line="320" w:lineRule="exact"/>
        <w:rPr>
          <w:rFonts w:asciiTheme="minorEastAsia" w:eastAsiaTheme="minorEastAsia" w:hAnsiTheme="minorEastAsia"/>
          <w:sz w:val="18"/>
          <w:szCs w:val="17"/>
        </w:rPr>
      </w:pPr>
    </w:p>
    <w:p w14:paraId="1C38A17D" w14:textId="77777777" w:rsidR="00221A6A" w:rsidRPr="00FC3782" w:rsidRDefault="00221A6A"/>
    <w:p w14:paraId="2A692861" w14:textId="6F0F2F78" w:rsidR="00153CE0" w:rsidRDefault="00153CE0"/>
    <w:p w14:paraId="349D061B" w14:textId="070008DD" w:rsidR="005F2FFA" w:rsidRDefault="005F2FFA"/>
    <w:p w14:paraId="2760AB9A" w14:textId="42A3F7F4" w:rsidR="005F2FFA" w:rsidRDefault="005F2FFA"/>
    <w:p w14:paraId="276C30A5" w14:textId="7C92FE15" w:rsidR="005F2FFA" w:rsidRDefault="005F2FFA"/>
    <w:p w14:paraId="2E2A6B29" w14:textId="2C5DBD5E" w:rsidR="005F2FFA" w:rsidRDefault="005F2FFA"/>
    <w:p w14:paraId="23367ED7" w14:textId="7CACC0B7" w:rsidR="005F2FFA" w:rsidRDefault="005F2FFA"/>
    <w:p w14:paraId="0A6A18AE" w14:textId="234189C7" w:rsidR="005F2FFA" w:rsidRDefault="005F2FFA"/>
    <w:p w14:paraId="244F6479" w14:textId="14CE2CE2" w:rsidR="005F2FFA" w:rsidRDefault="005F2FFA"/>
    <w:p w14:paraId="449C930C" w14:textId="45C20EFF" w:rsidR="005F2FFA" w:rsidRDefault="005F2FFA"/>
    <w:p w14:paraId="40C62C18" w14:textId="0D967E4C" w:rsidR="005F2FFA" w:rsidRDefault="005F2FFA"/>
    <w:p w14:paraId="6177DA76" w14:textId="4E04CB31" w:rsidR="005F2FFA" w:rsidRDefault="005F2FFA"/>
    <w:p w14:paraId="28F3E6FA" w14:textId="2FF0C5EF" w:rsidR="005F2FFA" w:rsidRDefault="005F2FFA"/>
    <w:p w14:paraId="42E635BE" w14:textId="527699C7" w:rsidR="005F2FFA" w:rsidRDefault="005F2FFA"/>
    <w:p w14:paraId="2AF639CA" w14:textId="512414DE" w:rsidR="00D27923" w:rsidRDefault="00D27923"/>
    <w:p w14:paraId="704160E9" w14:textId="602D1BA7" w:rsidR="00292902" w:rsidRDefault="00292902"/>
    <w:p w14:paraId="3D8AC0E4" w14:textId="77777777" w:rsidR="00292902" w:rsidRDefault="00292902"/>
    <w:p w14:paraId="6AAD4148" w14:textId="77777777" w:rsidR="00D27923" w:rsidRDefault="00D27923"/>
    <w:p w14:paraId="24C139FD" w14:textId="77777777" w:rsidR="005F2FFA" w:rsidRDefault="005F2FFA">
      <w:pPr>
        <w:rPr>
          <w:b/>
          <w:sz w:val="36"/>
          <w:szCs w:val="36"/>
          <w:u w:val="single"/>
        </w:rPr>
      </w:pPr>
    </w:p>
    <w:p w14:paraId="3C09C859" w14:textId="3277AA41" w:rsidR="00FC3782" w:rsidRDefault="00221A6A">
      <w:pPr>
        <w:rPr>
          <w:b/>
          <w:sz w:val="36"/>
          <w:szCs w:val="36"/>
          <w:u w:val="single"/>
        </w:rPr>
      </w:pPr>
      <w:r w:rsidRPr="00221A6A">
        <w:rPr>
          <w:rFonts w:hint="eastAsia"/>
          <w:b/>
          <w:sz w:val="36"/>
          <w:szCs w:val="36"/>
          <w:u w:val="single"/>
        </w:rPr>
        <w:lastRenderedPageBreak/>
        <w:t>要精検率</w:t>
      </w:r>
    </w:p>
    <w:p w14:paraId="539844A3" w14:textId="33CB5EEC" w:rsidR="005F2FFA" w:rsidRDefault="004659D9" w:rsidP="00D2004D">
      <w:pPr>
        <w:jc w:val="center"/>
        <w:rPr>
          <w:b/>
          <w:sz w:val="36"/>
          <w:szCs w:val="36"/>
          <w:u w:val="single"/>
        </w:rPr>
      </w:pPr>
      <w:r>
        <w:rPr>
          <w:noProof/>
        </w:rPr>
        <mc:AlternateContent>
          <mc:Choice Requires="wps">
            <w:drawing>
              <wp:anchor distT="0" distB="0" distL="114300" distR="114300" simplePos="0" relativeHeight="251664384" behindDoc="0" locked="0" layoutInCell="1" allowOverlap="1" wp14:anchorId="4E5B7904" wp14:editId="652F89D8">
                <wp:simplePos x="0" y="0"/>
                <wp:positionH relativeFrom="margin">
                  <wp:posOffset>4325408</wp:posOffset>
                </wp:positionH>
                <wp:positionV relativeFrom="paragraph">
                  <wp:posOffset>126789</wp:posOffset>
                </wp:positionV>
                <wp:extent cx="2108200" cy="296333"/>
                <wp:effectExtent l="0" t="0" r="0" b="0"/>
                <wp:wrapNone/>
                <wp:docPr id="3" name="テキスト ボックス 2">
                  <a:extLst xmlns:a="http://schemas.openxmlformats.org/drawingml/2006/main">
                    <a:ext uri="{FF2B5EF4-FFF2-40B4-BE49-F238E27FC236}">
                      <a16:creationId xmlns:a16="http://schemas.microsoft.com/office/drawing/2014/main" id="{93AACC34-D3FA-4C6C-9100-06E9024206D5}"/>
                    </a:ext>
                  </a:extLst>
                </wp:docPr>
                <wp:cNvGraphicFramePr/>
                <a:graphic xmlns:a="http://schemas.openxmlformats.org/drawingml/2006/main">
                  <a:graphicData uri="http://schemas.microsoft.com/office/word/2010/wordprocessingShape">
                    <wps:wsp>
                      <wps:cNvSpPr txBox="1"/>
                      <wps:spPr>
                        <a:xfrm>
                          <a:off x="0" y="0"/>
                          <a:ext cx="2108200" cy="296333"/>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6FE5CC90" w14:textId="77777777" w:rsidR="004659D9" w:rsidRPr="004659D9" w:rsidRDefault="004659D9" w:rsidP="004659D9">
                            <w:pPr>
                              <w:rPr>
                                <w:rFonts w:ascii="ＭＳ Ｐゴシック" w:eastAsia="ＭＳ Ｐゴシック" w:hAnsi="ＭＳ Ｐゴシック" w:cstheme="minorBidi"/>
                                <w:color w:val="000000"/>
                                <w:kern w:val="0"/>
                                <w:sz w:val="18"/>
                                <w:szCs w:val="18"/>
                              </w:rPr>
                            </w:pPr>
                            <w:r w:rsidRPr="004659D9">
                              <w:rPr>
                                <w:rFonts w:ascii="ＭＳ Ｐゴシック" w:eastAsia="ＭＳ Ｐゴシック" w:hAnsi="ＭＳ Ｐゴシック" w:cstheme="minorBidi" w:hint="eastAsia"/>
                                <w:color w:val="000000"/>
                                <w:sz w:val="18"/>
                                <w:szCs w:val="18"/>
                              </w:rPr>
                              <w:t>大阪府平均　4.9　基準値　7.6以下</w:t>
                            </w:r>
                          </w:p>
                        </w:txbxContent>
                      </wps:txbx>
                      <wps:bodyPr vert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E5B7904" id="テキスト ボックス 2" o:spid="_x0000_s1027" type="#_x0000_t202" style="position:absolute;left:0;text-align:left;margin-left:340.6pt;margin-top:10pt;width:166pt;height:23.3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" filled="f" stroked="f">
                <v:textbox>
                  <w:txbxContent>
                    <w:p w14:paraId="6FE5CC90" w14:textId="77777777" w:rsidR="004659D9" w:rsidRPr="004659D9" w:rsidRDefault="004659D9" w:rsidP="004659D9">
                      <w:pPr>
                        <w:rPr>
                          <w:rFonts w:ascii="ＭＳ Ｐゴシック" w:eastAsia="ＭＳ Ｐゴシック" w:hAnsi="ＭＳ Ｐゴシック" w:cstheme="minorBidi"/>
                          <w:color w:val="000000"/>
                          <w:kern w:val="0"/>
                          <w:sz w:val="18"/>
                          <w:szCs w:val="18"/>
                        </w:rPr>
                      </w:pPr>
                      <w:r w:rsidRPr="004659D9">
                        <w:rPr>
                          <w:rFonts w:ascii="ＭＳ Ｐゴシック" w:eastAsia="ＭＳ Ｐゴシック" w:hAnsi="ＭＳ Ｐゴシック" w:cstheme="minorBidi" w:hint="eastAsia"/>
                          <w:color w:val="000000"/>
                          <w:sz w:val="18"/>
                          <w:szCs w:val="18"/>
                        </w:rPr>
                        <w:t>大阪府平均　4.9　基準値　7.6以下</w:t>
                      </w:r>
                    </w:p>
                  </w:txbxContent>
                </v:textbox>
                <w10:wrap anchorx="margin"/>
              </v:shape>
            </w:pict>
          </mc:Fallback>
        </mc:AlternateContent>
      </w:r>
      <w:r>
        <w:rPr>
          <w:noProof/>
        </w:rPr>
        <mc:AlternateContent>
          <mc:Choice Requires="wps">
            <w:drawing>
              <wp:anchor distT="0" distB="0" distL="114300" distR="114300" simplePos="0" relativeHeight="251662336" behindDoc="0" locked="0" layoutInCell="1" allowOverlap="1" wp14:anchorId="6FAFF717" wp14:editId="51B245A2">
                <wp:simplePos x="0" y="0"/>
                <wp:positionH relativeFrom="column">
                  <wp:posOffset>6142355</wp:posOffset>
                </wp:positionH>
                <wp:positionV relativeFrom="paragraph">
                  <wp:posOffset>1945322</wp:posOffset>
                </wp:positionV>
                <wp:extent cx="162472" cy="427468"/>
                <wp:effectExtent l="0" t="0" r="9525" b="0"/>
                <wp:wrapNone/>
                <wp:docPr id="8" name="テキスト ボックス 7">
                  <a:extLst xmlns:a="http://schemas.openxmlformats.org/drawingml/2006/main">
                    <a:ext uri="{FF2B5EF4-FFF2-40B4-BE49-F238E27FC236}">
                      <a16:creationId xmlns:a16="http://schemas.microsoft.com/office/drawing/2014/main" id="{BDD9DA19-DB7A-4EE7-9C24-1C54744994CA}"/>
                    </a:ext>
                  </a:extLst>
                </wp:docPr>
                <wp:cNvGraphicFramePr/>
                <a:graphic xmlns:a="http://schemas.openxmlformats.org/drawingml/2006/main">
                  <a:graphicData uri="http://schemas.microsoft.com/office/word/2010/wordprocessingShape">
                    <wps:wsp>
                      <wps:cNvSpPr txBox="1"/>
                      <wps:spPr>
                        <a:xfrm>
                          <a:off x="0" y="0"/>
                          <a:ext cx="162472" cy="427468"/>
                        </a:xfrm>
                        <a:prstGeom prst="rect">
                          <a:avLst/>
                        </a:prstGeom>
                        <a:solidFill>
                          <a:sysClr val="window" lastClr="FFFFFF"/>
                        </a:solidFill>
                        <a:ln>
                          <a:noFill/>
                        </a:ln>
                        <a:effectLst/>
                      </wps:spPr>
                      <wps:txbx>
                        <w:txbxContent>
                          <w:p w14:paraId="4462B898" w14:textId="77777777" w:rsidR="00E31255" w:rsidRPr="004659D9" w:rsidRDefault="00E31255" w:rsidP="00E31255">
                            <w:pPr>
                              <w:rPr>
                                <w:rFonts w:ascii="游ゴシック" w:eastAsia="游ゴシック" w:hAnsi="游ゴシック" w:cs="+mn-cs"/>
                                <w:color w:val="000000"/>
                                <w:kern w:val="0"/>
                                <w:sz w:val="14"/>
                                <w:szCs w:val="14"/>
                              </w:rPr>
                            </w:pPr>
                            <w:r w:rsidRPr="004659D9">
                              <w:rPr>
                                <w:rFonts w:ascii="游ゴシック" w:eastAsia="游ゴシック" w:hAnsi="游ゴシック" w:cs="+mn-cs" w:hint="eastAsia"/>
                                <w:color w:val="000000"/>
                                <w:sz w:val="14"/>
                                <w:szCs w:val="14"/>
                              </w:rPr>
                              <w:t>東大阪市</w:t>
                            </w:r>
                          </w:p>
                        </w:txbxContent>
                      </wps:txbx>
                      <wps:bodyPr vertOverflow="clip" horzOverflow="clip" vert="wordArtVertRtl" wrap="square" lIns="0" tIns="0" rIns="0" bIns="0" rtlCol="0" anchor="ctr" anchorCtr="1">
                        <a:noAutofit/>
                      </wps:bodyPr>
                    </wps:wsp>
                  </a:graphicData>
                </a:graphic>
                <wp14:sizeRelH relativeFrom="margin">
                  <wp14:pctWidth>0</wp14:pctWidth>
                </wp14:sizeRelH>
              </wp:anchor>
            </w:drawing>
          </mc:Choice>
          <mc:Fallback>
            <w:pict>
              <v:shape w14:anchorId="6FAFF717" id="テキスト ボックス 7" o:spid="_x0000_s1028" type="#_x0000_t202" style="position:absolute;left:0;text-align:left;margin-left:483.65pt;margin-top:153.15pt;width:12.8pt;height:33.6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" fillcolor="window" stroked="f">
                <v:textbox style="layout-flow:vertical;mso-layout-flow-alt:top-to-bottom" inset="0,0,0,0">
                  <w:txbxContent>
                    <w:p w14:paraId="4462B898" w14:textId="77777777" w:rsidR="00E31255" w:rsidRPr="004659D9" w:rsidRDefault="00E31255" w:rsidP="00E31255">
                      <w:pPr>
                        <w:rPr>
                          <w:rFonts w:ascii="游ゴシック" w:eastAsia="游ゴシック" w:hAnsi="游ゴシック" w:cs="+mn-cs"/>
                          <w:color w:val="000000"/>
                          <w:kern w:val="0"/>
                          <w:sz w:val="14"/>
                          <w:szCs w:val="14"/>
                        </w:rPr>
                      </w:pPr>
                      <w:r w:rsidRPr="004659D9">
                        <w:rPr>
                          <w:rFonts w:ascii="游ゴシック" w:eastAsia="游ゴシック" w:hAnsi="游ゴシック" w:cs="+mn-cs" w:hint="eastAsia"/>
                          <w:color w:val="000000"/>
                          <w:sz w:val="14"/>
                          <w:szCs w:val="14"/>
                        </w:rPr>
                        <w:t>東大阪市</w:t>
                      </w:r>
                    </w:p>
                  </w:txbxContent>
                </v:textbox>
              </v:shape>
            </w:pict>
          </mc:Fallback>
        </mc:AlternateContent>
      </w:r>
      <w:r w:rsidR="00E31255">
        <w:rPr>
          <w:noProof/>
        </w:rPr>
        <w:drawing>
          <wp:inline distT="0" distB="0" distL="0" distR="0" wp14:anchorId="7265726C" wp14:editId="0AAE6392">
            <wp:extent cx="6444000" cy="2304000"/>
            <wp:effectExtent l="0" t="0" r="13970" b="1270"/>
            <wp:docPr id="14" name="グラフ 14">
              <a:extLst xmlns:a="http://schemas.openxmlformats.org/drawingml/2006/main">
                <a:ext uri="{FF2B5EF4-FFF2-40B4-BE49-F238E27FC236}">
                  <a16:creationId xmlns:a16="http://schemas.microsoft.com/office/drawing/2014/main" id="{5F2E298F-4D72-4D88-A340-616EBE1A40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bl>
      <w:tblPr>
        <w:tblpPr w:leftFromText="142" w:rightFromText="142" w:vertAnchor="page" w:horzAnchor="margin" w:tblpXSpec="center" w:tblpY="5821"/>
        <w:tblW w:w="9606"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20" w:firstRow="1" w:lastRow="0" w:firstColumn="0" w:lastColumn="0" w:noHBand="0" w:noVBand="1"/>
      </w:tblPr>
      <w:tblGrid>
        <w:gridCol w:w="3510"/>
        <w:gridCol w:w="2977"/>
        <w:gridCol w:w="3119"/>
      </w:tblGrid>
      <w:tr w:rsidR="002F7F5C" w:rsidRPr="00221A6A" w14:paraId="6C3EC3AD" w14:textId="77777777" w:rsidTr="00D2004D">
        <w:trPr>
          <w:trHeight w:val="301"/>
        </w:trPr>
        <w:tc>
          <w:tcPr>
            <w:tcW w:w="3510" w:type="dxa"/>
            <w:tcBorders>
              <w:top w:val="single" w:sz="8" w:space="0" w:color="4BACC6"/>
              <w:left w:val="single" w:sz="8" w:space="0" w:color="4BACC6"/>
              <w:bottom w:val="single" w:sz="18" w:space="0" w:color="4BACC6"/>
              <w:right w:val="single" w:sz="8" w:space="0" w:color="4BACC6"/>
            </w:tcBorders>
            <w:shd w:val="clear" w:color="auto" w:fill="auto"/>
          </w:tcPr>
          <w:p w14:paraId="7DB69AD1" w14:textId="77777777" w:rsidR="002F7F5C" w:rsidRPr="00221A6A" w:rsidRDefault="002F7F5C" w:rsidP="00D2004D">
            <w:pPr>
              <w:spacing w:line="240" w:lineRule="atLeast"/>
              <w:ind w:firstLineChars="100" w:firstLine="161"/>
              <w:jc w:val="left"/>
              <w:rPr>
                <w:rFonts w:ascii="HG丸ｺﾞｼｯｸM-PRO" w:eastAsia="HG丸ｺﾞｼｯｸM-PRO" w:hAnsi="HG丸ｺﾞｼｯｸM-PRO"/>
                <w:b/>
                <w:bCs/>
                <w:sz w:val="16"/>
                <w:szCs w:val="16"/>
              </w:rPr>
            </w:pPr>
            <w:r w:rsidRPr="00221A6A">
              <w:rPr>
                <w:rFonts w:ascii="HG丸ｺﾞｼｯｸM-PRO" w:eastAsia="HG丸ｺﾞｼｯｸM-PRO" w:hAnsi="HG丸ｺﾞｼｯｸM-PRO" w:hint="eastAsia"/>
                <w:b/>
                <w:bCs/>
                <w:sz w:val="16"/>
                <w:szCs w:val="16"/>
              </w:rPr>
              <w:t>要精検率とは</w:t>
            </w:r>
          </w:p>
        </w:tc>
        <w:tc>
          <w:tcPr>
            <w:tcW w:w="2977" w:type="dxa"/>
            <w:tcBorders>
              <w:top w:val="single" w:sz="8" w:space="0" w:color="4BACC6"/>
              <w:left w:val="single" w:sz="8" w:space="0" w:color="4BACC6"/>
              <w:bottom w:val="single" w:sz="18" w:space="0" w:color="4BACC6"/>
              <w:right w:val="single" w:sz="8" w:space="0" w:color="4BACC6"/>
            </w:tcBorders>
            <w:shd w:val="clear" w:color="auto" w:fill="auto"/>
          </w:tcPr>
          <w:p w14:paraId="615E4DCB" w14:textId="77777777" w:rsidR="002F7F5C" w:rsidRPr="00221A6A" w:rsidRDefault="002F7F5C" w:rsidP="00D2004D">
            <w:pPr>
              <w:spacing w:line="240" w:lineRule="atLeast"/>
              <w:ind w:firstLineChars="100" w:firstLine="161"/>
              <w:jc w:val="left"/>
              <w:rPr>
                <w:rFonts w:ascii="HG丸ｺﾞｼｯｸM-PRO" w:eastAsia="HG丸ｺﾞｼｯｸM-PRO" w:hAnsi="HG丸ｺﾞｼｯｸM-PRO"/>
                <w:b/>
                <w:bCs/>
                <w:sz w:val="16"/>
                <w:szCs w:val="16"/>
              </w:rPr>
            </w:pPr>
            <w:r w:rsidRPr="00221A6A">
              <w:rPr>
                <w:rFonts w:ascii="HG丸ｺﾞｼｯｸM-PRO" w:eastAsia="HG丸ｺﾞｼｯｸM-PRO" w:hAnsi="HG丸ｺﾞｼｯｸM-PRO" w:hint="eastAsia"/>
                <w:b/>
                <w:bCs/>
                <w:sz w:val="16"/>
                <w:szCs w:val="16"/>
              </w:rPr>
              <w:t>高すぎる場合</w:t>
            </w:r>
          </w:p>
        </w:tc>
        <w:tc>
          <w:tcPr>
            <w:tcW w:w="3119" w:type="dxa"/>
            <w:tcBorders>
              <w:top w:val="single" w:sz="8" w:space="0" w:color="4BACC6"/>
              <w:left w:val="single" w:sz="8" w:space="0" w:color="4BACC6"/>
              <w:bottom w:val="single" w:sz="18" w:space="0" w:color="4BACC6"/>
              <w:right w:val="single" w:sz="8" w:space="0" w:color="4BACC6"/>
            </w:tcBorders>
            <w:shd w:val="clear" w:color="auto" w:fill="auto"/>
          </w:tcPr>
          <w:p w14:paraId="79DB46F9" w14:textId="77777777" w:rsidR="002F7F5C" w:rsidRPr="00221A6A" w:rsidRDefault="002F7F5C" w:rsidP="00D2004D">
            <w:pPr>
              <w:spacing w:line="240" w:lineRule="atLeast"/>
              <w:ind w:firstLineChars="100" w:firstLine="161"/>
              <w:jc w:val="left"/>
              <w:rPr>
                <w:rFonts w:ascii="HG丸ｺﾞｼｯｸM-PRO" w:eastAsia="HG丸ｺﾞｼｯｸM-PRO" w:hAnsi="HG丸ｺﾞｼｯｸM-PRO"/>
                <w:b/>
                <w:bCs/>
                <w:sz w:val="16"/>
                <w:szCs w:val="16"/>
              </w:rPr>
            </w:pPr>
            <w:r w:rsidRPr="00221A6A">
              <w:rPr>
                <w:rFonts w:ascii="HG丸ｺﾞｼｯｸM-PRO" w:eastAsia="HG丸ｺﾞｼｯｸM-PRO" w:hAnsi="HG丸ｺﾞｼｯｸM-PRO" w:hint="eastAsia"/>
                <w:b/>
                <w:bCs/>
                <w:sz w:val="16"/>
                <w:szCs w:val="16"/>
              </w:rPr>
              <w:t>低すぎる場合</w:t>
            </w:r>
          </w:p>
        </w:tc>
      </w:tr>
      <w:tr w:rsidR="002F7F5C" w:rsidRPr="00221A6A" w14:paraId="6115FD55" w14:textId="77777777" w:rsidTr="00D2004D">
        <w:trPr>
          <w:trHeight w:val="2413"/>
        </w:trPr>
        <w:tc>
          <w:tcPr>
            <w:tcW w:w="3510" w:type="dxa"/>
            <w:tcBorders>
              <w:top w:val="single" w:sz="8" w:space="0" w:color="4BACC6"/>
              <w:left w:val="single" w:sz="8" w:space="0" w:color="4BACC6"/>
              <w:bottom w:val="single" w:sz="8" w:space="0" w:color="4BACC6"/>
              <w:right w:val="single" w:sz="8" w:space="0" w:color="4BACC6"/>
            </w:tcBorders>
            <w:shd w:val="clear" w:color="auto" w:fill="D2EAF1"/>
            <w:hideMark/>
          </w:tcPr>
          <w:p w14:paraId="3EE5C28D" w14:textId="77777777" w:rsidR="002F7F5C" w:rsidRPr="00221A6A" w:rsidRDefault="002F7F5C" w:rsidP="00D2004D">
            <w:pPr>
              <w:spacing w:line="240" w:lineRule="atLeast"/>
              <w:jc w:val="left"/>
              <w:rPr>
                <w:rFonts w:ascii="HG丸ｺﾞｼｯｸM-PRO" w:eastAsia="HG丸ｺﾞｼｯｸM-PRO" w:hAnsi="HG丸ｺﾞｼｯｸM-PRO"/>
                <w:sz w:val="16"/>
                <w:szCs w:val="16"/>
              </w:rPr>
            </w:pPr>
            <w:r w:rsidRPr="00221A6A">
              <w:rPr>
                <w:rFonts w:ascii="HG丸ｺﾞｼｯｸM-PRO" w:eastAsia="HG丸ｺﾞｼｯｸM-PRO" w:hAnsi="HG丸ｺﾞｼｯｸM-PRO" w:hint="eastAsia"/>
                <w:sz w:val="16"/>
                <w:szCs w:val="16"/>
              </w:rPr>
              <w:t>がん検診を受診した人のうち、精密検査が必要とされた人の割合。</w:t>
            </w:r>
          </w:p>
          <w:p w14:paraId="0F657B0F" w14:textId="77777777" w:rsidR="002F7F5C" w:rsidRPr="00221A6A" w:rsidRDefault="002F7F5C" w:rsidP="00D2004D">
            <w:pPr>
              <w:spacing w:line="240" w:lineRule="atLeast"/>
              <w:jc w:val="left"/>
              <w:rPr>
                <w:rFonts w:ascii="HG丸ｺﾞｼｯｸM-PRO" w:eastAsia="HG丸ｺﾞｼｯｸM-PRO" w:hAnsi="HG丸ｺﾞｼｯｸM-PRO"/>
                <w:sz w:val="16"/>
                <w:szCs w:val="16"/>
              </w:rPr>
            </w:pPr>
            <w:r w:rsidRPr="00221A6A">
              <w:rPr>
                <w:rFonts w:ascii="HG丸ｺﾞｼｯｸM-PRO" w:eastAsia="HG丸ｺﾞｼｯｸM-PRO" w:hAnsi="HG丸ｺﾞｼｯｸM-PRO" w:hint="eastAsia"/>
                <w:sz w:val="16"/>
                <w:szCs w:val="16"/>
              </w:rPr>
              <w:t>がん検診受診者の中から、精密検査が必要な人を適切に絞り込めたかどうかを表す指標。高すぎても低すぎても望ましくない。</w:t>
            </w:r>
          </w:p>
        </w:tc>
        <w:tc>
          <w:tcPr>
            <w:tcW w:w="2977" w:type="dxa"/>
            <w:tcBorders>
              <w:top w:val="single" w:sz="8" w:space="0" w:color="4BACC6"/>
              <w:left w:val="single" w:sz="8" w:space="0" w:color="4BACC6"/>
              <w:bottom w:val="single" w:sz="8" w:space="0" w:color="4BACC6"/>
              <w:right w:val="single" w:sz="8" w:space="0" w:color="4BACC6"/>
            </w:tcBorders>
            <w:shd w:val="clear" w:color="auto" w:fill="D2EAF1"/>
            <w:hideMark/>
          </w:tcPr>
          <w:p w14:paraId="432EAE23" w14:textId="77777777" w:rsidR="002F7F5C" w:rsidRPr="00221A6A" w:rsidRDefault="002F7F5C" w:rsidP="00D2004D">
            <w:pPr>
              <w:spacing w:line="240" w:lineRule="atLeast"/>
              <w:jc w:val="left"/>
              <w:rPr>
                <w:rFonts w:ascii="HG丸ｺﾞｼｯｸM-PRO" w:eastAsia="HG丸ｺﾞｼｯｸM-PRO" w:hAnsi="HG丸ｺﾞｼｯｸM-PRO"/>
                <w:sz w:val="16"/>
                <w:szCs w:val="16"/>
              </w:rPr>
            </w:pPr>
            <w:r w:rsidRPr="00221A6A">
              <w:rPr>
                <w:rFonts w:ascii="HG丸ｺﾞｼｯｸM-PRO" w:eastAsia="HG丸ｺﾞｼｯｸM-PRO" w:hAnsi="HG丸ｺﾞｼｯｸM-PRO" w:hint="eastAsia"/>
                <w:sz w:val="16"/>
                <w:szCs w:val="16"/>
              </w:rPr>
              <w:t>○受診者のうち、何か症状があったにも関わらず受診した人（注）や高齢者の割合が高かった可能性がある。　　　　　　　　　　　　　　　　　　　　○がんでないのに、がんかもしれないと判定される人が多い可能性がある。</w:t>
            </w:r>
          </w:p>
        </w:tc>
        <w:tc>
          <w:tcPr>
            <w:tcW w:w="3119" w:type="dxa"/>
            <w:tcBorders>
              <w:top w:val="single" w:sz="8" w:space="0" w:color="4BACC6"/>
              <w:left w:val="single" w:sz="8" w:space="0" w:color="4BACC6"/>
              <w:bottom w:val="single" w:sz="8" w:space="0" w:color="4BACC6"/>
              <w:right w:val="single" w:sz="8" w:space="0" w:color="4BACC6"/>
            </w:tcBorders>
            <w:shd w:val="clear" w:color="auto" w:fill="D2EAF1"/>
            <w:hideMark/>
          </w:tcPr>
          <w:p w14:paraId="70DB5DB0" w14:textId="77777777" w:rsidR="002F7F5C" w:rsidRDefault="002F7F5C" w:rsidP="00D2004D">
            <w:pPr>
              <w:spacing w:line="240" w:lineRule="atLeast"/>
              <w:jc w:val="left"/>
              <w:rPr>
                <w:rFonts w:ascii="HG丸ｺﾞｼｯｸM-PRO" w:eastAsia="HG丸ｺﾞｼｯｸM-PRO" w:hAnsi="HG丸ｺﾞｼｯｸM-PRO"/>
                <w:sz w:val="16"/>
                <w:szCs w:val="16"/>
              </w:rPr>
            </w:pPr>
            <w:r w:rsidRPr="00221A6A">
              <w:rPr>
                <w:rFonts w:ascii="HG丸ｺﾞｼｯｸM-PRO" w:eastAsia="HG丸ｺﾞｼｯｸM-PRO" w:hAnsi="HG丸ｺﾞｼｯｸM-PRO" w:hint="eastAsia"/>
                <w:sz w:val="16"/>
                <w:szCs w:val="16"/>
              </w:rPr>
              <w:t>○受診者のうち、高齢者などがんにかかりやすい性・年齢の割合が低かった可能性がある。</w:t>
            </w:r>
          </w:p>
          <w:p w14:paraId="2AA61523" w14:textId="77777777" w:rsidR="002F7F5C" w:rsidRDefault="002F7F5C" w:rsidP="00D2004D">
            <w:pPr>
              <w:spacing w:line="240" w:lineRule="atLeast"/>
              <w:jc w:val="lef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〇</w:t>
            </w:r>
            <w:r w:rsidRPr="00221A6A">
              <w:rPr>
                <w:rFonts w:ascii="HG丸ｺﾞｼｯｸM-PRO" w:eastAsia="HG丸ｺﾞｼｯｸM-PRO" w:hAnsi="HG丸ｺﾞｼｯｸM-PRO" w:hint="eastAsia"/>
                <w:sz w:val="16"/>
                <w:szCs w:val="16"/>
              </w:rPr>
              <w:t>初回受診者が少ない可能性がある。</w:t>
            </w:r>
          </w:p>
          <w:p w14:paraId="40859E48" w14:textId="77777777" w:rsidR="002F7F5C" w:rsidRPr="00221A6A" w:rsidRDefault="002F7F5C" w:rsidP="00D2004D">
            <w:pPr>
              <w:spacing w:line="240" w:lineRule="atLeast"/>
              <w:jc w:val="left"/>
              <w:rPr>
                <w:rFonts w:ascii="HG丸ｺﾞｼｯｸM-PRO" w:eastAsia="HG丸ｺﾞｼｯｸM-PRO" w:hAnsi="HG丸ｺﾞｼｯｸM-PRO"/>
                <w:sz w:val="16"/>
                <w:szCs w:val="16"/>
              </w:rPr>
            </w:pPr>
            <w:r w:rsidRPr="00221A6A">
              <w:rPr>
                <w:rFonts w:ascii="HG丸ｺﾞｼｯｸM-PRO" w:eastAsia="HG丸ｺﾞｼｯｸM-PRO" w:hAnsi="HG丸ｺﾞｼｯｸM-PRO" w:hint="eastAsia"/>
                <w:sz w:val="16"/>
                <w:szCs w:val="16"/>
              </w:rPr>
              <w:t>○極端に低い場合は、検診機関ががんを適切に発見できていない可能性がある。</w:t>
            </w:r>
          </w:p>
        </w:tc>
      </w:tr>
    </w:tbl>
    <w:p w14:paraId="33FF352E" w14:textId="77777777" w:rsidR="00D27923" w:rsidRDefault="00D27923" w:rsidP="00D27923">
      <w:pPr>
        <w:spacing w:line="320" w:lineRule="exact"/>
        <w:rPr>
          <w:sz w:val="18"/>
          <w:szCs w:val="18"/>
        </w:rPr>
      </w:pPr>
    </w:p>
    <w:p w14:paraId="4094F7B6" w14:textId="77777777" w:rsidR="00D2004D" w:rsidRDefault="00D2004D" w:rsidP="00D27923">
      <w:pPr>
        <w:spacing w:line="320" w:lineRule="exact"/>
        <w:rPr>
          <w:sz w:val="18"/>
          <w:szCs w:val="18"/>
        </w:rPr>
      </w:pPr>
    </w:p>
    <w:p w14:paraId="253CD0BC" w14:textId="2B0D8430" w:rsidR="00D27923" w:rsidRDefault="00D27923" w:rsidP="00D27923">
      <w:pPr>
        <w:spacing w:line="320" w:lineRule="exact"/>
        <w:rPr>
          <w:sz w:val="18"/>
          <w:szCs w:val="18"/>
        </w:rPr>
      </w:pPr>
      <w:r>
        <w:rPr>
          <w:rFonts w:hint="eastAsia"/>
          <w:sz w:val="18"/>
          <w:szCs w:val="18"/>
        </w:rPr>
        <w:t>（</w:t>
      </w:r>
      <w:r w:rsidRPr="00221A6A">
        <w:rPr>
          <w:rFonts w:hint="eastAsia"/>
          <w:sz w:val="18"/>
          <w:szCs w:val="18"/>
        </w:rPr>
        <w:t>注）がん検診は、症状のない方のための検査です。明らかな症状のある方には、それぞれの体の状態に応じた適切な</w:t>
      </w:r>
    </w:p>
    <w:p w14:paraId="2920729F" w14:textId="77777777" w:rsidR="00D27923" w:rsidRPr="009C10E8" w:rsidRDefault="00D27923" w:rsidP="00D27923">
      <w:pPr>
        <w:spacing w:line="320" w:lineRule="exact"/>
        <w:ind w:firstLineChars="300" w:firstLine="540"/>
        <w:rPr>
          <w:sz w:val="18"/>
          <w:szCs w:val="18"/>
        </w:rPr>
      </w:pPr>
      <w:r w:rsidRPr="00221A6A">
        <w:rPr>
          <w:rFonts w:hint="eastAsia"/>
          <w:sz w:val="18"/>
          <w:szCs w:val="18"/>
        </w:rPr>
        <w:t>検査や治療が必要になります。症状のある場合は、必ず医療機関を受診してください。</w:t>
      </w:r>
    </w:p>
    <w:p w14:paraId="4383756E" w14:textId="77777777" w:rsidR="00D27923" w:rsidRPr="00D27923" w:rsidRDefault="00D27923">
      <w:pPr>
        <w:rPr>
          <w:b/>
          <w:sz w:val="36"/>
          <w:szCs w:val="36"/>
          <w:u w:val="single"/>
        </w:rPr>
      </w:pPr>
    </w:p>
    <w:p w14:paraId="2383A129" w14:textId="77777777" w:rsidR="00663FDD" w:rsidRDefault="00663FDD">
      <w:pPr>
        <w:rPr>
          <w:b/>
          <w:sz w:val="36"/>
          <w:szCs w:val="36"/>
          <w:u w:val="single"/>
        </w:rPr>
      </w:pPr>
    </w:p>
    <w:p w14:paraId="58548180" w14:textId="23DA75E7" w:rsidR="00A02A61" w:rsidRDefault="00A02A61">
      <w:pPr>
        <w:rPr>
          <w:b/>
          <w:sz w:val="36"/>
          <w:szCs w:val="36"/>
          <w:u w:val="single"/>
        </w:rPr>
      </w:pPr>
    </w:p>
    <w:p w14:paraId="0EE9F457" w14:textId="404F63C7" w:rsidR="005F2FFA" w:rsidRDefault="005F2FFA">
      <w:pPr>
        <w:rPr>
          <w:b/>
          <w:sz w:val="36"/>
          <w:szCs w:val="36"/>
          <w:u w:val="single"/>
        </w:rPr>
      </w:pPr>
    </w:p>
    <w:p w14:paraId="40B3AFA5" w14:textId="48662B6D" w:rsidR="005F2FFA" w:rsidRDefault="005F2FFA">
      <w:pPr>
        <w:rPr>
          <w:b/>
          <w:sz w:val="36"/>
          <w:szCs w:val="36"/>
          <w:u w:val="single"/>
        </w:rPr>
      </w:pPr>
    </w:p>
    <w:p w14:paraId="129CD050" w14:textId="24F04D21" w:rsidR="005F2FFA" w:rsidRDefault="005F2FFA">
      <w:pPr>
        <w:rPr>
          <w:b/>
          <w:sz w:val="36"/>
          <w:szCs w:val="36"/>
          <w:u w:val="single"/>
        </w:rPr>
      </w:pPr>
    </w:p>
    <w:p w14:paraId="31CBAA14" w14:textId="6D4898DB" w:rsidR="005F2FFA" w:rsidRDefault="005F2FFA">
      <w:pPr>
        <w:rPr>
          <w:b/>
          <w:sz w:val="36"/>
          <w:szCs w:val="36"/>
          <w:u w:val="single"/>
        </w:rPr>
      </w:pPr>
    </w:p>
    <w:p w14:paraId="151CF05D" w14:textId="123DDB5B" w:rsidR="005F2FFA" w:rsidRDefault="005F2FFA">
      <w:pPr>
        <w:rPr>
          <w:b/>
          <w:sz w:val="36"/>
          <w:szCs w:val="36"/>
          <w:u w:val="single"/>
        </w:rPr>
      </w:pPr>
    </w:p>
    <w:p w14:paraId="0889E39A" w14:textId="77777777" w:rsidR="002F7F5C" w:rsidRDefault="002F7F5C">
      <w:pPr>
        <w:rPr>
          <w:szCs w:val="21"/>
        </w:rPr>
      </w:pPr>
    </w:p>
    <w:p w14:paraId="3D024AB1" w14:textId="0DF01170" w:rsidR="004B722B" w:rsidRDefault="0059667B">
      <w:pPr>
        <w:rPr>
          <w:b/>
          <w:sz w:val="36"/>
          <w:szCs w:val="36"/>
          <w:u w:val="single"/>
        </w:rPr>
      </w:pPr>
      <w:r w:rsidRPr="0059667B">
        <w:rPr>
          <w:rFonts w:hint="eastAsia"/>
          <w:b/>
          <w:sz w:val="36"/>
          <w:szCs w:val="36"/>
          <w:u w:val="single"/>
        </w:rPr>
        <w:lastRenderedPageBreak/>
        <w:t>精検受診率</w:t>
      </w:r>
    </w:p>
    <w:p w14:paraId="05C42EE8" w14:textId="4DD9B8E6" w:rsidR="00D2004D" w:rsidRDefault="004659D9" w:rsidP="00D2004D">
      <w:pPr>
        <w:jc w:val="center"/>
        <w:rPr>
          <w:szCs w:val="21"/>
        </w:rPr>
      </w:pPr>
      <w:r>
        <w:rPr>
          <w:noProof/>
        </w:rPr>
        <mc:AlternateContent>
          <mc:Choice Requires="wps">
            <w:drawing>
              <wp:anchor distT="0" distB="0" distL="114300" distR="114300" simplePos="0" relativeHeight="251666432" behindDoc="0" locked="0" layoutInCell="1" allowOverlap="1" wp14:anchorId="340FC1BA" wp14:editId="05FACFCC">
                <wp:simplePos x="0" y="0"/>
                <wp:positionH relativeFrom="margin">
                  <wp:posOffset>4139565</wp:posOffset>
                </wp:positionH>
                <wp:positionV relativeFrom="paragraph">
                  <wp:posOffset>101600</wp:posOffset>
                </wp:positionV>
                <wp:extent cx="2226733" cy="296333"/>
                <wp:effectExtent l="0" t="0" r="0" b="0"/>
                <wp:wrapNone/>
                <wp:docPr id="5" name="テキスト ボックス 4">
                  <a:extLst xmlns:a="http://schemas.openxmlformats.org/drawingml/2006/main">
                    <a:ext uri="{FF2B5EF4-FFF2-40B4-BE49-F238E27FC236}">
                      <a16:creationId xmlns:a16="http://schemas.microsoft.com/office/drawing/2014/main" id="{1BFEF980-95C8-454E-94C7-0EC02333CABE}"/>
                    </a:ext>
                  </a:extLst>
                </wp:docPr>
                <wp:cNvGraphicFramePr/>
                <a:graphic xmlns:a="http://schemas.openxmlformats.org/drawingml/2006/main">
                  <a:graphicData uri="http://schemas.microsoft.com/office/word/2010/wordprocessingShape">
                    <wps:wsp>
                      <wps:cNvSpPr txBox="1"/>
                      <wps:spPr>
                        <a:xfrm>
                          <a:off x="0" y="0"/>
                          <a:ext cx="2226733" cy="296333"/>
                        </a:xfrm>
                        <a:prstGeom prst="rect">
                          <a:avLst/>
                        </a:prstGeom>
                        <a:noFill/>
                        <a:ln w="9525" cmpd="sng">
                          <a:noFill/>
                        </a:ln>
                        <a:effectLst/>
                      </wps:spPr>
                      <wps:txbx>
                        <w:txbxContent>
                          <w:p w14:paraId="39B3016F" w14:textId="77777777" w:rsidR="004659D9" w:rsidRPr="004659D9" w:rsidRDefault="004659D9" w:rsidP="004659D9">
                            <w:pPr>
                              <w:rPr>
                                <w:rFonts w:ascii="ＭＳ Ｐゴシック" w:eastAsia="ＭＳ Ｐゴシック" w:hAnsi="ＭＳ Ｐゴシック" w:cs="+mn-cs"/>
                                <w:color w:val="000000"/>
                                <w:kern w:val="0"/>
                                <w:sz w:val="18"/>
                                <w:szCs w:val="18"/>
                              </w:rPr>
                            </w:pPr>
                            <w:r w:rsidRPr="004659D9">
                              <w:rPr>
                                <w:rFonts w:ascii="ＭＳ Ｐゴシック" w:eastAsia="ＭＳ Ｐゴシック" w:hAnsi="ＭＳ Ｐゴシック" w:cs="+mn-cs" w:hint="eastAsia"/>
                                <w:color w:val="000000"/>
                                <w:sz w:val="18"/>
                                <w:szCs w:val="18"/>
                              </w:rPr>
                              <w:t>大阪府平均　84.7　基準値　90.0以上</w:t>
                            </w:r>
                          </w:p>
                        </w:txbxContent>
                      </wps:txbx>
                      <wps:bodyPr vert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40FC1BA" id="テキスト ボックス 4" o:spid="_x0000_s1029" type="#_x0000_t202" style="position:absolute;left:0;text-align:left;margin-left:325.95pt;margin-top:8pt;width:175.35pt;height:23.3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" filled="f" stroked="f">
                <v:textbox>
                  <w:txbxContent>
                    <w:p w14:paraId="39B3016F" w14:textId="77777777" w:rsidR="004659D9" w:rsidRPr="004659D9" w:rsidRDefault="004659D9" w:rsidP="004659D9">
                      <w:pPr>
                        <w:rPr>
                          <w:rFonts w:ascii="ＭＳ Ｐゴシック" w:eastAsia="ＭＳ Ｐゴシック" w:hAnsi="ＭＳ Ｐゴシック" w:cs="+mn-cs"/>
                          <w:color w:val="000000"/>
                          <w:kern w:val="0"/>
                          <w:sz w:val="18"/>
                          <w:szCs w:val="18"/>
                        </w:rPr>
                      </w:pPr>
                      <w:r w:rsidRPr="004659D9">
                        <w:rPr>
                          <w:rFonts w:ascii="ＭＳ Ｐゴシック" w:eastAsia="ＭＳ Ｐゴシック" w:hAnsi="ＭＳ Ｐゴシック" w:cs="+mn-cs" w:hint="eastAsia"/>
                          <w:color w:val="000000"/>
                          <w:sz w:val="18"/>
                          <w:szCs w:val="18"/>
                        </w:rPr>
                        <w:t>大阪府平均　84.7　基準値　90.0以上</w:t>
                      </w:r>
                    </w:p>
                  </w:txbxContent>
                </v:textbox>
                <w10:wrap anchorx="margin"/>
              </v:shape>
            </w:pict>
          </mc:Fallback>
        </mc:AlternateContent>
      </w:r>
      <w:r>
        <w:rPr>
          <w:noProof/>
        </w:rPr>
        <w:drawing>
          <wp:inline distT="0" distB="0" distL="0" distR="0" wp14:anchorId="5B37BC2C" wp14:editId="043ABC7B">
            <wp:extent cx="6406348" cy="2308930"/>
            <wp:effectExtent l="0" t="0" r="13970" b="15240"/>
            <wp:docPr id="20" name="グラフ 20">
              <a:extLst xmlns:a="http://schemas.openxmlformats.org/drawingml/2006/main">
                <a:ext uri="{FF2B5EF4-FFF2-40B4-BE49-F238E27FC236}">
                  <a16:creationId xmlns:a16="http://schemas.microsoft.com/office/drawing/2014/main" id="{264AC498-BE6D-4CF4-837D-903530C5B3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bl>
      <w:tblPr>
        <w:tblpPr w:leftFromText="142" w:rightFromText="142" w:vertAnchor="text" w:horzAnchor="margin" w:tblpXSpec="center" w:tblpY="73"/>
        <w:tblW w:w="9606"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20" w:firstRow="1" w:lastRow="0" w:firstColumn="0" w:lastColumn="0" w:noHBand="0" w:noVBand="1"/>
      </w:tblPr>
      <w:tblGrid>
        <w:gridCol w:w="3510"/>
        <w:gridCol w:w="3119"/>
        <w:gridCol w:w="2977"/>
      </w:tblGrid>
      <w:tr w:rsidR="005F2FFA" w:rsidRPr="0059667B" w14:paraId="5AA06A80" w14:textId="77777777" w:rsidTr="00D2004D">
        <w:trPr>
          <w:trHeight w:val="385"/>
        </w:trPr>
        <w:tc>
          <w:tcPr>
            <w:tcW w:w="3510" w:type="dxa"/>
            <w:tcBorders>
              <w:top w:val="single" w:sz="8" w:space="0" w:color="4BACC6"/>
              <w:left w:val="single" w:sz="8" w:space="0" w:color="4BACC6"/>
              <w:bottom w:val="single" w:sz="18" w:space="0" w:color="4BACC6"/>
              <w:right w:val="single" w:sz="8" w:space="0" w:color="4BACC6"/>
            </w:tcBorders>
            <w:shd w:val="clear" w:color="auto" w:fill="auto"/>
          </w:tcPr>
          <w:p w14:paraId="535E3FBC" w14:textId="77777777" w:rsidR="005F2FFA" w:rsidRPr="0059667B" w:rsidRDefault="005F2FFA" w:rsidP="005F2FFA">
            <w:pPr>
              <w:spacing w:line="240" w:lineRule="atLeast"/>
              <w:ind w:firstLineChars="100" w:firstLine="161"/>
              <w:jc w:val="center"/>
              <w:rPr>
                <w:rFonts w:ascii="HG丸ｺﾞｼｯｸM-PRO" w:eastAsia="HG丸ｺﾞｼｯｸM-PRO" w:hAnsi="HG丸ｺﾞｼｯｸM-PRO"/>
                <w:b/>
                <w:bCs/>
                <w:sz w:val="16"/>
                <w:szCs w:val="16"/>
              </w:rPr>
            </w:pPr>
            <w:r w:rsidRPr="0059667B">
              <w:rPr>
                <w:rFonts w:ascii="HG丸ｺﾞｼｯｸM-PRO" w:eastAsia="HG丸ｺﾞｼｯｸM-PRO" w:hAnsi="HG丸ｺﾞｼｯｸM-PRO" w:hint="eastAsia"/>
                <w:b/>
                <w:bCs/>
                <w:sz w:val="16"/>
                <w:szCs w:val="16"/>
              </w:rPr>
              <w:t>精検受診率とは</w:t>
            </w:r>
          </w:p>
        </w:tc>
        <w:tc>
          <w:tcPr>
            <w:tcW w:w="3119" w:type="dxa"/>
            <w:tcBorders>
              <w:top w:val="single" w:sz="8" w:space="0" w:color="4BACC6"/>
              <w:left w:val="single" w:sz="8" w:space="0" w:color="4BACC6"/>
              <w:bottom w:val="single" w:sz="18" w:space="0" w:color="4BACC6"/>
              <w:right w:val="single" w:sz="8" w:space="0" w:color="4BACC6"/>
            </w:tcBorders>
            <w:shd w:val="clear" w:color="auto" w:fill="auto"/>
          </w:tcPr>
          <w:p w14:paraId="61BFF400" w14:textId="77777777" w:rsidR="005F2FFA" w:rsidRPr="0059667B" w:rsidRDefault="005F2FFA" w:rsidP="005F2FFA">
            <w:pPr>
              <w:spacing w:line="240" w:lineRule="atLeast"/>
              <w:ind w:firstLineChars="100" w:firstLine="161"/>
              <w:jc w:val="center"/>
              <w:rPr>
                <w:rFonts w:ascii="HG丸ｺﾞｼｯｸM-PRO" w:eastAsia="HG丸ｺﾞｼｯｸM-PRO" w:hAnsi="HG丸ｺﾞｼｯｸM-PRO"/>
                <w:b/>
                <w:bCs/>
                <w:sz w:val="16"/>
                <w:szCs w:val="16"/>
              </w:rPr>
            </w:pPr>
            <w:r w:rsidRPr="0059667B">
              <w:rPr>
                <w:rFonts w:ascii="HG丸ｺﾞｼｯｸM-PRO" w:eastAsia="HG丸ｺﾞｼｯｸM-PRO" w:hAnsi="HG丸ｺﾞｼｯｸM-PRO" w:hint="eastAsia"/>
                <w:b/>
                <w:bCs/>
                <w:sz w:val="16"/>
                <w:szCs w:val="16"/>
              </w:rPr>
              <w:t>高い場合</w:t>
            </w:r>
          </w:p>
        </w:tc>
        <w:tc>
          <w:tcPr>
            <w:tcW w:w="2977" w:type="dxa"/>
            <w:tcBorders>
              <w:top w:val="single" w:sz="8" w:space="0" w:color="4BACC6"/>
              <w:left w:val="single" w:sz="8" w:space="0" w:color="4BACC6"/>
              <w:bottom w:val="single" w:sz="18" w:space="0" w:color="4BACC6"/>
              <w:right w:val="single" w:sz="8" w:space="0" w:color="4BACC6"/>
            </w:tcBorders>
            <w:shd w:val="clear" w:color="auto" w:fill="auto"/>
          </w:tcPr>
          <w:p w14:paraId="1C0082A3" w14:textId="77777777" w:rsidR="005F2FFA" w:rsidRPr="0059667B" w:rsidRDefault="005F2FFA" w:rsidP="005F2FFA">
            <w:pPr>
              <w:spacing w:line="240" w:lineRule="atLeast"/>
              <w:ind w:firstLineChars="100" w:firstLine="161"/>
              <w:jc w:val="center"/>
              <w:rPr>
                <w:rFonts w:ascii="HG丸ｺﾞｼｯｸM-PRO" w:eastAsia="HG丸ｺﾞｼｯｸM-PRO" w:hAnsi="HG丸ｺﾞｼｯｸM-PRO"/>
                <w:b/>
                <w:bCs/>
                <w:sz w:val="16"/>
                <w:szCs w:val="16"/>
              </w:rPr>
            </w:pPr>
            <w:r w:rsidRPr="0059667B">
              <w:rPr>
                <w:rFonts w:ascii="HG丸ｺﾞｼｯｸM-PRO" w:eastAsia="HG丸ｺﾞｼｯｸM-PRO" w:hAnsi="HG丸ｺﾞｼｯｸM-PRO" w:hint="eastAsia"/>
                <w:b/>
                <w:bCs/>
                <w:sz w:val="16"/>
                <w:szCs w:val="16"/>
              </w:rPr>
              <w:t>低い場合</w:t>
            </w:r>
          </w:p>
        </w:tc>
      </w:tr>
      <w:tr w:rsidR="005F2FFA" w:rsidRPr="0059667B" w14:paraId="48010C20" w14:textId="77777777" w:rsidTr="00D2004D">
        <w:trPr>
          <w:trHeight w:val="1541"/>
        </w:trPr>
        <w:tc>
          <w:tcPr>
            <w:tcW w:w="3510" w:type="dxa"/>
            <w:tcBorders>
              <w:top w:val="single" w:sz="8" w:space="0" w:color="4BACC6"/>
              <w:left w:val="single" w:sz="8" w:space="0" w:color="4BACC6"/>
              <w:bottom w:val="single" w:sz="8" w:space="0" w:color="4BACC6"/>
              <w:right w:val="single" w:sz="8" w:space="0" w:color="4BACC6"/>
            </w:tcBorders>
            <w:shd w:val="clear" w:color="auto" w:fill="D2EAF1"/>
            <w:hideMark/>
          </w:tcPr>
          <w:p w14:paraId="57228EAF" w14:textId="77777777" w:rsidR="005F2FFA" w:rsidRPr="0059667B" w:rsidRDefault="005F2FFA" w:rsidP="005F2FFA">
            <w:pPr>
              <w:spacing w:line="240" w:lineRule="atLeast"/>
              <w:jc w:val="left"/>
              <w:rPr>
                <w:rFonts w:ascii="HG丸ｺﾞｼｯｸM-PRO" w:eastAsia="HG丸ｺﾞｼｯｸM-PRO" w:hAnsi="HG丸ｺﾞｼｯｸM-PRO"/>
                <w:sz w:val="16"/>
                <w:szCs w:val="16"/>
              </w:rPr>
            </w:pPr>
            <w:r w:rsidRPr="0059667B">
              <w:rPr>
                <w:rFonts w:ascii="HG丸ｺﾞｼｯｸM-PRO" w:eastAsia="HG丸ｺﾞｼｯｸM-PRO" w:hAnsi="HG丸ｺﾞｼｯｸM-PRO" w:hint="eastAsia"/>
                <w:sz w:val="16"/>
                <w:szCs w:val="16"/>
              </w:rPr>
              <w:t>要精検者（精密検査が必要だと判定された人）のうち、実際に精密検査を受けた人の割合。</w:t>
            </w:r>
          </w:p>
          <w:p w14:paraId="63C8B5C6" w14:textId="77777777" w:rsidR="005F2FFA" w:rsidRPr="0059667B" w:rsidRDefault="005F2FFA" w:rsidP="005F2FFA">
            <w:pPr>
              <w:spacing w:line="240" w:lineRule="atLeast"/>
              <w:jc w:val="left"/>
              <w:rPr>
                <w:rFonts w:ascii="HG丸ｺﾞｼｯｸM-PRO" w:eastAsia="HG丸ｺﾞｼｯｸM-PRO" w:hAnsi="HG丸ｺﾞｼｯｸM-PRO"/>
                <w:sz w:val="16"/>
                <w:szCs w:val="16"/>
              </w:rPr>
            </w:pPr>
            <w:r w:rsidRPr="0059667B">
              <w:rPr>
                <w:rFonts w:ascii="HG丸ｺﾞｼｯｸM-PRO" w:eastAsia="HG丸ｺﾞｼｯｸM-PRO" w:hAnsi="HG丸ｺﾞｼｯｸM-PRO" w:hint="eastAsia"/>
                <w:sz w:val="16"/>
                <w:szCs w:val="16"/>
              </w:rPr>
              <w:t>検診の結果通知や精密検査の受診勧奨など、検診での検査以外の部分の精度を示す指標。</w:t>
            </w:r>
          </w:p>
        </w:tc>
        <w:tc>
          <w:tcPr>
            <w:tcW w:w="3119" w:type="dxa"/>
            <w:tcBorders>
              <w:top w:val="single" w:sz="8" w:space="0" w:color="4BACC6"/>
              <w:left w:val="single" w:sz="8" w:space="0" w:color="4BACC6"/>
              <w:bottom w:val="single" w:sz="8" w:space="0" w:color="4BACC6"/>
              <w:right w:val="single" w:sz="8" w:space="0" w:color="4BACC6"/>
            </w:tcBorders>
            <w:shd w:val="clear" w:color="auto" w:fill="D2EAF1"/>
            <w:hideMark/>
          </w:tcPr>
          <w:p w14:paraId="25F263D8" w14:textId="77777777" w:rsidR="005F2FFA" w:rsidRPr="0059667B" w:rsidRDefault="005F2FFA" w:rsidP="005F2FFA">
            <w:pPr>
              <w:spacing w:line="240" w:lineRule="atLeast"/>
              <w:jc w:val="left"/>
              <w:rPr>
                <w:rFonts w:ascii="HG丸ｺﾞｼｯｸM-PRO" w:eastAsia="HG丸ｺﾞｼｯｸM-PRO" w:hAnsi="HG丸ｺﾞｼｯｸM-PRO"/>
                <w:sz w:val="16"/>
                <w:szCs w:val="16"/>
              </w:rPr>
            </w:pPr>
            <w:r w:rsidRPr="0059667B">
              <w:rPr>
                <w:rFonts w:ascii="HG丸ｺﾞｼｯｸM-PRO" w:eastAsia="HG丸ｺﾞｼｯｸM-PRO" w:hAnsi="HG丸ｺﾞｼｯｸM-PRO" w:hint="eastAsia"/>
                <w:sz w:val="16"/>
                <w:szCs w:val="16"/>
              </w:rPr>
              <w:t>○高いことが望ましい。</w:t>
            </w:r>
          </w:p>
        </w:tc>
        <w:tc>
          <w:tcPr>
            <w:tcW w:w="2977" w:type="dxa"/>
            <w:tcBorders>
              <w:top w:val="single" w:sz="8" w:space="0" w:color="4BACC6"/>
              <w:left w:val="single" w:sz="8" w:space="0" w:color="4BACC6"/>
              <w:bottom w:val="single" w:sz="8" w:space="0" w:color="4BACC6"/>
              <w:right w:val="single" w:sz="8" w:space="0" w:color="4BACC6"/>
            </w:tcBorders>
            <w:shd w:val="clear" w:color="auto" w:fill="D2EAF1"/>
            <w:hideMark/>
          </w:tcPr>
          <w:p w14:paraId="5EED130F" w14:textId="77777777" w:rsidR="005F2FFA" w:rsidRPr="0059667B" w:rsidRDefault="005F2FFA" w:rsidP="005F2FFA">
            <w:pPr>
              <w:spacing w:line="240" w:lineRule="atLeast"/>
              <w:jc w:val="left"/>
              <w:rPr>
                <w:rFonts w:ascii="HG丸ｺﾞｼｯｸM-PRO" w:eastAsia="HG丸ｺﾞｼｯｸM-PRO" w:hAnsi="HG丸ｺﾞｼｯｸM-PRO"/>
                <w:sz w:val="16"/>
                <w:szCs w:val="16"/>
              </w:rPr>
            </w:pPr>
            <w:r w:rsidRPr="0059667B">
              <w:rPr>
                <w:rFonts w:ascii="HG丸ｺﾞｼｯｸM-PRO" w:eastAsia="HG丸ｺﾞｼｯｸM-PRO" w:hAnsi="HG丸ｺﾞｼｯｸM-PRO" w:hint="eastAsia"/>
                <w:sz w:val="16"/>
                <w:szCs w:val="16"/>
              </w:rPr>
              <w:t>○市町村における精密検査結果の把握方法について検討する必要がある。　　　　　　　　　　　　　　　　　　　　　　　　　　○たとえ検診で異常が指摘されていたとしても精密検査を受けて診断されなければ、診断し治療できるはずのがんを見過ごす可能性もある。</w:t>
            </w:r>
          </w:p>
        </w:tc>
      </w:tr>
    </w:tbl>
    <w:p w14:paraId="59BAEE68" w14:textId="77777777" w:rsidR="00A02A61" w:rsidRDefault="00A02A61">
      <w:pPr>
        <w:rPr>
          <w:noProof/>
        </w:rPr>
      </w:pPr>
    </w:p>
    <w:p w14:paraId="7358E16C" w14:textId="77777777" w:rsidR="00A02A61" w:rsidRDefault="00A02A61">
      <w:pPr>
        <w:rPr>
          <w:noProof/>
        </w:rPr>
      </w:pPr>
    </w:p>
    <w:p w14:paraId="33CCDDAD" w14:textId="77777777" w:rsidR="00A02A61" w:rsidRDefault="00A02A61">
      <w:pPr>
        <w:rPr>
          <w:noProof/>
        </w:rPr>
      </w:pPr>
    </w:p>
    <w:p w14:paraId="2FD2AF85" w14:textId="3A1C40B6" w:rsidR="0059667B" w:rsidRDefault="0059667B">
      <w:pPr>
        <w:rPr>
          <w:noProof/>
        </w:rPr>
      </w:pPr>
    </w:p>
    <w:p w14:paraId="68EB67AC" w14:textId="29F51E5B" w:rsidR="004B722B" w:rsidRDefault="004B722B">
      <w:pPr>
        <w:rPr>
          <w:noProof/>
        </w:rPr>
      </w:pPr>
    </w:p>
    <w:p w14:paraId="3B9A5FFA" w14:textId="2C60C846" w:rsidR="004B722B" w:rsidRDefault="004B722B">
      <w:pPr>
        <w:rPr>
          <w:noProof/>
        </w:rPr>
      </w:pPr>
    </w:p>
    <w:p w14:paraId="17EFDFBA" w14:textId="6866A22F" w:rsidR="004B722B" w:rsidRDefault="004B722B">
      <w:pPr>
        <w:rPr>
          <w:noProof/>
        </w:rPr>
      </w:pPr>
    </w:p>
    <w:p w14:paraId="4468C715" w14:textId="02AA3A96" w:rsidR="004B722B" w:rsidRDefault="004B722B">
      <w:pPr>
        <w:rPr>
          <w:noProof/>
        </w:rPr>
      </w:pPr>
    </w:p>
    <w:p w14:paraId="57964AAE" w14:textId="77777777" w:rsidR="004B722B" w:rsidRDefault="004B722B">
      <w:pPr>
        <w:rPr>
          <w:szCs w:val="21"/>
        </w:rPr>
      </w:pPr>
    </w:p>
    <w:p w14:paraId="40A4450D" w14:textId="77777777" w:rsidR="0059667B" w:rsidRDefault="0059667B">
      <w:pPr>
        <w:rPr>
          <w:szCs w:val="21"/>
        </w:rPr>
      </w:pPr>
    </w:p>
    <w:p w14:paraId="78F9E55A" w14:textId="5D69D895" w:rsidR="0059667B" w:rsidRDefault="0059667B">
      <w:pPr>
        <w:rPr>
          <w:szCs w:val="21"/>
        </w:rPr>
      </w:pPr>
    </w:p>
    <w:p w14:paraId="40A6AF1C" w14:textId="55989CFD" w:rsidR="00EA6B6E" w:rsidRDefault="00EA6B6E">
      <w:pPr>
        <w:rPr>
          <w:szCs w:val="21"/>
        </w:rPr>
      </w:pPr>
    </w:p>
    <w:p w14:paraId="5ACB6B41" w14:textId="48DE722E" w:rsidR="00EA6B6E" w:rsidRDefault="00EA6B6E">
      <w:pPr>
        <w:rPr>
          <w:szCs w:val="21"/>
        </w:rPr>
      </w:pPr>
    </w:p>
    <w:p w14:paraId="18CF3930" w14:textId="60D19E2F" w:rsidR="00EA6B6E" w:rsidRDefault="00EA6B6E">
      <w:pPr>
        <w:rPr>
          <w:szCs w:val="21"/>
        </w:rPr>
      </w:pPr>
    </w:p>
    <w:p w14:paraId="64AE504E" w14:textId="0E4BBB5F" w:rsidR="00EA6B6E" w:rsidRDefault="00EA6B6E">
      <w:pPr>
        <w:rPr>
          <w:szCs w:val="21"/>
        </w:rPr>
      </w:pPr>
    </w:p>
    <w:p w14:paraId="0A5FE8BB" w14:textId="141FDAA9" w:rsidR="00EA6B6E" w:rsidRDefault="00EA6B6E">
      <w:pPr>
        <w:rPr>
          <w:szCs w:val="21"/>
        </w:rPr>
      </w:pPr>
    </w:p>
    <w:p w14:paraId="25145499" w14:textId="17FE24D6" w:rsidR="0057755D" w:rsidRDefault="0057755D">
      <w:pPr>
        <w:rPr>
          <w:szCs w:val="21"/>
        </w:rPr>
      </w:pPr>
    </w:p>
    <w:p w14:paraId="0BD7E283" w14:textId="74197AFA" w:rsidR="0057755D" w:rsidRDefault="0057755D">
      <w:pPr>
        <w:rPr>
          <w:szCs w:val="21"/>
        </w:rPr>
      </w:pPr>
    </w:p>
    <w:p w14:paraId="108FBC4A" w14:textId="753712E9" w:rsidR="0057755D" w:rsidRDefault="0057755D">
      <w:pPr>
        <w:rPr>
          <w:szCs w:val="21"/>
        </w:rPr>
      </w:pPr>
    </w:p>
    <w:p w14:paraId="5CDD5F0B" w14:textId="33940024" w:rsidR="0057755D" w:rsidRDefault="0057755D">
      <w:pPr>
        <w:rPr>
          <w:szCs w:val="21"/>
        </w:rPr>
      </w:pPr>
    </w:p>
    <w:p w14:paraId="4FD62212" w14:textId="64E5E0D5" w:rsidR="0057755D" w:rsidRDefault="0057755D">
      <w:pPr>
        <w:rPr>
          <w:szCs w:val="21"/>
        </w:rPr>
      </w:pPr>
    </w:p>
    <w:p w14:paraId="61EF327A" w14:textId="30707020" w:rsidR="0057755D" w:rsidRDefault="0057755D">
      <w:pPr>
        <w:rPr>
          <w:szCs w:val="21"/>
        </w:rPr>
      </w:pPr>
    </w:p>
    <w:p w14:paraId="615041D3" w14:textId="77777777" w:rsidR="00EA6B6E" w:rsidRDefault="00180F9D">
      <w:pPr>
        <w:rPr>
          <w:b/>
          <w:sz w:val="36"/>
          <w:szCs w:val="36"/>
          <w:u w:val="single"/>
        </w:rPr>
      </w:pPr>
      <w:r>
        <w:rPr>
          <w:rFonts w:hint="eastAsia"/>
          <w:b/>
          <w:sz w:val="36"/>
          <w:szCs w:val="36"/>
          <w:u w:val="single"/>
        </w:rPr>
        <w:lastRenderedPageBreak/>
        <w:t>がん発見率</w:t>
      </w:r>
    </w:p>
    <w:p w14:paraId="698CEFBA" w14:textId="5A27391A" w:rsidR="00DC1AF8" w:rsidRPr="00EA6B6E" w:rsidRDefault="004659D9" w:rsidP="00D2004D">
      <w:pPr>
        <w:jc w:val="center"/>
        <w:rPr>
          <w:b/>
          <w:sz w:val="36"/>
          <w:szCs w:val="36"/>
          <w:u w:val="single"/>
        </w:rPr>
      </w:pPr>
      <w:r>
        <w:rPr>
          <w:noProof/>
        </w:rPr>
        <w:drawing>
          <wp:inline distT="0" distB="0" distL="0" distR="0" wp14:anchorId="2DC66E84" wp14:editId="308A9B9D">
            <wp:extent cx="6406348" cy="2308931"/>
            <wp:effectExtent l="0" t="0" r="13970" b="15240"/>
            <wp:docPr id="21" name="グラフ 21">
              <a:extLst xmlns:a="http://schemas.openxmlformats.org/drawingml/2006/main">
                <a:ext uri="{FF2B5EF4-FFF2-40B4-BE49-F238E27FC236}">
                  <a16:creationId xmlns:a16="http://schemas.microsoft.com/office/drawing/2014/main" id="{51D5F14C-E7FC-4C0F-8990-6D16A105D3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bl>
      <w:tblPr>
        <w:tblpPr w:leftFromText="142" w:rightFromText="142" w:vertAnchor="text" w:horzAnchor="margin" w:tblpXSpec="center" w:tblpY="332"/>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20" w:firstRow="1" w:lastRow="0" w:firstColumn="0" w:lastColumn="0" w:noHBand="0" w:noVBand="1"/>
      </w:tblPr>
      <w:tblGrid>
        <w:gridCol w:w="3227"/>
        <w:gridCol w:w="3402"/>
        <w:gridCol w:w="2835"/>
      </w:tblGrid>
      <w:tr w:rsidR="00180F9D" w:rsidRPr="00180F9D" w14:paraId="1F2FD32E" w14:textId="77777777" w:rsidTr="00D2004D">
        <w:trPr>
          <w:trHeight w:val="407"/>
        </w:trPr>
        <w:tc>
          <w:tcPr>
            <w:tcW w:w="3227" w:type="dxa"/>
            <w:tcBorders>
              <w:top w:val="single" w:sz="8" w:space="0" w:color="4BACC6"/>
              <w:left w:val="single" w:sz="8" w:space="0" w:color="4BACC6"/>
              <w:bottom w:val="single" w:sz="18" w:space="0" w:color="4BACC6"/>
              <w:right w:val="single" w:sz="8" w:space="0" w:color="4BACC6"/>
            </w:tcBorders>
            <w:shd w:val="clear" w:color="auto" w:fill="auto"/>
          </w:tcPr>
          <w:p w14:paraId="44F66199" w14:textId="77777777" w:rsidR="00180F9D" w:rsidRPr="00180F9D" w:rsidRDefault="00180F9D" w:rsidP="005F2FFA">
            <w:pPr>
              <w:spacing w:line="240" w:lineRule="atLeast"/>
              <w:ind w:firstLineChars="100" w:firstLine="161"/>
              <w:jc w:val="center"/>
              <w:rPr>
                <w:rFonts w:ascii="HG丸ｺﾞｼｯｸM-PRO" w:eastAsia="HG丸ｺﾞｼｯｸM-PRO" w:hAnsi="HG丸ｺﾞｼｯｸM-PRO"/>
                <w:b/>
                <w:bCs/>
                <w:sz w:val="16"/>
                <w:szCs w:val="16"/>
              </w:rPr>
            </w:pPr>
            <w:r w:rsidRPr="00180F9D">
              <w:rPr>
                <w:rFonts w:ascii="HG丸ｺﾞｼｯｸM-PRO" w:eastAsia="HG丸ｺﾞｼｯｸM-PRO" w:hAnsi="HG丸ｺﾞｼｯｸM-PRO" w:hint="eastAsia"/>
                <w:b/>
                <w:bCs/>
                <w:sz w:val="16"/>
                <w:szCs w:val="16"/>
              </w:rPr>
              <w:t>がん発見率とは</w:t>
            </w:r>
          </w:p>
        </w:tc>
        <w:tc>
          <w:tcPr>
            <w:tcW w:w="3402" w:type="dxa"/>
            <w:tcBorders>
              <w:top w:val="single" w:sz="8" w:space="0" w:color="4BACC6"/>
              <w:left w:val="single" w:sz="8" w:space="0" w:color="4BACC6"/>
              <w:bottom w:val="single" w:sz="18" w:space="0" w:color="4BACC6"/>
              <w:right w:val="single" w:sz="8" w:space="0" w:color="4BACC6"/>
            </w:tcBorders>
            <w:shd w:val="clear" w:color="auto" w:fill="auto"/>
          </w:tcPr>
          <w:p w14:paraId="3B0AF450" w14:textId="47D975C6" w:rsidR="00180F9D" w:rsidRPr="00180F9D" w:rsidRDefault="00180F9D" w:rsidP="005F2FFA">
            <w:pPr>
              <w:spacing w:line="240" w:lineRule="atLeast"/>
              <w:ind w:firstLineChars="100" w:firstLine="161"/>
              <w:jc w:val="center"/>
              <w:rPr>
                <w:rFonts w:ascii="HG丸ｺﾞｼｯｸM-PRO" w:eastAsia="HG丸ｺﾞｼｯｸM-PRO" w:hAnsi="HG丸ｺﾞｼｯｸM-PRO"/>
                <w:b/>
                <w:bCs/>
                <w:sz w:val="16"/>
                <w:szCs w:val="16"/>
              </w:rPr>
            </w:pPr>
            <w:r w:rsidRPr="00180F9D">
              <w:rPr>
                <w:rFonts w:ascii="HG丸ｺﾞｼｯｸM-PRO" w:eastAsia="HG丸ｺﾞｼｯｸM-PRO" w:hAnsi="HG丸ｺﾞｼｯｸM-PRO" w:hint="eastAsia"/>
                <w:b/>
                <w:bCs/>
                <w:sz w:val="16"/>
                <w:szCs w:val="16"/>
              </w:rPr>
              <w:t>高い場合</w:t>
            </w:r>
          </w:p>
        </w:tc>
        <w:tc>
          <w:tcPr>
            <w:tcW w:w="2835" w:type="dxa"/>
            <w:tcBorders>
              <w:top w:val="single" w:sz="8" w:space="0" w:color="4BACC6"/>
              <w:left w:val="single" w:sz="8" w:space="0" w:color="4BACC6"/>
              <w:bottom w:val="single" w:sz="18" w:space="0" w:color="4BACC6"/>
              <w:right w:val="single" w:sz="8" w:space="0" w:color="4BACC6"/>
            </w:tcBorders>
            <w:shd w:val="clear" w:color="auto" w:fill="auto"/>
          </w:tcPr>
          <w:p w14:paraId="2E4B70B6" w14:textId="77777777" w:rsidR="00180F9D" w:rsidRPr="00180F9D" w:rsidRDefault="00180F9D" w:rsidP="005F2FFA">
            <w:pPr>
              <w:spacing w:line="240" w:lineRule="atLeast"/>
              <w:ind w:firstLineChars="100" w:firstLine="161"/>
              <w:jc w:val="center"/>
              <w:rPr>
                <w:rFonts w:ascii="HG丸ｺﾞｼｯｸM-PRO" w:eastAsia="HG丸ｺﾞｼｯｸM-PRO" w:hAnsi="HG丸ｺﾞｼｯｸM-PRO"/>
                <w:b/>
                <w:bCs/>
                <w:sz w:val="16"/>
                <w:szCs w:val="16"/>
              </w:rPr>
            </w:pPr>
            <w:r w:rsidRPr="00180F9D">
              <w:rPr>
                <w:rFonts w:ascii="HG丸ｺﾞｼｯｸM-PRO" w:eastAsia="HG丸ｺﾞｼｯｸM-PRO" w:hAnsi="HG丸ｺﾞｼｯｸM-PRO" w:hint="eastAsia"/>
                <w:b/>
                <w:bCs/>
                <w:sz w:val="16"/>
                <w:szCs w:val="16"/>
              </w:rPr>
              <w:t>低い場合</w:t>
            </w:r>
          </w:p>
        </w:tc>
      </w:tr>
      <w:tr w:rsidR="00180F9D" w:rsidRPr="00180F9D" w14:paraId="100AA3CD" w14:textId="77777777" w:rsidTr="00D2004D">
        <w:trPr>
          <w:trHeight w:val="813"/>
        </w:trPr>
        <w:tc>
          <w:tcPr>
            <w:tcW w:w="3227" w:type="dxa"/>
            <w:tcBorders>
              <w:top w:val="single" w:sz="8" w:space="0" w:color="4BACC6"/>
              <w:left w:val="single" w:sz="8" w:space="0" w:color="4BACC6"/>
              <w:bottom w:val="single" w:sz="8" w:space="0" w:color="4BACC6"/>
              <w:right w:val="single" w:sz="8" w:space="0" w:color="4BACC6"/>
            </w:tcBorders>
            <w:shd w:val="clear" w:color="auto" w:fill="D2EAF1"/>
            <w:hideMark/>
          </w:tcPr>
          <w:p w14:paraId="08C5561E" w14:textId="77777777" w:rsidR="00180F9D" w:rsidRPr="00180F9D" w:rsidRDefault="00180F9D" w:rsidP="00180F9D">
            <w:pPr>
              <w:spacing w:line="240" w:lineRule="atLeast"/>
              <w:jc w:val="left"/>
              <w:rPr>
                <w:rFonts w:ascii="HG丸ｺﾞｼｯｸM-PRO" w:eastAsia="HG丸ｺﾞｼｯｸM-PRO" w:hAnsi="HG丸ｺﾞｼｯｸM-PRO"/>
                <w:sz w:val="16"/>
                <w:szCs w:val="16"/>
              </w:rPr>
            </w:pPr>
            <w:r w:rsidRPr="00180F9D">
              <w:rPr>
                <w:rFonts w:ascii="HG丸ｺﾞｼｯｸM-PRO" w:eastAsia="HG丸ｺﾞｼｯｸM-PRO" w:hAnsi="HG丸ｺﾞｼｯｸM-PRO" w:hint="eastAsia"/>
                <w:sz w:val="16"/>
                <w:szCs w:val="16"/>
              </w:rPr>
              <w:t>がん検診を受けた人のうち、実際にがんが見つかった人の割合。</w:t>
            </w:r>
          </w:p>
        </w:tc>
        <w:tc>
          <w:tcPr>
            <w:tcW w:w="3402" w:type="dxa"/>
            <w:tcBorders>
              <w:top w:val="single" w:sz="8" w:space="0" w:color="4BACC6"/>
              <w:left w:val="single" w:sz="8" w:space="0" w:color="4BACC6"/>
              <w:bottom w:val="single" w:sz="8" w:space="0" w:color="4BACC6"/>
              <w:right w:val="single" w:sz="8" w:space="0" w:color="4BACC6"/>
            </w:tcBorders>
            <w:shd w:val="clear" w:color="auto" w:fill="D2EAF1"/>
            <w:hideMark/>
          </w:tcPr>
          <w:p w14:paraId="15857E8A" w14:textId="77777777" w:rsidR="00180F9D" w:rsidRPr="00180F9D" w:rsidRDefault="00180F9D" w:rsidP="00180F9D">
            <w:pPr>
              <w:spacing w:line="240" w:lineRule="atLeast"/>
              <w:jc w:val="left"/>
              <w:rPr>
                <w:rFonts w:ascii="HG丸ｺﾞｼｯｸM-PRO" w:eastAsia="HG丸ｺﾞｼｯｸM-PRO" w:hAnsi="HG丸ｺﾞｼｯｸM-PRO"/>
                <w:sz w:val="16"/>
                <w:szCs w:val="16"/>
              </w:rPr>
            </w:pPr>
            <w:r w:rsidRPr="00180F9D">
              <w:rPr>
                <w:rFonts w:ascii="HG丸ｺﾞｼｯｸM-PRO" w:eastAsia="HG丸ｺﾞｼｯｸM-PRO" w:hAnsi="HG丸ｺﾞｼｯｸM-PRO" w:hint="eastAsia"/>
                <w:sz w:val="16"/>
                <w:szCs w:val="16"/>
              </w:rPr>
              <w:t>○受診者のうち、何か症状があったにも関わらず受診した人（注）や高齢者などがんにかかりやすい性・年齢の割合が高かった可能性がある。　　　　　　　　　　　　　　　　　　　　○見つかったがんの中で、早期がんの割合が高いほど良い。</w:t>
            </w:r>
          </w:p>
          <w:p w14:paraId="3D542C1B" w14:textId="77777777" w:rsidR="00180F9D" w:rsidRPr="00180F9D" w:rsidRDefault="00180F9D" w:rsidP="00180F9D">
            <w:pPr>
              <w:spacing w:line="240" w:lineRule="atLeast"/>
              <w:jc w:val="left"/>
              <w:rPr>
                <w:rFonts w:ascii="HG丸ｺﾞｼｯｸM-PRO" w:eastAsia="HG丸ｺﾞｼｯｸM-PRO" w:hAnsi="HG丸ｺﾞｼｯｸM-PRO"/>
                <w:sz w:val="16"/>
                <w:szCs w:val="16"/>
              </w:rPr>
            </w:pPr>
            <w:r w:rsidRPr="00180F9D">
              <w:rPr>
                <w:rFonts w:ascii="HG丸ｺﾞｼｯｸM-PRO" w:eastAsia="HG丸ｺﾞｼｯｸM-PRO" w:hAnsi="HG丸ｺﾞｼｯｸM-PRO" w:hint="eastAsia"/>
                <w:sz w:val="16"/>
                <w:szCs w:val="16"/>
              </w:rPr>
              <w:t xml:space="preserve">○基本的に高いことが望ましい。　　　　</w:t>
            </w:r>
          </w:p>
        </w:tc>
        <w:tc>
          <w:tcPr>
            <w:tcW w:w="2835" w:type="dxa"/>
            <w:tcBorders>
              <w:top w:val="single" w:sz="8" w:space="0" w:color="4BACC6"/>
              <w:left w:val="single" w:sz="8" w:space="0" w:color="4BACC6"/>
              <w:bottom w:val="single" w:sz="8" w:space="0" w:color="4BACC6"/>
              <w:right w:val="single" w:sz="8" w:space="0" w:color="4BACC6"/>
            </w:tcBorders>
            <w:shd w:val="clear" w:color="auto" w:fill="D2EAF1"/>
            <w:hideMark/>
          </w:tcPr>
          <w:p w14:paraId="612CD595" w14:textId="77777777" w:rsidR="00180F9D" w:rsidRPr="00180F9D" w:rsidRDefault="00180F9D" w:rsidP="00180F9D">
            <w:pPr>
              <w:spacing w:line="240" w:lineRule="atLeast"/>
              <w:jc w:val="left"/>
              <w:rPr>
                <w:rFonts w:ascii="HG丸ｺﾞｼｯｸM-PRO" w:eastAsia="HG丸ｺﾞｼｯｸM-PRO" w:hAnsi="HG丸ｺﾞｼｯｸM-PRO"/>
                <w:sz w:val="16"/>
                <w:szCs w:val="16"/>
              </w:rPr>
            </w:pPr>
            <w:r w:rsidRPr="00180F9D">
              <w:rPr>
                <w:rFonts w:ascii="HG丸ｺﾞｼｯｸM-PRO" w:eastAsia="HG丸ｺﾞｼｯｸM-PRO" w:hAnsi="HG丸ｺﾞｼｯｸM-PRO" w:hint="eastAsia"/>
                <w:sz w:val="16"/>
                <w:szCs w:val="16"/>
              </w:rPr>
              <w:t xml:space="preserve">○受診者のうち、高齢者などがんにかかりやすい性・年齢の割合が低かった可能性がある。　　　　　　　　　　　　　　　　　</w:t>
            </w:r>
          </w:p>
        </w:tc>
      </w:tr>
    </w:tbl>
    <w:p w14:paraId="62799FA9" w14:textId="77777777" w:rsidR="00D2004D" w:rsidRDefault="00D2004D" w:rsidP="00D27923">
      <w:pPr>
        <w:spacing w:line="320" w:lineRule="exact"/>
        <w:rPr>
          <w:sz w:val="18"/>
          <w:szCs w:val="18"/>
        </w:rPr>
      </w:pPr>
    </w:p>
    <w:p w14:paraId="63995064" w14:textId="77777777" w:rsidR="00D2004D" w:rsidRDefault="00D2004D" w:rsidP="00D27923">
      <w:pPr>
        <w:spacing w:line="320" w:lineRule="exact"/>
        <w:rPr>
          <w:sz w:val="18"/>
          <w:szCs w:val="18"/>
        </w:rPr>
      </w:pPr>
    </w:p>
    <w:p w14:paraId="60A8022C" w14:textId="6EEF0B81" w:rsidR="00D27923" w:rsidRDefault="00D27923" w:rsidP="00D27923">
      <w:pPr>
        <w:spacing w:line="320" w:lineRule="exact"/>
        <w:rPr>
          <w:sz w:val="18"/>
          <w:szCs w:val="18"/>
        </w:rPr>
      </w:pPr>
      <w:r>
        <w:rPr>
          <w:rFonts w:hint="eastAsia"/>
          <w:sz w:val="18"/>
          <w:szCs w:val="18"/>
        </w:rPr>
        <w:t>（</w:t>
      </w:r>
      <w:r w:rsidRPr="00221A6A">
        <w:rPr>
          <w:rFonts w:hint="eastAsia"/>
          <w:sz w:val="18"/>
          <w:szCs w:val="18"/>
        </w:rPr>
        <w:t>注）がん検診は、症状のない方のための検査です。明らかな症状のある方には、それぞれの体の状態に応じた適切な</w:t>
      </w:r>
    </w:p>
    <w:p w14:paraId="2868315F" w14:textId="77777777" w:rsidR="00D27923" w:rsidRPr="009C10E8" w:rsidRDefault="00D27923" w:rsidP="00D27923">
      <w:pPr>
        <w:spacing w:line="320" w:lineRule="exact"/>
        <w:ind w:firstLineChars="300" w:firstLine="540"/>
        <w:rPr>
          <w:sz w:val="18"/>
          <w:szCs w:val="18"/>
        </w:rPr>
      </w:pPr>
      <w:r w:rsidRPr="00221A6A">
        <w:rPr>
          <w:rFonts w:hint="eastAsia"/>
          <w:sz w:val="18"/>
          <w:szCs w:val="18"/>
        </w:rPr>
        <w:t>検査や治療が必要になります。症状のある場合は、必ず医療機関を受診してください。</w:t>
      </w:r>
    </w:p>
    <w:p w14:paraId="06017F5E" w14:textId="027FE1D7" w:rsidR="005A37B7" w:rsidRPr="00D27923" w:rsidRDefault="005A37B7" w:rsidP="00180F9D">
      <w:pPr>
        <w:rPr>
          <w:b/>
          <w:sz w:val="18"/>
          <w:szCs w:val="18"/>
          <w:u w:val="single"/>
        </w:rPr>
      </w:pPr>
    </w:p>
    <w:p w14:paraId="7F079A6B" w14:textId="61BBE63E" w:rsidR="005A37B7" w:rsidRDefault="005A37B7" w:rsidP="00180F9D">
      <w:pPr>
        <w:rPr>
          <w:b/>
          <w:sz w:val="18"/>
          <w:szCs w:val="18"/>
          <w:u w:val="single"/>
        </w:rPr>
      </w:pPr>
    </w:p>
    <w:p w14:paraId="007CD489" w14:textId="4FF2307C" w:rsidR="005A37B7" w:rsidRDefault="005A37B7" w:rsidP="00180F9D">
      <w:pPr>
        <w:rPr>
          <w:b/>
          <w:sz w:val="18"/>
          <w:szCs w:val="18"/>
          <w:u w:val="single"/>
        </w:rPr>
      </w:pPr>
    </w:p>
    <w:p w14:paraId="193ADF0A" w14:textId="028B4759" w:rsidR="005A37B7" w:rsidRDefault="005A37B7" w:rsidP="00180F9D">
      <w:pPr>
        <w:rPr>
          <w:b/>
          <w:sz w:val="18"/>
          <w:szCs w:val="18"/>
          <w:u w:val="single"/>
        </w:rPr>
      </w:pPr>
    </w:p>
    <w:p w14:paraId="343CC41A" w14:textId="1A3BD7B7" w:rsidR="005A37B7" w:rsidRDefault="005A37B7" w:rsidP="00180F9D">
      <w:pPr>
        <w:rPr>
          <w:b/>
          <w:sz w:val="18"/>
          <w:szCs w:val="18"/>
          <w:u w:val="single"/>
        </w:rPr>
      </w:pPr>
    </w:p>
    <w:p w14:paraId="04CF4FCA" w14:textId="2034B6BA" w:rsidR="005A37B7" w:rsidRDefault="005A37B7" w:rsidP="00180F9D">
      <w:pPr>
        <w:rPr>
          <w:b/>
          <w:sz w:val="18"/>
          <w:szCs w:val="18"/>
          <w:u w:val="single"/>
        </w:rPr>
      </w:pPr>
    </w:p>
    <w:p w14:paraId="2152B5D8" w14:textId="7D16E2C0" w:rsidR="005A37B7" w:rsidRDefault="005A37B7" w:rsidP="00180F9D">
      <w:pPr>
        <w:rPr>
          <w:b/>
          <w:sz w:val="18"/>
          <w:szCs w:val="18"/>
          <w:u w:val="single"/>
        </w:rPr>
      </w:pPr>
    </w:p>
    <w:p w14:paraId="7205E44C" w14:textId="67141DE2" w:rsidR="005A37B7" w:rsidRDefault="005A37B7" w:rsidP="00180F9D">
      <w:pPr>
        <w:rPr>
          <w:b/>
          <w:sz w:val="18"/>
          <w:szCs w:val="18"/>
          <w:u w:val="single"/>
        </w:rPr>
      </w:pPr>
    </w:p>
    <w:p w14:paraId="09CB650F" w14:textId="5AF0B0E3" w:rsidR="005A37B7" w:rsidRDefault="005A37B7" w:rsidP="00180F9D">
      <w:pPr>
        <w:rPr>
          <w:b/>
          <w:sz w:val="18"/>
          <w:szCs w:val="18"/>
          <w:u w:val="single"/>
        </w:rPr>
      </w:pPr>
    </w:p>
    <w:p w14:paraId="5EBED665" w14:textId="5A33CA0A" w:rsidR="005A37B7" w:rsidRDefault="005A37B7" w:rsidP="00180F9D">
      <w:pPr>
        <w:rPr>
          <w:b/>
          <w:sz w:val="18"/>
          <w:szCs w:val="18"/>
          <w:u w:val="single"/>
        </w:rPr>
      </w:pPr>
    </w:p>
    <w:p w14:paraId="0FDACA50" w14:textId="57900905" w:rsidR="005A37B7" w:rsidRDefault="005A37B7" w:rsidP="00180F9D">
      <w:pPr>
        <w:rPr>
          <w:b/>
          <w:sz w:val="18"/>
          <w:szCs w:val="18"/>
          <w:u w:val="single"/>
        </w:rPr>
      </w:pPr>
    </w:p>
    <w:p w14:paraId="4BB6FA3B" w14:textId="45AA751C" w:rsidR="005A37B7" w:rsidRDefault="005A37B7" w:rsidP="00180F9D">
      <w:pPr>
        <w:rPr>
          <w:b/>
          <w:sz w:val="18"/>
          <w:szCs w:val="18"/>
          <w:u w:val="single"/>
        </w:rPr>
      </w:pPr>
    </w:p>
    <w:p w14:paraId="375B9E8C" w14:textId="50DE1F80" w:rsidR="005A37B7" w:rsidRDefault="005A37B7" w:rsidP="00180F9D">
      <w:pPr>
        <w:rPr>
          <w:b/>
          <w:sz w:val="18"/>
          <w:szCs w:val="18"/>
          <w:u w:val="single"/>
        </w:rPr>
      </w:pPr>
    </w:p>
    <w:p w14:paraId="746B45A4" w14:textId="525BA41B" w:rsidR="005A37B7" w:rsidRDefault="005A37B7" w:rsidP="00180F9D">
      <w:pPr>
        <w:rPr>
          <w:b/>
          <w:sz w:val="18"/>
          <w:szCs w:val="18"/>
          <w:u w:val="single"/>
        </w:rPr>
      </w:pPr>
    </w:p>
    <w:p w14:paraId="20B37FA5" w14:textId="21349CA2" w:rsidR="005A37B7" w:rsidRDefault="005A37B7" w:rsidP="00180F9D">
      <w:pPr>
        <w:rPr>
          <w:b/>
          <w:sz w:val="18"/>
          <w:szCs w:val="18"/>
          <w:u w:val="single"/>
        </w:rPr>
      </w:pPr>
    </w:p>
    <w:p w14:paraId="7A69B576" w14:textId="1B487A2D" w:rsidR="005A37B7" w:rsidRDefault="005A37B7" w:rsidP="00180F9D">
      <w:pPr>
        <w:rPr>
          <w:b/>
          <w:sz w:val="18"/>
          <w:szCs w:val="18"/>
          <w:u w:val="single"/>
        </w:rPr>
      </w:pPr>
    </w:p>
    <w:p w14:paraId="4683C6AC" w14:textId="77777777" w:rsidR="005F2FFA" w:rsidRDefault="005F2FFA" w:rsidP="00180F9D">
      <w:pPr>
        <w:rPr>
          <w:b/>
          <w:sz w:val="18"/>
          <w:szCs w:val="18"/>
          <w:u w:val="single"/>
        </w:rPr>
      </w:pPr>
    </w:p>
    <w:p w14:paraId="00317111" w14:textId="77777777" w:rsidR="005A37B7" w:rsidRDefault="005A37B7" w:rsidP="005A37B7">
      <w:pPr>
        <w:rPr>
          <w:b/>
          <w:sz w:val="36"/>
          <w:szCs w:val="36"/>
          <w:u w:val="single"/>
        </w:rPr>
      </w:pPr>
      <w:r>
        <w:rPr>
          <w:rFonts w:hint="eastAsia"/>
          <w:b/>
          <w:sz w:val="36"/>
          <w:szCs w:val="36"/>
          <w:u w:val="single"/>
        </w:rPr>
        <w:lastRenderedPageBreak/>
        <w:t>陽性反応適中度</w:t>
      </w:r>
    </w:p>
    <w:p w14:paraId="03CB4ADB" w14:textId="78C1247A" w:rsidR="005A37B7" w:rsidRDefault="004659D9" w:rsidP="00D2004D">
      <w:pPr>
        <w:jc w:val="center"/>
        <w:rPr>
          <w:b/>
          <w:sz w:val="36"/>
          <w:szCs w:val="36"/>
          <w:u w:val="single"/>
        </w:rPr>
      </w:pPr>
      <w:r>
        <w:rPr>
          <w:noProof/>
        </w:rPr>
        <w:drawing>
          <wp:inline distT="0" distB="0" distL="0" distR="0" wp14:anchorId="24A155EE" wp14:editId="5C6A5DCE">
            <wp:extent cx="6406348" cy="2308931"/>
            <wp:effectExtent l="0" t="0" r="13970" b="15240"/>
            <wp:docPr id="1" name="グラフ 1">
              <a:extLst xmlns:a="http://schemas.openxmlformats.org/drawingml/2006/main">
                <a:ext uri="{FF2B5EF4-FFF2-40B4-BE49-F238E27FC236}">
                  <a16:creationId xmlns:a16="http://schemas.microsoft.com/office/drawing/2014/main" id="{7039ED61-2AA8-457E-BE9B-353FC9F866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bl>
      <w:tblPr>
        <w:tblpPr w:leftFromText="142" w:rightFromText="142" w:vertAnchor="page" w:horzAnchor="margin" w:tblpXSpec="center" w:tblpY="5809"/>
        <w:tblW w:w="9747"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20" w:firstRow="1" w:lastRow="0" w:firstColumn="0" w:lastColumn="0" w:noHBand="0" w:noVBand="1"/>
      </w:tblPr>
      <w:tblGrid>
        <w:gridCol w:w="3510"/>
        <w:gridCol w:w="3261"/>
        <w:gridCol w:w="2976"/>
      </w:tblGrid>
      <w:tr w:rsidR="005F2FFA" w:rsidRPr="002F7A7E" w14:paraId="232A2726" w14:textId="77777777" w:rsidTr="00D2004D">
        <w:trPr>
          <w:trHeight w:val="401"/>
        </w:trPr>
        <w:tc>
          <w:tcPr>
            <w:tcW w:w="3510" w:type="dxa"/>
            <w:tcBorders>
              <w:top w:val="single" w:sz="8" w:space="0" w:color="4BACC6"/>
              <w:left w:val="single" w:sz="8" w:space="0" w:color="4BACC6"/>
              <w:bottom w:val="single" w:sz="18" w:space="0" w:color="4BACC6"/>
              <w:right w:val="single" w:sz="8" w:space="0" w:color="4BACC6"/>
            </w:tcBorders>
            <w:shd w:val="clear" w:color="auto" w:fill="auto"/>
          </w:tcPr>
          <w:p w14:paraId="5DFCAFEB" w14:textId="77777777" w:rsidR="005F2FFA" w:rsidRPr="002F7A7E" w:rsidRDefault="005F2FFA" w:rsidP="005F2FFA">
            <w:pPr>
              <w:spacing w:line="240" w:lineRule="atLeast"/>
              <w:ind w:firstLineChars="100" w:firstLine="161"/>
              <w:jc w:val="center"/>
              <w:rPr>
                <w:rFonts w:ascii="HG丸ｺﾞｼｯｸM-PRO" w:eastAsia="HG丸ｺﾞｼｯｸM-PRO" w:hAnsi="HG丸ｺﾞｼｯｸM-PRO"/>
                <w:b/>
                <w:bCs/>
                <w:sz w:val="16"/>
                <w:szCs w:val="16"/>
              </w:rPr>
            </w:pPr>
            <w:r w:rsidRPr="002F7A7E">
              <w:rPr>
                <w:rFonts w:ascii="HG丸ｺﾞｼｯｸM-PRO" w:eastAsia="HG丸ｺﾞｼｯｸM-PRO" w:hAnsi="HG丸ｺﾞｼｯｸM-PRO" w:hint="eastAsia"/>
                <w:b/>
                <w:bCs/>
                <w:sz w:val="16"/>
                <w:szCs w:val="16"/>
              </w:rPr>
              <w:t>陽性反応適中度とは</w:t>
            </w:r>
          </w:p>
        </w:tc>
        <w:tc>
          <w:tcPr>
            <w:tcW w:w="3261" w:type="dxa"/>
            <w:tcBorders>
              <w:top w:val="single" w:sz="8" w:space="0" w:color="4BACC6"/>
              <w:left w:val="single" w:sz="8" w:space="0" w:color="4BACC6"/>
              <w:bottom w:val="single" w:sz="18" w:space="0" w:color="4BACC6"/>
              <w:right w:val="single" w:sz="8" w:space="0" w:color="4BACC6"/>
            </w:tcBorders>
            <w:shd w:val="clear" w:color="auto" w:fill="auto"/>
          </w:tcPr>
          <w:p w14:paraId="41F5BFB6" w14:textId="77777777" w:rsidR="005F2FFA" w:rsidRPr="002F7A7E" w:rsidRDefault="005F2FFA" w:rsidP="005F2FFA">
            <w:pPr>
              <w:spacing w:line="240" w:lineRule="atLeast"/>
              <w:ind w:firstLineChars="100" w:firstLine="161"/>
              <w:jc w:val="center"/>
              <w:rPr>
                <w:rFonts w:ascii="HG丸ｺﾞｼｯｸM-PRO" w:eastAsia="HG丸ｺﾞｼｯｸM-PRO" w:hAnsi="HG丸ｺﾞｼｯｸM-PRO"/>
                <w:b/>
                <w:bCs/>
                <w:sz w:val="16"/>
                <w:szCs w:val="16"/>
              </w:rPr>
            </w:pPr>
            <w:r w:rsidRPr="002F7A7E">
              <w:rPr>
                <w:rFonts w:ascii="HG丸ｺﾞｼｯｸM-PRO" w:eastAsia="HG丸ｺﾞｼｯｸM-PRO" w:hAnsi="HG丸ｺﾞｼｯｸM-PRO" w:hint="eastAsia"/>
                <w:b/>
                <w:bCs/>
                <w:sz w:val="16"/>
                <w:szCs w:val="16"/>
              </w:rPr>
              <w:t>高い場合</w:t>
            </w:r>
          </w:p>
        </w:tc>
        <w:tc>
          <w:tcPr>
            <w:tcW w:w="2976" w:type="dxa"/>
            <w:tcBorders>
              <w:top w:val="single" w:sz="8" w:space="0" w:color="4BACC6"/>
              <w:left w:val="single" w:sz="8" w:space="0" w:color="4BACC6"/>
              <w:bottom w:val="single" w:sz="18" w:space="0" w:color="4BACC6"/>
              <w:right w:val="single" w:sz="8" w:space="0" w:color="4BACC6"/>
            </w:tcBorders>
            <w:shd w:val="clear" w:color="auto" w:fill="auto"/>
          </w:tcPr>
          <w:p w14:paraId="0BC86DD4" w14:textId="77777777" w:rsidR="005F2FFA" w:rsidRPr="002F7A7E" w:rsidRDefault="005F2FFA" w:rsidP="005F2FFA">
            <w:pPr>
              <w:spacing w:line="240" w:lineRule="atLeast"/>
              <w:ind w:firstLineChars="100" w:firstLine="161"/>
              <w:jc w:val="center"/>
              <w:rPr>
                <w:rFonts w:ascii="HG丸ｺﾞｼｯｸM-PRO" w:eastAsia="HG丸ｺﾞｼｯｸM-PRO" w:hAnsi="HG丸ｺﾞｼｯｸM-PRO"/>
                <w:b/>
                <w:bCs/>
                <w:sz w:val="16"/>
                <w:szCs w:val="16"/>
              </w:rPr>
            </w:pPr>
            <w:r w:rsidRPr="002F7A7E">
              <w:rPr>
                <w:rFonts w:ascii="HG丸ｺﾞｼｯｸM-PRO" w:eastAsia="HG丸ｺﾞｼｯｸM-PRO" w:hAnsi="HG丸ｺﾞｼｯｸM-PRO" w:hint="eastAsia"/>
                <w:b/>
                <w:bCs/>
                <w:sz w:val="16"/>
                <w:szCs w:val="16"/>
              </w:rPr>
              <w:t>低い場合</w:t>
            </w:r>
          </w:p>
        </w:tc>
      </w:tr>
      <w:tr w:rsidR="005F2FFA" w:rsidRPr="002F7A7E" w14:paraId="37DA48A1" w14:textId="77777777" w:rsidTr="00D2004D">
        <w:trPr>
          <w:trHeight w:val="1488"/>
        </w:trPr>
        <w:tc>
          <w:tcPr>
            <w:tcW w:w="3510" w:type="dxa"/>
            <w:tcBorders>
              <w:top w:val="single" w:sz="8" w:space="0" w:color="4BACC6"/>
              <w:left w:val="single" w:sz="8" w:space="0" w:color="4BACC6"/>
              <w:bottom w:val="single" w:sz="8" w:space="0" w:color="4BACC6"/>
              <w:right w:val="single" w:sz="8" w:space="0" w:color="4BACC6"/>
            </w:tcBorders>
            <w:shd w:val="clear" w:color="auto" w:fill="D2EAF1"/>
            <w:hideMark/>
          </w:tcPr>
          <w:p w14:paraId="232C9B12" w14:textId="77777777" w:rsidR="005F2FFA" w:rsidRPr="002F7A7E" w:rsidRDefault="005F2FFA" w:rsidP="005F2FFA">
            <w:pPr>
              <w:spacing w:line="240" w:lineRule="atLeast"/>
              <w:jc w:val="left"/>
              <w:rPr>
                <w:rFonts w:ascii="HG丸ｺﾞｼｯｸM-PRO" w:eastAsia="HG丸ｺﾞｼｯｸM-PRO" w:hAnsi="HG丸ｺﾞｼｯｸM-PRO"/>
                <w:sz w:val="16"/>
                <w:szCs w:val="16"/>
              </w:rPr>
            </w:pPr>
            <w:r w:rsidRPr="002F7A7E">
              <w:rPr>
                <w:rFonts w:ascii="HG丸ｺﾞｼｯｸM-PRO" w:eastAsia="HG丸ｺﾞｼｯｸM-PRO" w:hAnsi="HG丸ｺﾞｼｯｸM-PRO" w:hint="eastAsia"/>
                <w:sz w:val="16"/>
                <w:szCs w:val="16"/>
              </w:rPr>
              <w:t>精密検査が必要と判定された人のうち、精密検査で実際にがんが見つかった人の割合。</w:t>
            </w:r>
          </w:p>
          <w:p w14:paraId="0145D936" w14:textId="77777777" w:rsidR="005F2FFA" w:rsidRPr="002F7A7E" w:rsidRDefault="005F2FFA" w:rsidP="005F2FFA">
            <w:pPr>
              <w:spacing w:line="240" w:lineRule="atLeast"/>
              <w:jc w:val="left"/>
              <w:rPr>
                <w:rFonts w:ascii="HG丸ｺﾞｼｯｸM-PRO" w:eastAsia="HG丸ｺﾞｼｯｸM-PRO" w:hAnsi="HG丸ｺﾞｼｯｸM-PRO"/>
                <w:sz w:val="16"/>
                <w:szCs w:val="16"/>
              </w:rPr>
            </w:pPr>
            <w:r w:rsidRPr="002F7A7E">
              <w:rPr>
                <w:rFonts w:ascii="HG丸ｺﾞｼｯｸM-PRO" w:eastAsia="HG丸ｺﾞｼｯｸM-PRO" w:hAnsi="HG丸ｺﾞｼｯｸM-PRO" w:hint="eastAsia"/>
                <w:sz w:val="16"/>
                <w:szCs w:val="16"/>
              </w:rPr>
              <w:t>検診の効率を表す指標。</w:t>
            </w:r>
          </w:p>
        </w:tc>
        <w:tc>
          <w:tcPr>
            <w:tcW w:w="3261" w:type="dxa"/>
            <w:tcBorders>
              <w:top w:val="single" w:sz="8" w:space="0" w:color="4BACC6"/>
              <w:left w:val="single" w:sz="8" w:space="0" w:color="4BACC6"/>
              <w:bottom w:val="single" w:sz="8" w:space="0" w:color="4BACC6"/>
              <w:right w:val="single" w:sz="8" w:space="0" w:color="4BACC6"/>
            </w:tcBorders>
            <w:shd w:val="clear" w:color="auto" w:fill="D2EAF1"/>
            <w:hideMark/>
          </w:tcPr>
          <w:p w14:paraId="6FAA8DA8" w14:textId="77777777" w:rsidR="005F2FFA" w:rsidRDefault="005F2FFA" w:rsidP="005F2FFA">
            <w:pPr>
              <w:spacing w:line="240" w:lineRule="atLeast"/>
              <w:jc w:val="left"/>
              <w:rPr>
                <w:rFonts w:ascii="HG丸ｺﾞｼｯｸM-PRO" w:eastAsia="HG丸ｺﾞｼｯｸM-PRO" w:hAnsi="HG丸ｺﾞｼｯｸM-PRO"/>
                <w:sz w:val="16"/>
                <w:szCs w:val="16"/>
              </w:rPr>
            </w:pPr>
            <w:r w:rsidRPr="002F7A7E">
              <w:rPr>
                <w:rFonts w:ascii="HG丸ｺﾞｼｯｸM-PRO" w:eastAsia="HG丸ｺﾞｼｯｸM-PRO" w:hAnsi="HG丸ｺﾞｼｯｸM-PRO" w:hint="eastAsia"/>
                <w:sz w:val="16"/>
                <w:szCs w:val="16"/>
              </w:rPr>
              <w:t xml:space="preserve">○受診者のうち、何か症状があったにも関わらず受診した人（注）や高齢者などがんにかかりやすい性・年齢の割合が高かった可能性がある。　　　　　　　　　　</w:t>
            </w:r>
          </w:p>
          <w:p w14:paraId="7D096A34" w14:textId="77777777" w:rsidR="005F2FFA" w:rsidRPr="002F7A7E" w:rsidRDefault="005F2FFA" w:rsidP="005F2FFA">
            <w:pPr>
              <w:spacing w:line="240" w:lineRule="atLeast"/>
              <w:jc w:val="left"/>
              <w:rPr>
                <w:rFonts w:ascii="HG丸ｺﾞｼｯｸM-PRO" w:eastAsia="HG丸ｺﾞｼｯｸM-PRO" w:hAnsi="HG丸ｺﾞｼｯｸM-PRO"/>
                <w:sz w:val="16"/>
                <w:szCs w:val="16"/>
              </w:rPr>
            </w:pPr>
            <w:r w:rsidRPr="002F7A7E">
              <w:rPr>
                <w:rFonts w:ascii="HG丸ｺﾞｼｯｸM-PRO" w:eastAsia="HG丸ｺﾞｼｯｸM-PRO" w:hAnsi="HG丸ｺﾞｼｯｸM-PRO" w:hint="eastAsia"/>
                <w:sz w:val="16"/>
                <w:szCs w:val="16"/>
              </w:rPr>
              <w:t>○要精検率とがん発見率が低く、かつ陽性反応適中度が高すぎる場合、検診機関が進行がんは発見できていても、早期がんを適切に発見できていない可能性がある。</w:t>
            </w:r>
          </w:p>
        </w:tc>
        <w:tc>
          <w:tcPr>
            <w:tcW w:w="2976" w:type="dxa"/>
            <w:tcBorders>
              <w:top w:val="single" w:sz="8" w:space="0" w:color="4BACC6"/>
              <w:left w:val="single" w:sz="8" w:space="0" w:color="4BACC6"/>
              <w:bottom w:val="single" w:sz="8" w:space="0" w:color="4BACC6"/>
              <w:right w:val="single" w:sz="8" w:space="0" w:color="4BACC6"/>
            </w:tcBorders>
            <w:shd w:val="clear" w:color="auto" w:fill="D2EAF1"/>
            <w:hideMark/>
          </w:tcPr>
          <w:p w14:paraId="6D3C4227" w14:textId="77777777" w:rsidR="005F2FFA" w:rsidRPr="002F7A7E" w:rsidRDefault="005F2FFA" w:rsidP="005F2FFA">
            <w:pPr>
              <w:spacing w:line="240" w:lineRule="atLeast"/>
              <w:jc w:val="left"/>
              <w:rPr>
                <w:rFonts w:ascii="HG丸ｺﾞｼｯｸM-PRO" w:eastAsia="HG丸ｺﾞｼｯｸM-PRO" w:hAnsi="HG丸ｺﾞｼｯｸM-PRO"/>
                <w:sz w:val="16"/>
                <w:szCs w:val="16"/>
              </w:rPr>
            </w:pPr>
            <w:r w:rsidRPr="002F7A7E">
              <w:rPr>
                <w:rFonts w:ascii="HG丸ｺﾞｼｯｸM-PRO" w:eastAsia="HG丸ｺﾞｼｯｸM-PRO" w:hAnsi="HG丸ｺﾞｼｯｸM-PRO" w:hint="eastAsia"/>
                <w:sz w:val="16"/>
                <w:szCs w:val="16"/>
              </w:rPr>
              <w:t xml:space="preserve">○精検受診率が低ければ低くなる。　　　　　　　　</w:t>
            </w:r>
          </w:p>
          <w:p w14:paraId="3BC2B659" w14:textId="77777777" w:rsidR="005F2FFA" w:rsidRPr="002F7A7E" w:rsidRDefault="005F2FFA" w:rsidP="005F2FFA">
            <w:pPr>
              <w:spacing w:line="240" w:lineRule="atLeast"/>
              <w:jc w:val="left"/>
              <w:rPr>
                <w:rFonts w:ascii="HG丸ｺﾞｼｯｸM-PRO" w:eastAsia="HG丸ｺﾞｼｯｸM-PRO" w:hAnsi="HG丸ｺﾞｼｯｸM-PRO"/>
                <w:sz w:val="16"/>
                <w:szCs w:val="16"/>
              </w:rPr>
            </w:pPr>
            <w:r w:rsidRPr="002F7A7E">
              <w:rPr>
                <w:rFonts w:ascii="HG丸ｺﾞｼｯｸM-PRO" w:eastAsia="HG丸ｺﾞｼｯｸM-PRO" w:hAnsi="HG丸ｺﾞｼｯｸM-PRO" w:hint="eastAsia"/>
                <w:sz w:val="16"/>
                <w:szCs w:val="16"/>
              </w:rPr>
              <w:t>○受診者のうち、高齢者などがんにかかりやすい性・年齢の割合が低かった可能性がある。　　　　　　　　　　　　　　　　　　○がんでないのに、がんかもしれないと判定される人が多い可能性がある。</w:t>
            </w:r>
          </w:p>
        </w:tc>
      </w:tr>
    </w:tbl>
    <w:p w14:paraId="050A27FF" w14:textId="553BC429" w:rsidR="005A37B7" w:rsidRDefault="005A37B7" w:rsidP="005A37B7">
      <w:pPr>
        <w:rPr>
          <w:sz w:val="18"/>
          <w:szCs w:val="18"/>
        </w:rPr>
      </w:pPr>
    </w:p>
    <w:p w14:paraId="47BF09B2" w14:textId="06E3D8FE" w:rsidR="005F2FFA" w:rsidRDefault="005F2FFA" w:rsidP="005A37B7">
      <w:pPr>
        <w:rPr>
          <w:sz w:val="18"/>
          <w:szCs w:val="18"/>
        </w:rPr>
      </w:pPr>
    </w:p>
    <w:p w14:paraId="403AC5C1" w14:textId="77777777" w:rsidR="00D27923" w:rsidRDefault="00D27923" w:rsidP="00D27923">
      <w:pPr>
        <w:spacing w:line="320" w:lineRule="exact"/>
        <w:rPr>
          <w:sz w:val="18"/>
          <w:szCs w:val="18"/>
        </w:rPr>
      </w:pPr>
      <w:r>
        <w:rPr>
          <w:rFonts w:hint="eastAsia"/>
          <w:sz w:val="18"/>
          <w:szCs w:val="18"/>
        </w:rPr>
        <w:t>（</w:t>
      </w:r>
      <w:r w:rsidRPr="00221A6A">
        <w:rPr>
          <w:rFonts w:hint="eastAsia"/>
          <w:sz w:val="18"/>
          <w:szCs w:val="18"/>
        </w:rPr>
        <w:t>注）がん検診は、症状のない方のための検査です。明らかな症状のある方には、それぞれの体の状態に応じた適切な</w:t>
      </w:r>
    </w:p>
    <w:p w14:paraId="29C15874" w14:textId="77777777" w:rsidR="00D27923" w:rsidRPr="009C10E8" w:rsidRDefault="00D27923" w:rsidP="00D27923">
      <w:pPr>
        <w:spacing w:line="320" w:lineRule="exact"/>
        <w:ind w:firstLineChars="300" w:firstLine="540"/>
        <w:rPr>
          <w:sz w:val="18"/>
          <w:szCs w:val="18"/>
        </w:rPr>
      </w:pPr>
      <w:r w:rsidRPr="00221A6A">
        <w:rPr>
          <w:rFonts w:hint="eastAsia"/>
          <w:sz w:val="18"/>
          <w:szCs w:val="18"/>
        </w:rPr>
        <w:t>検査や治療が必要になります。症状のある場合は、必ず医療機関を受診してください。</w:t>
      </w:r>
    </w:p>
    <w:p w14:paraId="6E084E41" w14:textId="4C21093A" w:rsidR="005F2FFA" w:rsidRPr="00D27923" w:rsidRDefault="005F2FFA" w:rsidP="005A37B7">
      <w:pPr>
        <w:rPr>
          <w:sz w:val="18"/>
          <w:szCs w:val="18"/>
        </w:rPr>
      </w:pPr>
    </w:p>
    <w:p w14:paraId="2A6BCD83" w14:textId="04B7F375" w:rsidR="005F2FFA" w:rsidRDefault="005F2FFA" w:rsidP="005A37B7">
      <w:pPr>
        <w:rPr>
          <w:sz w:val="18"/>
          <w:szCs w:val="18"/>
        </w:rPr>
      </w:pPr>
    </w:p>
    <w:p w14:paraId="20039351" w14:textId="44374CAA" w:rsidR="005F2FFA" w:rsidRDefault="005F2FFA" w:rsidP="005A37B7">
      <w:pPr>
        <w:rPr>
          <w:sz w:val="18"/>
          <w:szCs w:val="18"/>
        </w:rPr>
      </w:pPr>
    </w:p>
    <w:p w14:paraId="1884DF1E" w14:textId="3C702EB5" w:rsidR="005F2FFA" w:rsidRDefault="005F2FFA" w:rsidP="005A37B7">
      <w:pPr>
        <w:rPr>
          <w:sz w:val="18"/>
          <w:szCs w:val="18"/>
        </w:rPr>
      </w:pPr>
    </w:p>
    <w:p w14:paraId="36BCA10F" w14:textId="7D7B84FA" w:rsidR="005F2FFA" w:rsidRDefault="005F2FFA" w:rsidP="005A37B7">
      <w:pPr>
        <w:rPr>
          <w:sz w:val="18"/>
          <w:szCs w:val="18"/>
        </w:rPr>
      </w:pPr>
    </w:p>
    <w:p w14:paraId="06A9646F" w14:textId="2B7EA24F" w:rsidR="005F2FFA" w:rsidRDefault="005F2FFA" w:rsidP="005A37B7">
      <w:pPr>
        <w:rPr>
          <w:sz w:val="18"/>
          <w:szCs w:val="18"/>
        </w:rPr>
      </w:pPr>
    </w:p>
    <w:p w14:paraId="34257C14" w14:textId="1D15DAC4" w:rsidR="005F2FFA" w:rsidRDefault="005F2FFA" w:rsidP="005A37B7">
      <w:pPr>
        <w:rPr>
          <w:sz w:val="18"/>
          <w:szCs w:val="18"/>
        </w:rPr>
      </w:pPr>
    </w:p>
    <w:p w14:paraId="6A766053" w14:textId="5A5A4929" w:rsidR="005F2FFA" w:rsidRDefault="005F2FFA" w:rsidP="005A37B7">
      <w:pPr>
        <w:rPr>
          <w:sz w:val="18"/>
          <w:szCs w:val="18"/>
        </w:rPr>
      </w:pPr>
    </w:p>
    <w:p w14:paraId="54B59125" w14:textId="548E1DD2" w:rsidR="005F2FFA" w:rsidRDefault="005F2FFA" w:rsidP="005A37B7">
      <w:pPr>
        <w:rPr>
          <w:sz w:val="18"/>
          <w:szCs w:val="18"/>
        </w:rPr>
      </w:pPr>
    </w:p>
    <w:p w14:paraId="6B1AD1E9" w14:textId="7EF3C290" w:rsidR="005F2FFA" w:rsidRDefault="005F2FFA" w:rsidP="005A37B7">
      <w:pPr>
        <w:rPr>
          <w:sz w:val="18"/>
          <w:szCs w:val="18"/>
        </w:rPr>
      </w:pPr>
    </w:p>
    <w:p w14:paraId="2B0D4B04" w14:textId="3803A34F" w:rsidR="005F2FFA" w:rsidRDefault="005F2FFA" w:rsidP="005A37B7">
      <w:pPr>
        <w:rPr>
          <w:sz w:val="18"/>
          <w:szCs w:val="18"/>
        </w:rPr>
      </w:pPr>
    </w:p>
    <w:p w14:paraId="7E9CD2C8" w14:textId="77777777" w:rsidR="005F2FFA" w:rsidRDefault="005F2FFA" w:rsidP="005A37B7">
      <w:pPr>
        <w:rPr>
          <w:sz w:val="18"/>
          <w:szCs w:val="18"/>
        </w:rPr>
      </w:pPr>
    </w:p>
    <w:p w14:paraId="0D1F6F9A" w14:textId="77777777" w:rsidR="00180F9D" w:rsidRPr="009540A8" w:rsidRDefault="00180F9D" w:rsidP="005810C5">
      <w:pPr>
        <w:spacing w:line="320" w:lineRule="exact"/>
        <w:rPr>
          <w:b/>
          <w:sz w:val="18"/>
          <w:szCs w:val="18"/>
        </w:rPr>
      </w:pPr>
      <w:r w:rsidRPr="009540A8">
        <w:rPr>
          <w:rFonts w:hint="eastAsia"/>
          <w:b/>
          <w:sz w:val="18"/>
          <w:szCs w:val="18"/>
        </w:rPr>
        <w:t>※このグラフで掲載している大阪府平均、許容値のデータ基は以下の通りです。</w:t>
      </w:r>
    </w:p>
    <w:p w14:paraId="0A0920B8" w14:textId="45CC4A89" w:rsidR="00180F9D" w:rsidRPr="009540A8" w:rsidRDefault="00180F9D" w:rsidP="005810C5">
      <w:pPr>
        <w:spacing w:line="320" w:lineRule="exact"/>
        <w:rPr>
          <w:b/>
          <w:sz w:val="18"/>
          <w:szCs w:val="18"/>
        </w:rPr>
      </w:pPr>
      <w:r w:rsidRPr="009540A8">
        <w:rPr>
          <w:rFonts w:hint="eastAsia"/>
          <w:b/>
          <w:sz w:val="18"/>
          <w:szCs w:val="18"/>
        </w:rPr>
        <w:t xml:space="preserve">　【大阪府平均】大阪府におけるがん検診（</w:t>
      </w:r>
      <w:r w:rsidR="0001439C">
        <w:rPr>
          <w:rFonts w:hint="eastAsia"/>
          <w:b/>
          <w:sz w:val="18"/>
          <w:szCs w:val="18"/>
        </w:rPr>
        <w:t>令和</w:t>
      </w:r>
      <w:r w:rsidR="004659D9">
        <w:rPr>
          <w:rFonts w:hint="eastAsia"/>
          <w:b/>
          <w:sz w:val="18"/>
          <w:szCs w:val="18"/>
        </w:rPr>
        <w:t>５</w:t>
      </w:r>
      <w:r w:rsidRPr="009540A8">
        <w:rPr>
          <w:rFonts w:hint="eastAsia"/>
          <w:b/>
          <w:sz w:val="18"/>
          <w:szCs w:val="18"/>
        </w:rPr>
        <w:t>年度）</w:t>
      </w:r>
    </w:p>
    <w:p w14:paraId="1B38E80C" w14:textId="20F1C279" w:rsidR="00180F9D" w:rsidRDefault="00180F9D" w:rsidP="005810C5">
      <w:pPr>
        <w:spacing w:line="320" w:lineRule="exact"/>
        <w:rPr>
          <w:b/>
          <w:sz w:val="18"/>
          <w:szCs w:val="18"/>
        </w:rPr>
      </w:pPr>
      <w:r w:rsidRPr="009540A8">
        <w:rPr>
          <w:rFonts w:hint="eastAsia"/>
          <w:b/>
          <w:sz w:val="18"/>
          <w:szCs w:val="18"/>
        </w:rPr>
        <w:t xml:space="preserve">　【</w:t>
      </w:r>
      <w:r w:rsidR="00D61E59">
        <w:rPr>
          <w:rFonts w:hint="eastAsia"/>
          <w:b/>
          <w:sz w:val="18"/>
          <w:szCs w:val="18"/>
        </w:rPr>
        <w:t>基準</w:t>
      </w:r>
      <w:r w:rsidRPr="009540A8">
        <w:rPr>
          <w:rFonts w:hint="eastAsia"/>
          <w:b/>
          <w:sz w:val="18"/>
          <w:szCs w:val="18"/>
        </w:rPr>
        <w:t>値】「</w:t>
      </w:r>
      <w:r w:rsidRPr="005F1368">
        <w:rPr>
          <w:rFonts w:hint="eastAsia"/>
          <w:b/>
          <w:sz w:val="18"/>
          <w:szCs w:val="18"/>
        </w:rPr>
        <w:t>がん検診事業の</w:t>
      </w:r>
      <w:r w:rsidR="005F1368" w:rsidRPr="005F1368">
        <w:rPr>
          <w:rFonts w:hint="eastAsia"/>
          <w:b/>
          <w:sz w:val="18"/>
          <w:szCs w:val="18"/>
        </w:rPr>
        <w:t>あ</w:t>
      </w:r>
      <w:r w:rsidRPr="005F1368">
        <w:rPr>
          <w:rFonts w:hint="eastAsia"/>
          <w:b/>
          <w:sz w:val="18"/>
          <w:szCs w:val="18"/>
        </w:rPr>
        <w:t>り方について（報告書）」</w:t>
      </w:r>
      <w:r w:rsidRPr="009540A8">
        <w:rPr>
          <w:rFonts w:hint="eastAsia"/>
          <w:b/>
          <w:sz w:val="18"/>
          <w:szCs w:val="18"/>
        </w:rPr>
        <w:t>から抜粋</w:t>
      </w:r>
    </w:p>
    <w:p w14:paraId="712AC67C" w14:textId="77777777" w:rsidR="00180F9D" w:rsidRPr="00180F9D" w:rsidRDefault="00180F9D" w:rsidP="005810C5">
      <w:pPr>
        <w:spacing w:line="320" w:lineRule="exact"/>
        <w:rPr>
          <w:szCs w:val="21"/>
        </w:rPr>
      </w:pPr>
    </w:p>
    <w:sectPr w:rsidR="00180F9D" w:rsidRPr="00180F9D" w:rsidSect="0098423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A3D52" w14:textId="77777777" w:rsidR="002F7A7E" w:rsidRDefault="002F7A7E" w:rsidP="002F7A7E">
      <w:r>
        <w:separator/>
      </w:r>
    </w:p>
  </w:endnote>
  <w:endnote w:type="continuationSeparator" w:id="0">
    <w:p w14:paraId="34C04ABE" w14:textId="77777777" w:rsidR="002F7A7E" w:rsidRDefault="002F7A7E" w:rsidP="002F7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mn-c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DBFBA" w14:textId="77777777" w:rsidR="002F7A7E" w:rsidRDefault="002F7A7E" w:rsidP="002F7A7E">
      <w:r>
        <w:separator/>
      </w:r>
    </w:p>
  </w:footnote>
  <w:footnote w:type="continuationSeparator" w:id="0">
    <w:p w14:paraId="11A30567" w14:textId="77777777" w:rsidR="002F7A7E" w:rsidRDefault="002F7A7E" w:rsidP="002F7A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237"/>
    <w:rsid w:val="0001439C"/>
    <w:rsid w:val="00087420"/>
    <w:rsid w:val="000956B1"/>
    <w:rsid w:val="000A10B5"/>
    <w:rsid w:val="000B6982"/>
    <w:rsid w:val="00153CE0"/>
    <w:rsid w:val="00180F9D"/>
    <w:rsid w:val="001E17F8"/>
    <w:rsid w:val="001F5CAB"/>
    <w:rsid w:val="00221A6A"/>
    <w:rsid w:val="002237D7"/>
    <w:rsid w:val="00232B51"/>
    <w:rsid w:val="00251E38"/>
    <w:rsid w:val="00292902"/>
    <w:rsid w:val="002F7A7E"/>
    <w:rsid w:val="002F7F5C"/>
    <w:rsid w:val="00360553"/>
    <w:rsid w:val="0036232B"/>
    <w:rsid w:val="00393595"/>
    <w:rsid w:val="003E5DBB"/>
    <w:rsid w:val="00401B7E"/>
    <w:rsid w:val="004659D9"/>
    <w:rsid w:val="004700ED"/>
    <w:rsid w:val="00493B80"/>
    <w:rsid w:val="00497C21"/>
    <w:rsid w:val="004B722B"/>
    <w:rsid w:val="0057755D"/>
    <w:rsid w:val="005810C5"/>
    <w:rsid w:val="0058715B"/>
    <w:rsid w:val="0059667B"/>
    <w:rsid w:val="005A37B7"/>
    <w:rsid w:val="005F1368"/>
    <w:rsid w:val="005F2FFA"/>
    <w:rsid w:val="00663FDD"/>
    <w:rsid w:val="006939E0"/>
    <w:rsid w:val="006A2C6A"/>
    <w:rsid w:val="007233CA"/>
    <w:rsid w:val="00727B7A"/>
    <w:rsid w:val="00751554"/>
    <w:rsid w:val="00760202"/>
    <w:rsid w:val="0077681D"/>
    <w:rsid w:val="00856A22"/>
    <w:rsid w:val="008727CF"/>
    <w:rsid w:val="008D06C9"/>
    <w:rsid w:val="00905A2E"/>
    <w:rsid w:val="00984237"/>
    <w:rsid w:val="009B14D9"/>
    <w:rsid w:val="009C10E8"/>
    <w:rsid w:val="00A02A61"/>
    <w:rsid w:val="00A727CC"/>
    <w:rsid w:val="00AC5033"/>
    <w:rsid w:val="00BB1557"/>
    <w:rsid w:val="00C2247E"/>
    <w:rsid w:val="00C22D9A"/>
    <w:rsid w:val="00C6271B"/>
    <w:rsid w:val="00D2004D"/>
    <w:rsid w:val="00D27923"/>
    <w:rsid w:val="00D61E59"/>
    <w:rsid w:val="00D722AE"/>
    <w:rsid w:val="00DC1AF8"/>
    <w:rsid w:val="00E31255"/>
    <w:rsid w:val="00E501A5"/>
    <w:rsid w:val="00E72613"/>
    <w:rsid w:val="00E83AC6"/>
    <w:rsid w:val="00EA6B6E"/>
    <w:rsid w:val="00EF7F01"/>
    <w:rsid w:val="00F0661D"/>
    <w:rsid w:val="00F30298"/>
    <w:rsid w:val="00F462E8"/>
    <w:rsid w:val="00F5016A"/>
    <w:rsid w:val="00F6689D"/>
    <w:rsid w:val="00FC1214"/>
    <w:rsid w:val="00FC3782"/>
    <w:rsid w:val="00FC3F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5777">
      <v:textbox inset="5.85pt,.7pt,5.85pt,.7pt"/>
    </o:shapedefaults>
    <o:shapelayout v:ext="edit">
      <o:idmap v:ext="edit" data="1"/>
    </o:shapelayout>
  </w:shapeDefaults>
  <w:decimalSymbol w:val="."/>
  <w:listSeparator w:val=","/>
  <w14:docId w14:val="71A35C2A"/>
  <w15:docId w15:val="{6623E924-12EE-4B3D-AEB4-355B99B1A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37D7"/>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8423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84237"/>
    <w:rPr>
      <w:rFonts w:asciiTheme="majorHAnsi" w:eastAsiaTheme="majorEastAsia" w:hAnsiTheme="majorHAnsi" w:cstheme="majorBidi"/>
      <w:sz w:val="18"/>
      <w:szCs w:val="18"/>
    </w:rPr>
  </w:style>
  <w:style w:type="paragraph" w:styleId="a5">
    <w:name w:val="header"/>
    <w:basedOn w:val="a"/>
    <w:link w:val="a6"/>
    <w:uiPriority w:val="99"/>
    <w:unhideWhenUsed/>
    <w:rsid w:val="002F7A7E"/>
    <w:pPr>
      <w:tabs>
        <w:tab w:val="center" w:pos="4252"/>
        <w:tab w:val="right" w:pos="8504"/>
      </w:tabs>
      <w:snapToGrid w:val="0"/>
    </w:pPr>
  </w:style>
  <w:style w:type="character" w:customStyle="1" w:styleId="a6">
    <w:name w:val="ヘッダー (文字)"/>
    <w:basedOn w:val="a0"/>
    <w:link w:val="a5"/>
    <w:uiPriority w:val="99"/>
    <w:rsid w:val="002F7A7E"/>
    <w:rPr>
      <w:rFonts w:ascii="Century" w:eastAsia="ＭＳ 明朝" w:hAnsi="Century" w:cs="Times New Roman"/>
    </w:rPr>
  </w:style>
  <w:style w:type="paragraph" w:styleId="a7">
    <w:name w:val="footer"/>
    <w:basedOn w:val="a"/>
    <w:link w:val="a8"/>
    <w:uiPriority w:val="99"/>
    <w:unhideWhenUsed/>
    <w:rsid w:val="002F7A7E"/>
    <w:pPr>
      <w:tabs>
        <w:tab w:val="center" w:pos="4252"/>
        <w:tab w:val="right" w:pos="8504"/>
      </w:tabs>
      <w:snapToGrid w:val="0"/>
    </w:pPr>
  </w:style>
  <w:style w:type="character" w:customStyle="1" w:styleId="a8">
    <w:name w:val="フッター (文字)"/>
    <w:basedOn w:val="a0"/>
    <w:link w:val="a7"/>
    <w:uiPriority w:val="99"/>
    <w:rsid w:val="002F7A7E"/>
    <w:rPr>
      <w:rFonts w:ascii="Century" w:eastAsia="ＭＳ 明朝" w:hAnsi="Century" w:cs="Times New Roman"/>
    </w:rPr>
  </w:style>
  <w:style w:type="paragraph" w:styleId="Web">
    <w:name w:val="Normal (Web)"/>
    <w:basedOn w:val="a"/>
    <w:uiPriority w:val="99"/>
    <w:semiHidden/>
    <w:unhideWhenUsed/>
    <w:rsid w:val="00C2247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069117">
      <w:bodyDiv w:val="1"/>
      <w:marLeft w:val="0"/>
      <w:marRight w:val="0"/>
      <w:marTop w:val="0"/>
      <w:marBottom w:val="0"/>
      <w:divBdr>
        <w:top w:val="none" w:sz="0" w:space="0" w:color="auto"/>
        <w:left w:val="none" w:sz="0" w:space="0" w:color="auto"/>
        <w:bottom w:val="none" w:sz="0" w:space="0" w:color="auto"/>
        <w:right w:val="none" w:sz="0" w:space="0" w:color="auto"/>
      </w:divBdr>
    </w:div>
    <w:div w:id="996373816">
      <w:bodyDiv w:val="1"/>
      <w:marLeft w:val="0"/>
      <w:marRight w:val="0"/>
      <w:marTop w:val="0"/>
      <w:marBottom w:val="0"/>
      <w:divBdr>
        <w:top w:val="none" w:sz="0" w:space="0" w:color="auto"/>
        <w:left w:val="none" w:sz="0" w:space="0" w:color="auto"/>
        <w:bottom w:val="none" w:sz="0" w:space="0" w:color="auto"/>
        <w:right w:val="none" w:sz="0" w:space="0" w:color="auto"/>
      </w:divBdr>
    </w:div>
    <w:div w:id="1169563326">
      <w:bodyDiv w:val="1"/>
      <w:marLeft w:val="0"/>
      <w:marRight w:val="0"/>
      <w:marTop w:val="0"/>
      <w:marBottom w:val="0"/>
      <w:divBdr>
        <w:top w:val="none" w:sz="0" w:space="0" w:color="auto"/>
        <w:left w:val="none" w:sz="0" w:space="0" w:color="auto"/>
        <w:bottom w:val="none" w:sz="0" w:space="0" w:color="auto"/>
        <w:right w:val="none" w:sz="0" w:space="0" w:color="auto"/>
      </w:divBdr>
    </w:div>
    <w:div w:id="1454401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latin typeface="ＭＳ Ｐゴシック" panose="020B0600070205080204" pitchFamily="50" charset="-128"/>
                <a:ea typeface="ＭＳ Ｐゴシック" panose="020B0600070205080204" pitchFamily="50" charset="-128"/>
              </a:defRPr>
            </a:pPr>
            <a:r>
              <a:rPr lang="ja-JP" altLang="en-US" sz="1100">
                <a:latin typeface="ＭＳ Ｐゴシック" panose="020B0600070205080204" pitchFamily="50" charset="-128"/>
                <a:ea typeface="ＭＳ Ｐゴシック" panose="020B0600070205080204" pitchFamily="50" charset="-128"/>
              </a:rPr>
              <a:t>胃がん検診　受診率（</a:t>
            </a:r>
            <a:r>
              <a:rPr lang="en-US" altLang="ja-JP" sz="1100">
                <a:latin typeface="ＭＳ Ｐゴシック" panose="020B0600070205080204" pitchFamily="50" charset="-128"/>
                <a:ea typeface="ＭＳ Ｐゴシック" panose="020B0600070205080204" pitchFamily="50" charset="-128"/>
              </a:rPr>
              <a:t>50-69</a:t>
            </a:r>
            <a:r>
              <a:rPr lang="ja-JP" altLang="en-US" sz="1100">
                <a:latin typeface="ＭＳ Ｐゴシック" panose="020B0600070205080204" pitchFamily="50" charset="-128"/>
                <a:ea typeface="ＭＳ Ｐゴシック" panose="020B0600070205080204" pitchFamily="50" charset="-128"/>
              </a:rPr>
              <a:t>歳）</a:t>
            </a:r>
          </a:p>
        </c:rich>
      </c:tx>
      <c:overlay val="1"/>
    </c:title>
    <c:autoTitleDeleted val="0"/>
    <c:plotArea>
      <c:layout>
        <c:manualLayout>
          <c:layoutTarget val="inner"/>
          <c:xMode val="edge"/>
          <c:yMode val="edge"/>
          <c:x val="5.2547457594015384E-2"/>
          <c:y val="0.14291570402257991"/>
          <c:w val="0.90462429316016835"/>
          <c:h val="0.63015886748346939"/>
        </c:manualLayout>
      </c:layout>
      <c:barChart>
        <c:barDir val="col"/>
        <c:grouping val="clustered"/>
        <c:varyColors val="0"/>
        <c:ser>
          <c:idx val="0"/>
          <c:order val="0"/>
          <c:spPr>
            <a:gradFill>
              <a:gsLst>
                <a:gs pos="0">
                  <a:srgbClr val="5E9EFF"/>
                </a:gs>
                <a:gs pos="39999">
                  <a:srgbClr val="85C2FF"/>
                </a:gs>
                <a:gs pos="70000">
                  <a:srgbClr val="C4D6EB"/>
                </a:gs>
                <a:gs pos="100000">
                  <a:srgbClr val="FFEBFA"/>
                </a:gs>
              </a:gsLst>
              <a:lin ang="5400000" scaled="0"/>
            </a:gradFill>
            <a:ln w="12700">
              <a:solidFill>
                <a:sysClr val="windowText" lastClr="000000"/>
              </a:solidFill>
            </a:ln>
          </c:spPr>
          <c:invertIfNegative val="0"/>
          <c:cat>
            <c:strRef>
              <c:f>胃がん検診受診率ランキング!$G$2:$G$44</c:f>
              <c:strCache>
                <c:ptCount val="43"/>
                <c:pt idx="0">
                  <c:v>太子町</c:v>
                </c:pt>
                <c:pt idx="1">
                  <c:v>田尻町</c:v>
                </c:pt>
                <c:pt idx="2">
                  <c:v>千早赤阪村</c:v>
                </c:pt>
                <c:pt idx="3">
                  <c:v>箕面市</c:v>
                </c:pt>
                <c:pt idx="4">
                  <c:v>河南町</c:v>
                </c:pt>
                <c:pt idx="5">
                  <c:v>松原市</c:v>
                </c:pt>
                <c:pt idx="6">
                  <c:v>高槻市</c:v>
                </c:pt>
                <c:pt idx="7">
                  <c:v>能勢町</c:v>
                </c:pt>
                <c:pt idx="8">
                  <c:v>河内長野市</c:v>
                </c:pt>
                <c:pt idx="9">
                  <c:v>富田林市</c:v>
                </c:pt>
                <c:pt idx="10">
                  <c:v>藤井寺市</c:v>
                </c:pt>
                <c:pt idx="11">
                  <c:v>東大阪市</c:v>
                </c:pt>
                <c:pt idx="12">
                  <c:v>豊能町</c:v>
                </c:pt>
                <c:pt idx="13">
                  <c:v>摂津市</c:v>
                </c:pt>
                <c:pt idx="14">
                  <c:v>八尾市</c:v>
                </c:pt>
                <c:pt idx="15">
                  <c:v>泉大津市</c:v>
                </c:pt>
                <c:pt idx="16">
                  <c:v>熊取町</c:v>
                </c:pt>
                <c:pt idx="17">
                  <c:v>豊中市</c:v>
                </c:pt>
                <c:pt idx="18">
                  <c:v>島本町</c:v>
                </c:pt>
                <c:pt idx="19">
                  <c:v>阪南市</c:v>
                </c:pt>
                <c:pt idx="20">
                  <c:v>交野市</c:v>
                </c:pt>
                <c:pt idx="21">
                  <c:v>岸和田市</c:v>
                </c:pt>
                <c:pt idx="22">
                  <c:v>忠岡町</c:v>
                </c:pt>
                <c:pt idx="23">
                  <c:v>堺市</c:v>
                </c:pt>
                <c:pt idx="24">
                  <c:v>高石市</c:v>
                </c:pt>
                <c:pt idx="25">
                  <c:v>柏原市</c:v>
                </c:pt>
                <c:pt idx="26">
                  <c:v>羽曳野市</c:v>
                </c:pt>
                <c:pt idx="27">
                  <c:v>泉佐野市</c:v>
                </c:pt>
                <c:pt idx="28">
                  <c:v>守口市</c:v>
                </c:pt>
                <c:pt idx="29">
                  <c:v>大東市</c:v>
                </c:pt>
                <c:pt idx="30">
                  <c:v>岬町</c:v>
                </c:pt>
                <c:pt idx="31">
                  <c:v>貝塚市</c:v>
                </c:pt>
                <c:pt idx="32">
                  <c:v>泉南市</c:v>
                </c:pt>
                <c:pt idx="33">
                  <c:v>寝屋川市</c:v>
                </c:pt>
                <c:pt idx="34">
                  <c:v>枚方市</c:v>
                </c:pt>
                <c:pt idx="35">
                  <c:v>吹田市</c:v>
                </c:pt>
                <c:pt idx="36">
                  <c:v>大阪狭山市</c:v>
                </c:pt>
                <c:pt idx="37">
                  <c:v>四條畷市</c:v>
                </c:pt>
                <c:pt idx="38">
                  <c:v>茨木市</c:v>
                </c:pt>
                <c:pt idx="39">
                  <c:v>大阪市</c:v>
                </c:pt>
                <c:pt idx="40">
                  <c:v>和泉市</c:v>
                </c:pt>
                <c:pt idx="41">
                  <c:v>門真市</c:v>
                </c:pt>
                <c:pt idx="42">
                  <c:v>池田市</c:v>
                </c:pt>
              </c:strCache>
            </c:strRef>
          </c:cat>
          <c:val>
            <c:numRef>
              <c:f>胃がん検診受診率ランキング!$H$2:$H$44</c:f>
              <c:numCache>
                <c:formatCode>0.0</c:formatCode>
                <c:ptCount val="43"/>
                <c:pt idx="0">
                  <c:v>11.114152751163427</c:v>
                </c:pt>
                <c:pt idx="1">
                  <c:v>10.658307210031348</c:v>
                </c:pt>
                <c:pt idx="2">
                  <c:v>10.358565737051793</c:v>
                </c:pt>
                <c:pt idx="3">
                  <c:v>9.3741036085135683</c:v>
                </c:pt>
                <c:pt idx="4">
                  <c:v>9.0327169274537695</c:v>
                </c:pt>
                <c:pt idx="5">
                  <c:v>8.6654724585759073</c:v>
                </c:pt>
                <c:pt idx="6">
                  <c:v>8.2985617645386842</c:v>
                </c:pt>
                <c:pt idx="7">
                  <c:v>7.5882547014186743</c:v>
                </c:pt>
                <c:pt idx="8">
                  <c:v>6.7252606483293595</c:v>
                </c:pt>
                <c:pt idx="9">
                  <c:v>6.6389630948847342</c:v>
                </c:pt>
                <c:pt idx="10">
                  <c:v>6.5587479839913989</c:v>
                </c:pt>
                <c:pt idx="11">
                  <c:v>6.2683330671799222</c:v>
                </c:pt>
                <c:pt idx="12">
                  <c:v>6.092124814264487</c:v>
                </c:pt>
                <c:pt idx="13">
                  <c:v>6.0300801199456497</c:v>
                </c:pt>
                <c:pt idx="14">
                  <c:v>5.9580744007560353</c:v>
                </c:pt>
                <c:pt idx="15">
                  <c:v>5.9243867828907355</c:v>
                </c:pt>
                <c:pt idx="16">
                  <c:v>5.7034220532319395</c:v>
                </c:pt>
                <c:pt idx="17">
                  <c:v>5.6177132049194984</c:v>
                </c:pt>
                <c:pt idx="18">
                  <c:v>5.1057439619572023</c:v>
                </c:pt>
                <c:pt idx="19">
                  <c:v>5.0990513392857144</c:v>
                </c:pt>
                <c:pt idx="20">
                  <c:v>5.0844974113509824</c:v>
                </c:pt>
                <c:pt idx="21">
                  <c:v>5.0667620410109677</c:v>
                </c:pt>
                <c:pt idx="22">
                  <c:v>4.9103139013452912</c:v>
                </c:pt>
                <c:pt idx="23">
                  <c:v>4.7415914684167353</c:v>
                </c:pt>
                <c:pt idx="24">
                  <c:v>4.6876050844037929</c:v>
                </c:pt>
                <c:pt idx="25">
                  <c:v>4.6424295199738763</c:v>
                </c:pt>
                <c:pt idx="26">
                  <c:v>4.4654109472393477</c:v>
                </c:pt>
                <c:pt idx="27">
                  <c:v>4.3259827420901242</c:v>
                </c:pt>
                <c:pt idx="28">
                  <c:v>4.3057831260576434</c:v>
                </c:pt>
                <c:pt idx="29">
                  <c:v>4.2279353635012491</c:v>
                </c:pt>
                <c:pt idx="30">
                  <c:v>3.9284874147259465</c:v>
                </c:pt>
                <c:pt idx="31">
                  <c:v>3.8548052749966919</c:v>
                </c:pt>
                <c:pt idx="32">
                  <c:v>3.8337212309283686</c:v>
                </c:pt>
                <c:pt idx="33">
                  <c:v>3.757784679425682</c:v>
                </c:pt>
                <c:pt idx="34">
                  <c:v>3.5682512667775503</c:v>
                </c:pt>
                <c:pt idx="35">
                  <c:v>3.557452863749555</c:v>
                </c:pt>
                <c:pt idx="36">
                  <c:v>3.0599586492074433</c:v>
                </c:pt>
                <c:pt idx="37">
                  <c:v>2.8076870655581301</c:v>
                </c:pt>
                <c:pt idx="38">
                  <c:v>2.6218622091192718</c:v>
                </c:pt>
                <c:pt idx="39">
                  <c:v>2.5808568909923868</c:v>
                </c:pt>
                <c:pt idx="40">
                  <c:v>2.5376669386780248</c:v>
                </c:pt>
                <c:pt idx="41">
                  <c:v>2.0457018498367794</c:v>
                </c:pt>
                <c:pt idx="42">
                  <c:v>2.0352177942539389</c:v>
                </c:pt>
              </c:numCache>
            </c:numRef>
          </c:val>
          <c:extLst>
            <c:ext xmlns:c16="http://schemas.microsoft.com/office/drawing/2014/chart" uri="{C3380CC4-5D6E-409C-BE32-E72D297353CC}">
              <c16:uniqueId val="{00000000-DFD1-4A71-9802-CED0B8E53A25}"/>
            </c:ext>
          </c:extLst>
        </c:ser>
        <c:dLbls>
          <c:showLegendKey val="0"/>
          <c:showVal val="0"/>
          <c:showCatName val="0"/>
          <c:showSerName val="0"/>
          <c:showPercent val="0"/>
          <c:showBubbleSize val="0"/>
        </c:dLbls>
        <c:gapWidth val="150"/>
        <c:axId val="240006680"/>
        <c:axId val="240007464"/>
      </c:barChart>
      <c:lineChart>
        <c:grouping val="standard"/>
        <c:varyColors val="0"/>
        <c:ser>
          <c:idx val="1"/>
          <c:order val="1"/>
          <c:spPr>
            <a:ln w="19050">
              <a:solidFill>
                <a:sysClr val="windowText" lastClr="000000"/>
              </a:solidFill>
            </a:ln>
          </c:spPr>
          <c:marker>
            <c:symbol val="none"/>
          </c:marker>
          <c:cat>
            <c:strRef>
              <c:f>胃がん検診受診率ランキング!$G$2:$G$44</c:f>
              <c:strCache>
                <c:ptCount val="43"/>
                <c:pt idx="0">
                  <c:v>太子町</c:v>
                </c:pt>
                <c:pt idx="1">
                  <c:v>田尻町</c:v>
                </c:pt>
                <c:pt idx="2">
                  <c:v>千早赤阪村</c:v>
                </c:pt>
                <c:pt idx="3">
                  <c:v>箕面市</c:v>
                </c:pt>
                <c:pt idx="4">
                  <c:v>河南町</c:v>
                </c:pt>
                <c:pt idx="5">
                  <c:v>松原市</c:v>
                </c:pt>
                <c:pt idx="6">
                  <c:v>高槻市</c:v>
                </c:pt>
                <c:pt idx="7">
                  <c:v>能勢町</c:v>
                </c:pt>
                <c:pt idx="8">
                  <c:v>河内長野市</c:v>
                </c:pt>
                <c:pt idx="9">
                  <c:v>富田林市</c:v>
                </c:pt>
                <c:pt idx="10">
                  <c:v>藤井寺市</c:v>
                </c:pt>
                <c:pt idx="11">
                  <c:v>東大阪市</c:v>
                </c:pt>
                <c:pt idx="12">
                  <c:v>豊能町</c:v>
                </c:pt>
                <c:pt idx="13">
                  <c:v>摂津市</c:v>
                </c:pt>
                <c:pt idx="14">
                  <c:v>八尾市</c:v>
                </c:pt>
                <c:pt idx="15">
                  <c:v>泉大津市</c:v>
                </c:pt>
                <c:pt idx="16">
                  <c:v>熊取町</c:v>
                </c:pt>
                <c:pt idx="17">
                  <c:v>豊中市</c:v>
                </c:pt>
                <c:pt idx="18">
                  <c:v>島本町</c:v>
                </c:pt>
                <c:pt idx="19">
                  <c:v>阪南市</c:v>
                </c:pt>
                <c:pt idx="20">
                  <c:v>交野市</c:v>
                </c:pt>
                <c:pt idx="21">
                  <c:v>岸和田市</c:v>
                </c:pt>
                <c:pt idx="22">
                  <c:v>忠岡町</c:v>
                </c:pt>
                <c:pt idx="23">
                  <c:v>堺市</c:v>
                </c:pt>
                <c:pt idx="24">
                  <c:v>高石市</c:v>
                </c:pt>
                <c:pt idx="25">
                  <c:v>柏原市</c:v>
                </c:pt>
                <c:pt idx="26">
                  <c:v>羽曳野市</c:v>
                </c:pt>
                <c:pt idx="27">
                  <c:v>泉佐野市</c:v>
                </c:pt>
                <c:pt idx="28">
                  <c:v>守口市</c:v>
                </c:pt>
                <c:pt idx="29">
                  <c:v>大東市</c:v>
                </c:pt>
                <c:pt idx="30">
                  <c:v>岬町</c:v>
                </c:pt>
                <c:pt idx="31">
                  <c:v>貝塚市</c:v>
                </c:pt>
                <c:pt idx="32">
                  <c:v>泉南市</c:v>
                </c:pt>
                <c:pt idx="33">
                  <c:v>寝屋川市</c:v>
                </c:pt>
                <c:pt idx="34">
                  <c:v>枚方市</c:v>
                </c:pt>
                <c:pt idx="35">
                  <c:v>吹田市</c:v>
                </c:pt>
                <c:pt idx="36">
                  <c:v>大阪狭山市</c:v>
                </c:pt>
                <c:pt idx="37">
                  <c:v>四條畷市</c:v>
                </c:pt>
                <c:pt idx="38">
                  <c:v>茨木市</c:v>
                </c:pt>
                <c:pt idx="39">
                  <c:v>大阪市</c:v>
                </c:pt>
                <c:pt idx="40">
                  <c:v>和泉市</c:v>
                </c:pt>
                <c:pt idx="41">
                  <c:v>門真市</c:v>
                </c:pt>
                <c:pt idx="42">
                  <c:v>池田市</c:v>
                </c:pt>
              </c:strCache>
            </c:strRef>
          </c:cat>
          <c:val>
            <c:numRef>
              <c:f>胃がん検診受診率ランキング!$I$2:$I$44</c:f>
              <c:numCache>
                <c:formatCode>0.0_);[Red]\(0.0\)</c:formatCode>
                <c:ptCount val="43"/>
                <c:pt idx="0">
                  <c:v>4.3</c:v>
                </c:pt>
                <c:pt idx="1">
                  <c:v>4.3</c:v>
                </c:pt>
                <c:pt idx="2">
                  <c:v>4.3</c:v>
                </c:pt>
                <c:pt idx="3">
                  <c:v>4.3</c:v>
                </c:pt>
                <c:pt idx="4">
                  <c:v>4.3</c:v>
                </c:pt>
                <c:pt idx="5">
                  <c:v>4.3</c:v>
                </c:pt>
                <c:pt idx="6">
                  <c:v>4.3</c:v>
                </c:pt>
                <c:pt idx="7">
                  <c:v>4.3</c:v>
                </c:pt>
                <c:pt idx="8">
                  <c:v>4.3</c:v>
                </c:pt>
                <c:pt idx="9">
                  <c:v>4.3</c:v>
                </c:pt>
                <c:pt idx="10">
                  <c:v>4.3</c:v>
                </c:pt>
                <c:pt idx="11">
                  <c:v>4.3</c:v>
                </c:pt>
                <c:pt idx="12">
                  <c:v>4.3</c:v>
                </c:pt>
                <c:pt idx="13">
                  <c:v>4.3</c:v>
                </c:pt>
                <c:pt idx="14">
                  <c:v>4.3</c:v>
                </c:pt>
                <c:pt idx="15">
                  <c:v>4.3</c:v>
                </c:pt>
                <c:pt idx="16">
                  <c:v>4.3</c:v>
                </c:pt>
                <c:pt idx="17">
                  <c:v>4.3</c:v>
                </c:pt>
                <c:pt idx="18">
                  <c:v>4.3</c:v>
                </c:pt>
                <c:pt idx="19">
                  <c:v>4.3</c:v>
                </c:pt>
                <c:pt idx="20">
                  <c:v>4.3</c:v>
                </c:pt>
                <c:pt idx="21">
                  <c:v>4.3</c:v>
                </c:pt>
                <c:pt idx="22">
                  <c:v>4.3</c:v>
                </c:pt>
                <c:pt idx="23">
                  <c:v>4.3</c:v>
                </c:pt>
                <c:pt idx="24">
                  <c:v>4.3</c:v>
                </c:pt>
                <c:pt idx="25">
                  <c:v>4.3</c:v>
                </c:pt>
                <c:pt idx="26">
                  <c:v>4.3</c:v>
                </c:pt>
                <c:pt idx="27">
                  <c:v>4.3</c:v>
                </c:pt>
                <c:pt idx="28">
                  <c:v>4.3</c:v>
                </c:pt>
                <c:pt idx="29">
                  <c:v>4.3</c:v>
                </c:pt>
                <c:pt idx="30">
                  <c:v>4.3</c:v>
                </c:pt>
                <c:pt idx="31">
                  <c:v>4.3</c:v>
                </c:pt>
                <c:pt idx="32">
                  <c:v>4.3</c:v>
                </c:pt>
                <c:pt idx="33">
                  <c:v>4.3</c:v>
                </c:pt>
                <c:pt idx="34">
                  <c:v>4.3</c:v>
                </c:pt>
                <c:pt idx="35">
                  <c:v>4.3</c:v>
                </c:pt>
                <c:pt idx="36">
                  <c:v>4.3</c:v>
                </c:pt>
                <c:pt idx="37">
                  <c:v>4.3</c:v>
                </c:pt>
                <c:pt idx="38">
                  <c:v>4.3</c:v>
                </c:pt>
                <c:pt idx="39">
                  <c:v>4.3</c:v>
                </c:pt>
                <c:pt idx="40">
                  <c:v>4.3</c:v>
                </c:pt>
                <c:pt idx="41">
                  <c:v>4.3</c:v>
                </c:pt>
                <c:pt idx="42">
                  <c:v>4.3</c:v>
                </c:pt>
              </c:numCache>
            </c:numRef>
          </c:val>
          <c:smooth val="0"/>
          <c:extLst>
            <c:ext xmlns:c16="http://schemas.microsoft.com/office/drawing/2014/chart" uri="{C3380CC4-5D6E-409C-BE32-E72D297353CC}">
              <c16:uniqueId val="{00000001-DFD1-4A71-9802-CED0B8E53A25}"/>
            </c:ext>
          </c:extLst>
        </c:ser>
        <c:dLbls>
          <c:showLegendKey val="0"/>
          <c:showVal val="0"/>
          <c:showCatName val="0"/>
          <c:showSerName val="0"/>
          <c:showPercent val="0"/>
          <c:showBubbleSize val="0"/>
        </c:dLbls>
        <c:marker val="1"/>
        <c:smooth val="0"/>
        <c:axId val="240006680"/>
        <c:axId val="240007464"/>
      </c:lineChart>
      <c:catAx>
        <c:axId val="240006680"/>
        <c:scaling>
          <c:orientation val="minMax"/>
        </c:scaling>
        <c:delete val="0"/>
        <c:axPos val="b"/>
        <c:numFmt formatCode="General" sourceLinked="0"/>
        <c:majorTickMark val="out"/>
        <c:minorTickMark val="none"/>
        <c:tickLblPos val="nextTo"/>
        <c:txPr>
          <a:bodyPr rot="0" vert="eaVert"/>
          <a:lstStyle/>
          <a:p>
            <a:pPr>
              <a:defRPr sz="700"/>
            </a:pPr>
            <a:endParaRPr lang="ja-JP"/>
          </a:p>
        </c:txPr>
        <c:crossAx val="240007464"/>
        <c:crosses val="autoZero"/>
        <c:auto val="1"/>
        <c:lblAlgn val="ctr"/>
        <c:lblOffset val="100"/>
        <c:noMultiLvlLbl val="0"/>
      </c:catAx>
      <c:valAx>
        <c:axId val="240007464"/>
        <c:scaling>
          <c:orientation val="minMax"/>
          <c:max val="12"/>
          <c:min val="0"/>
        </c:scaling>
        <c:delete val="0"/>
        <c:axPos val="l"/>
        <c:numFmt formatCode="#,##0.0_ " sourceLinked="0"/>
        <c:majorTickMark val="out"/>
        <c:minorTickMark val="none"/>
        <c:tickLblPos val="nextTo"/>
        <c:crossAx val="240006680"/>
        <c:crosses val="autoZero"/>
        <c:crossBetween val="between"/>
        <c:majorUnit val="2"/>
      </c:valAx>
      <c:spPr>
        <a:solidFill>
          <a:sysClr val="window" lastClr="FFFFFF">
            <a:lumMod val="85000"/>
          </a:sysClr>
        </a:solidFill>
        <a:ln>
          <a:solidFill>
            <a:schemeClr val="tx1"/>
          </a:solidFill>
        </a:ln>
      </c:spPr>
    </c:plotArea>
    <c:plotVisOnly val="1"/>
    <c:dispBlanksAs val="gap"/>
    <c:showDLblsOverMax val="0"/>
  </c:chart>
  <c:spPr>
    <a:ln>
      <a:solidFill>
        <a:sysClr val="windowText" lastClr="000000"/>
      </a:solid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ja-JP" altLang="en-US" sz="1100"/>
              <a:t>要精検率（％）</a:t>
            </a:r>
          </a:p>
        </c:rich>
      </c:tx>
      <c:overlay val="1"/>
    </c:title>
    <c:autoTitleDeleted val="0"/>
    <c:plotArea>
      <c:layout>
        <c:manualLayout>
          <c:layoutTarget val="inner"/>
          <c:xMode val="edge"/>
          <c:yMode val="edge"/>
          <c:x val="5.2547457594015384E-2"/>
          <c:y val="0.14291570402257991"/>
          <c:w val="0.90100360954174497"/>
          <c:h val="0.63015886748346939"/>
        </c:manualLayout>
      </c:layout>
      <c:barChart>
        <c:barDir val="col"/>
        <c:grouping val="clustered"/>
        <c:varyColors val="0"/>
        <c:ser>
          <c:idx val="0"/>
          <c:order val="0"/>
          <c:spPr>
            <a:gradFill>
              <a:gsLst>
                <a:gs pos="0">
                  <a:srgbClr val="5E9EFF"/>
                </a:gs>
                <a:gs pos="39999">
                  <a:srgbClr val="85C2FF"/>
                </a:gs>
                <a:gs pos="70000">
                  <a:srgbClr val="C4D6EB"/>
                </a:gs>
                <a:gs pos="100000">
                  <a:srgbClr val="FFEBFA"/>
                </a:gs>
              </a:gsLst>
              <a:lin ang="5400000" scaled="0"/>
            </a:gradFill>
            <a:ln w="12700">
              <a:solidFill>
                <a:sysClr val="windowText" lastClr="000000"/>
              </a:solidFill>
            </a:ln>
          </c:spPr>
          <c:invertIfNegative val="0"/>
          <c:cat>
            <c:strRef>
              <c:f>[2]胃がん要精検率ランキング!$G$2:$G$44</c:f>
              <c:strCache>
                <c:ptCount val="43"/>
                <c:pt idx="0">
                  <c:v>守口市</c:v>
                </c:pt>
                <c:pt idx="1">
                  <c:v>岬町</c:v>
                </c:pt>
                <c:pt idx="2">
                  <c:v>貝塚市</c:v>
                </c:pt>
                <c:pt idx="3">
                  <c:v>熊取町</c:v>
                </c:pt>
                <c:pt idx="4">
                  <c:v>能勢町</c:v>
                </c:pt>
                <c:pt idx="5">
                  <c:v>河南町</c:v>
                </c:pt>
                <c:pt idx="6">
                  <c:v>池田市</c:v>
                </c:pt>
                <c:pt idx="7">
                  <c:v>島本町</c:v>
                </c:pt>
                <c:pt idx="8">
                  <c:v>門真市</c:v>
                </c:pt>
                <c:pt idx="9">
                  <c:v>泉大津市</c:v>
                </c:pt>
                <c:pt idx="10">
                  <c:v>吹田市</c:v>
                </c:pt>
                <c:pt idx="11">
                  <c:v>摂津市</c:v>
                </c:pt>
                <c:pt idx="12">
                  <c:v>千早赤阪村</c:v>
                </c:pt>
                <c:pt idx="13">
                  <c:v>藤井寺市</c:v>
                </c:pt>
                <c:pt idx="14">
                  <c:v>泉南市</c:v>
                </c:pt>
                <c:pt idx="15">
                  <c:v>羽曳野市</c:v>
                </c:pt>
                <c:pt idx="16">
                  <c:v>四條畷市</c:v>
                </c:pt>
                <c:pt idx="17">
                  <c:v>太子町</c:v>
                </c:pt>
                <c:pt idx="18">
                  <c:v>松原市</c:v>
                </c:pt>
                <c:pt idx="19">
                  <c:v>堺市</c:v>
                </c:pt>
                <c:pt idx="20">
                  <c:v>高石市</c:v>
                </c:pt>
                <c:pt idx="21">
                  <c:v>枚方市</c:v>
                </c:pt>
                <c:pt idx="22">
                  <c:v>豊中市</c:v>
                </c:pt>
                <c:pt idx="23">
                  <c:v>高槻市</c:v>
                </c:pt>
                <c:pt idx="24">
                  <c:v>柏原市</c:v>
                </c:pt>
                <c:pt idx="25">
                  <c:v>八尾市</c:v>
                </c:pt>
                <c:pt idx="26">
                  <c:v>豊能町</c:v>
                </c:pt>
                <c:pt idx="27">
                  <c:v>大東市</c:v>
                </c:pt>
                <c:pt idx="28">
                  <c:v>富田林市</c:v>
                </c:pt>
                <c:pt idx="29">
                  <c:v>田尻町</c:v>
                </c:pt>
                <c:pt idx="30">
                  <c:v>河内長野市</c:v>
                </c:pt>
                <c:pt idx="31">
                  <c:v>大阪市</c:v>
                </c:pt>
                <c:pt idx="32">
                  <c:v>忠岡町</c:v>
                </c:pt>
                <c:pt idx="33">
                  <c:v>和泉市</c:v>
                </c:pt>
                <c:pt idx="34">
                  <c:v>大阪狭山市</c:v>
                </c:pt>
                <c:pt idx="35">
                  <c:v>交野市</c:v>
                </c:pt>
                <c:pt idx="36">
                  <c:v>寝屋川市</c:v>
                </c:pt>
                <c:pt idx="37">
                  <c:v>阪南市</c:v>
                </c:pt>
                <c:pt idx="38">
                  <c:v>泉佐野市</c:v>
                </c:pt>
                <c:pt idx="39">
                  <c:v>箕面市</c:v>
                </c:pt>
                <c:pt idx="40">
                  <c:v>茨木市</c:v>
                </c:pt>
                <c:pt idx="41">
                  <c:v>岸和田市</c:v>
                </c:pt>
                <c:pt idx="42">
                  <c:v>東大</c:v>
                </c:pt>
              </c:strCache>
            </c:strRef>
          </c:cat>
          <c:val>
            <c:numRef>
              <c:f>[2]胃がん要精検率ランキング!$H$2:$H$44</c:f>
              <c:numCache>
                <c:formatCode>General</c:formatCode>
                <c:ptCount val="43"/>
                <c:pt idx="0">
                  <c:v>11.422564821303434</c:v>
                </c:pt>
                <c:pt idx="1">
                  <c:v>10.833333333333334</c:v>
                </c:pt>
                <c:pt idx="2">
                  <c:v>10.565110565110565</c:v>
                </c:pt>
                <c:pt idx="3">
                  <c:v>8.8669950738916263</c:v>
                </c:pt>
                <c:pt idx="4">
                  <c:v>8.4677419354838701</c:v>
                </c:pt>
                <c:pt idx="5">
                  <c:v>8.0188679245283012</c:v>
                </c:pt>
                <c:pt idx="6">
                  <c:v>8</c:v>
                </c:pt>
                <c:pt idx="7">
                  <c:v>7.9096045197740121</c:v>
                </c:pt>
                <c:pt idx="8">
                  <c:v>7.9096045197740121</c:v>
                </c:pt>
                <c:pt idx="9">
                  <c:v>7.8916372202591294</c:v>
                </c:pt>
                <c:pt idx="10">
                  <c:v>7.8720787207872078</c:v>
                </c:pt>
                <c:pt idx="11">
                  <c:v>7.8558225508317925</c:v>
                </c:pt>
                <c:pt idx="12">
                  <c:v>7.4766355140186906</c:v>
                </c:pt>
                <c:pt idx="13">
                  <c:v>7.3746312684365778</c:v>
                </c:pt>
                <c:pt idx="14">
                  <c:v>7.0938215102974826</c:v>
                </c:pt>
                <c:pt idx="15">
                  <c:v>6.8288854003139718</c:v>
                </c:pt>
                <c:pt idx="16">
                  <c:v>6.7114093959731544</c:v>
                </c:pt>
                <c:pt idx="17">
                  <c:v>6.593406593406594</c:v>
                </c:pt>
                <c:pt idx="18">
                  <c:v>6.4924782264449723</c:v>
                </c:pt>
                <c:pt idx="19">
                  <c:v>6.3807531380753142</c:v>
                </c:pt>
                <c:pt idx="20">
                  <c:v>6.2397372742200332</c:v>
                </c:pt>
                <c:pt idx="21">
                  <c:v>6.1941964285714288</c:v>
                </c:pt>
                <c:pt idx="22">
                  <c:v>5.9701492537313428</c:v>
                </c:pt>
                <c:pt idx="23">
                  <c:v>5.6942277691107641</c:v>
                </c:pt>
                <c:pt idx="24">
                  <c:v>5.6087551299589604</c:v>
                </c:pt>
                <c:pt idx="25">
                  <c:v>5.2858683926645087</c:v>
                </c:pt>
                <c:pt idx="26">
                  <c:v>5.1282051282051277</c:v>
                </c:pt>
                <c:pt idx="27">
                  <c:v>4.8693586698337299</c:v>
                </c:pt>
                <c:pt idx="28">
                  <c:v>4.681978798586572</c:v>
                </c:pt>
                <c:pt idx="29">
                  <c:v>4.5161290322580641</c:v>
                </c:pt>
                <c:pt idx="30">
                  <c:v>4.4864864864864868</c:v>
                </c:pt>
                <c:pt idx="31">
                  <c:v>4.0109746537758033</c:v>
                </c:pt>
                <c:pt idx="32">
                  <c:v>3.9772727272727271</c:v>
                </c:pt>
                <c:pt idx="33">
                  <c:v>3.8461538461538463</c:v>
                </c:pt>
                <c:pt idx="34">
                  <c:v>3.8348082595870205</c:v>
                </c:pt>
                <c:pt idx="35">
                  <c:v>3.8139534883720931</c:v>
                </c:pt>
                <c:pt idx="36">
                  <c:v>3.588907014681892</c:v>
                </c:pt>
                <c:pt idx="37">
                  <c:v>3.5665294924554183</c:v>
                </c:pt>
                <c:pt idx="38">
                  <c:v>3.1301482701812189</c:v>
                </c:pt>
                <c:pt idx="39">
                  <c:v>3.0018192844147968</c:v>
                </c:pt>
                <c:pt idx="40">
                  <c:v>2.3612750885478158</c:v>
                </c:pt>
                <c:pt idx="41">
                  <c:v>2.2817460317460316</c:v>
                </c:pt>
                <c:pt idx="42">
                  <c:v>2.0217147135904159</c:v>
                </c:pt>
              </c:numCache>
            </c:numRef>
          </c:val>
          <c:extLst>
            <c:ext xmlns:c16="http://schemas.microsoft.com/office/drawing/2014/chart" uri="{C3380CC4-5D6E-409C-BE32-E72D297353CC}">
              <c16:uniqueId val="{00000000-6581-4E63-A653-F7FF9F75CD33}"/>
            </c:ext>
          </c:extLst>
        </c:ser>
        <c:dLbls>
          <c:showLegendKey val="0"/>
          <c:showVal val="0"/>
          <c:showCatName val="0"/>
          <c:showSerName val="0"/>
          <c:showPercent val="0"/>
          <c:showBubbleSize val="0"/>
        </c:dLbls>
        <c:gapWidth val="150"/>
        <c:axId val="240008248"/>
        <c:axId val="775743704"/>
      </c:barChart>
      <c:lineChart>
        <c:grouping val="standard"/>
        <c:varyColors val="0"/>
        <c:ser>
          <c:idx val="1"/>
          <c:order val="1"/>
          <c:spPr>
            <a:ln w="19050">
              <a:solidFill>
                <a:sysClr val="windowText" lastClr="000000"/>
              </a:solidFill>
            </a:ln>
          </c:spPr>
          <c:marker>
            <c:symbol val="none"/>
          </c:marker>
          <c:cat>
            <c:strRef>
              <c:f>[2]胃がん要精検率ランキング!$G$2:$G$44</c:f>
              <c:strCache>
                <c:ptCount val="43"/>
                <c:pt idx="0">
                  <c:v>守口市</c:v>
                </c:pt>
                <c:pt idx="1">
                  <c:v>岬町</c:v>
                </c:pt>
                <c:pt idx="2">
                  <c:v>貝塚市</c:v>
                </c:pt>
                <c:pt idx="3">
                  <c:v>熊取町</c:v>
                </c:pt>
                <c:pt idx="4">
                  <c:v>能勢町</c:v>
                </c:pt>
                <c:pt idx="5">
                  <c:v>河南町</c:v>
                </c:pt>
                <c:pt idx="6">
                  <c:v>池田市</c:v>
                </c:pt>
                <c:pt idx="7">
                  <c:v>島本町</c:v>
                </c:pt>
                <c:pt idx="8">
                  <c:v>門真市</c:v>
                </c:pt>
                <c:pt idx="9">
                  <c:v>泉大津市</c:v>
                </c:pt>
                <c:pt idx="10">
                  <c:v>吹田市</c:v>
                </c:pt>
                <c:pt idx="11">
                  <c:v>摂津市</c:v>
                </c:pt>
                <c:pt idx="12">
                  <c:v>千早赤阪村</c:v>
                </c:pt>
                <c:pt idx="13">
                  <c:v>藤井寺市</c:v>
                </c:pt>
                <c:pt idx="14">
                  <c:v>泉南市</c:v>
                </c:pt>
                <c:pt idx="15">
                  <c:v>羽曳野市</c:v>
                </c:pt>
                <c:pt idx="16">
                  <c:v>四條畷市</c:v>
                </c:pt>
                <c:pt idx="17">
                  <c:v>太子町</c:v>
                </c:pt>
                <c:pt idx="18">
                  <c:v>松原市</c:v>
                </c:pt>
                <c:pt idx="19">
                  <c:v>堺市</c:v>
                </c:pt>
                <c:pt idx="20">
                  <c:v>高石市</c:v>
                </c:pt>
                <c:pt idx="21">
                  <c:v>枚方市</c:v>
                </c:pt>
                <c:pt idx="22">
                  <c:v>豊中市</c:v>
                </c:pt>
                <c:pt idx="23">
                  <c:v>高槻市</c:v>
                </c:pt>
                <c:pt idx="24">
                  <c:v>柏原市</c:v>
                </c:pt>
                <c:pt idx="25">
                  <c:v>八尾市</c:v>
                </c:pt>
                <c:pt idx="26">
                  <c:v>豊能町</c:v>
                </c:pt>
                <c:pt idx="27">
                  <c:v>大東市</c:v>
                </c:pt>
                <c:pt idx="28">
                  <c:v>富田林市</c:v>
                </c:pt>
                <c:pt idx="29">
                  <c:v>田尻町</c:v>
                </c:pt>
                <c:pt idx="30">
                  <c:v>河内長野市</c:v>
                </c:pt>
                <c:pt idx="31">
                  <c:v>大阪市</c:v>
                </c:pt>
                <c:pt idx="32">
                  <c:v>忠岡町</c:v>
                </c:pt>
                <c:pt idx="33">
                  <c:v>和泉市</c:v>
                </c:pt>
                <c:pt idx="34">
                  <c:v>大阪狭山市</c:v>
                </c:pt>
                <c:pt idx="35">
                  <c:v>交野市</c:v>
                </c:pt>
                <c:pt idx="36">
                  <c:v>寝屋川市</c:v>
                </c:pt>
                <c:pt idx="37">
                  <c:v>阪南市</c:v>
                </c:pt>
                <c:pt idx="38">
                  <c:v>泉佐野市</c:v>
                </c:pt>
                <c:pt idx="39">
                  <c:v>箕面市</c:v>
                </c:pt>
                <c:pt idx="40">
                  <c:v>茨木市</c:v>
                </c:pt>
                <c:pt idx="41">
                  <c:v>岸和田市</c:v>
                </c:pt>
                <c:pt idx="42">
                  <c:v>東大</c:v>
                </c:pt>
              </c:strCache>
            </c:strRef>
          </c:cat>
          <c:val>
            <c:numRef>
              <c:f>[2]胃がん要精検率ランキング!$I$2:$I$44</c:f>
              <c:numCache>
                <c:formatCode>General</c:formatCode>
                <c:ptCount val="43"/>
                <c:pt idx="0">
                  <c:v>4.9000000000000004</c:v>
                </c:pt>
                <c:pt idx="1">
                  <c:v>4.9000000000000004</c:v>
                </c:pt>
                <c:pt idx="2">
                  <c:v>4.9000000000000004</c:v>
                </c:pt>
                <c:pt idx="3">
                  <c:v>4.9000000000000004</c:v>
                </c:pt>
                <c:pt idx="4">
                  <c:v>4.9000000000000004</c:v>
                </c:pt>
                <c:pt idx="5">
                  <c:v>4.9000000000000004</c:v>
                </c:pt>
                <c:pt idx="6">
                  <c:v>4.9000000000000004</c:v>
                </c:pt>
                <c:pt idx="7">
                  <c:v>4.9000000000000004</c:v>
                </c:pt>
                <c:pt idx="8">
                  <c:v>4.9000000000000004</c:v>
                </c:pt>
                <c:pt idx="9">
                  <c:v>4.9000000000000004</c:v>
                </c:pt>
                <c:pt idx="10">
                  <c:v>4.9000000000000004</c:v>
                </c:pt>
                <c:pt idx="11">
                  <c:v>4.9000000000000004</c:v>
                </c:pt>
                <c:pt idx="12">
                  <c:v>4.9000000000000004</c:v>
                </c:pt>
                <c:pt idx="13">
                  <c:v>4.9000000000000004</c:v>
                </c:pt>
                <c:pt idx="14">
                  <c:v>4.9000000000000004</c:v>
                </c:pt>
                <c:pt idx="15">
                  <c:v>4.9000000000000004</c:v>
                </c:pt>
                <c:pt idx="16">
                  <c:v>4.9000000000000004</c:v>
                </c:pt>
                <c:pt idx="17">
                  <c:v>4.9000000000000004</c:v>
                </c:pt>
                <c:pt idx="18">
                  <c:v>4.9000000000000004</c:v>
                </c:pt>
                <c:pt idx="19">
                  <c:v>4.9000000000000004</c:v>
                </c:pt>
                <c:pt idx="20">
                  <c:v>4.9000000000000004</c:v>
                </c:pt>
                <c:pt idx="21">
                  <c:v>4.9000000000000004</c:v>
                </c:pt>
                <c:pt idx="22">
                  <c:v>4.9000000000000004</c:v>
                </c:pt>
                <c:pt idx="23">
                  <c:v>4.9000000000000004</c:v>
                </c:pt>
                <c:pt idx="24">
                  <c:v>4.9000000000000004</c:v>
                </c:pt>
                <c:pt idx="25">
                  <c:v>4.9000000000000004</c:v>
                </c:pt>
                <c:pt idx="26">
                  <c:v>4.9000000000000004</c:v>
                </c:pt>
                <c:pt idx="27">
                  <c:v>4.9000000000000004</c:v>
                </c:pt>
                <c:pt idx="28">
                  <c:v>4.9000000000000004</c:v>
                </c:pt>
                <c:pt idx="29">
                  <c:v>4.9000000000000004</c:v>
                </c:pt>
                <c:pt idx="30">
                  <c:v>4.9000000000000004</c:v>
                </c:pt>
                <c:pt idx="31">
                  <c:v>4.9000000000000004</c:v>
                </c:pt>
                <c:pt idx="32">
                  <c:v>4.9000000000000004</c:v>
                </c:pt>
                <c:pt idx="33">
                  <c:v>4.9000000000000004</c:v>
                </c:pt>
                <c:pt idx="34">
                  <c:v>4.9000000000000004</c:v>
                </c:pt>
                <c:pt idx="35">
                  <c:v>4.9000000000000004</c:v>
                </c:pt>
                <c:pt idx="36">
                  <c:v>4.9000000000000004</c:v>
                </c:pt>
                <c:pt idx="37">
                  <c:v>4.9000000000000004</c:v>
                </c:pt>
                <c:pt idx="38">
                  <c:v>4.9000000000000004</c:v>
                </c:pt>
                <c:pt idx="39">
                  <c:v>4.9000000000000004</c:v>
                </c:pt>
                <c:pt idx="40">
                  <c:v>4.9000000000000004</c:v>
                </c:pt>
                <c:pt idx="41">
                  <c:v>4.9000000000000004</c:v>
                </c:pt>
                <c:pt idx="42">
                  <c:v>4.9000000000000004</c:v>
                </c:pt>
              </c:numCache>
            </c:numRef>
          </c:val>
          <c:smooth val="0"/>
          <c:extLst>
            <c:ext xmlns:c16="http://schemas.microsoft.com/office/drawing/2014/chart" uri="{C3380CC4-5D6E-409C-BE32-E72D297353CC}">
              <c16:uniqueId val="{00000001-6581-4E63-A653-F7FF9F75CD33}"/>
            </c:ext>
          </c:extLst>
        </c:ser>
        <c:ser>
          <c:idx val="2"/>
          <c:order val="2"/>
          <c:spPr>
            <a:ln w="22225" cmpd="thinThick">
              <a:prstDash val="sysDot"/>
              <a:round/>
            </a:ln>
          </c:spPr>
          <c:marker>
            <c:symbol val="none"/>
          </c:marker>
          <c:cat>
            <c:strRef>
              <c:f>[2]胃がん要精検率ランキング!$G$2:$G$44</c:f>
              <c:strCache>
                <c:ptCount val="43"/>
                <c:pt idx="0">
                  <c:v>守口市</c:v>
                </c:pt>
                <c:pt idx="1">
                  <c:v>岬町</c:v>
                </c:pt>
                <c:pt idx="2">
                  <c:v>貝塚市</c:v>
                </c:pt>
                <c:pt idx="3">
                  <c:v>熊取町</c:v>
                </c:pt>
                <c:pt idx="4">
                  <c:v>能勢町</c:v>
                </c:pt>
                <c:pt idx="5">
                  <c:v>河南町</c:v>
                </c:pt>
                <c:pt idx="6">
                  <c:v>池田市</c:v>
                </c:pt>
                <c:pt idx="7">
                  <c:v>島本町</c:v>
                </c:pt>
                <c:pt idx="8">
                  <c:v>門真市</c:v>
                </c:pt>
                <c:pt idx="9">
                  <c:v>泉大津市</c:v>
                </c:pt>
                <c:pt idx="10">
                  <c:v>吹田市</c:v>
                </c:pt>
                <c:pt idx="11">
                  <c:v>摂津市</c:v>
                </c:pt>
                <c:pt idx="12">
                  <c:v>千早赤阪村</c:v>
                </c:pt>
                <c:pt idx="13">
                  <c:v>藤井寺市</c:v>
                </c:pt>
                <c:pt idx="14">
                  <c:v>泉南市</c:v>
                </c:pt>
                <c:pt idx="15">
                  <c:v>羽曳野市</c:v>
                </c:pt>
                <c:pt idx="16">
                  <c:v>四條畷市</c:v>
                </c:pt>
                <c:pt idx="17">
                  <c:v>太子町</c:v>
                </c:pt>
                <c:pt idx="18">
                  <c:v>松原市</c:v>
                </c:pt>
                <c:pt idx="19">
                  <c:v>堺市</c:v>
                </c:pt>
                <c:pt idx="20">
                  <c:v>高石市</c:v>
                </c:pt>
                <c:pt idx="21">
                  <c:v>枚方市</c:v>
                </c:pt>
                <c:pt idx="22">
                  <c:v>豊中市</c:v>
                </c:pt>
                <c:pt idx="23">
                  <c:v>高槻市</c:v>
                </c:pt>
                <c:pt idx="24">
                  <c:v>柏原市</c:v>
                </c:pt>
                <c:pt idx="25">
                  <c:v>八尾市</c:v>
                </c:pt>
                <c:pt idx="26">
                  <c:v>豊能町</c:v>
                </c:pt>
                <c:pt idx="27">
                  <c:v>大東市</c:v>
                </c:pt>
                <c:pt idx="28">
                  <c:v>富田林市</c:v>
                </c:pt>
                <c:pt idx="29">
                  <c:v>田尻町</c:v>
                </c:pt>
                <c:pt idx="30">
                  <c:v>河内長野市</c:v>
                </c:pt>
                <c:pt idx="31">
                  <c:v>大阪市</c:v>
                </c:pt>
                <c:pt idx="32">
                  <c:v>忠岡町</c:v>
                </c:pt>
                <c:pt idx="33">
                  <c:v>和泉市</c:v>
                </c:pt>
                <c:pt idx="34">
                  <c:v>大阪狭山市</c:v>
                </c:pt>
                <c:pt idx="35">
                  <c:v>交野市</c:v>
                </c:pt>
                <c:pt idx="36">
                  <c:v>寝屋川市</c:v>
                </c:pt>
                <c:pt idx="37">
                  <c:v>阪南市</c:v>
                </c:pt>
                <c:pt idx="38">
                  <c:v>泉佐野市</c:v>
                </c:pt>
                <c:pt idx="39">
                  <c:v>箕面市</c:v>
                </c:pt>
                <c:pt idx="40">
                  <c:v>茨木市</c:v>
                </c:pt>
                <c:pt idx="41">
                  <c:v>岸和田市</c:v>
                </c:pt>
                <c:pt idx="42">
                  <c:v>東大</c:v>
                </c:pt>
              </c:strCache>
            </c:strRef>
          </c:cat>
          <c:val>
            <c:numRef>
              <c:f>[2]胃がん要精検率ランキング!$J$2:$J$44</c:f>
              <c:numCache>
                <c:formatCode>General</c:formatCode>
                <c:ptCount val="43"/>
                <c:pt idx="0">
                  <c:v>7.6</c:v>
                </c:pt>
                <c:pt idx="1">
                  <c:v>7.6</c:v>
                </c:pt>
                <c:pt idx="2">
                  <c:v>7.6</c:v>
                </c:pt>
                <c:pt idx="3">
                  <c:v>7.6</c:v>
                </c:pt>
                <c:pt idx="4">
                  <c:v>7.6</c:v>
                </c:pt>
                <c:pt idx="5">
                  <c:v>7.6</c:v>
                </c:pt>
                <c:pt idx="6">
                  <c:v>7.6</c:v>
                </c:pt>
                <c:pt idx="7">
                  <c:v>7.6</c:v>
                </c:pt>
                <c:pt idx="8">
                  <c:v>7.6</c:v>
                </c:pt>
                <c:pt idx="9">
                  <c:v>7.6</c:v>
                </c:pt>
                <c:pt idx="10">
                  <c:v>7.6</c:v>
                </c:pt>
                <c:pt idx="11">
                  <c:v>7.6</c:v>
                </c:pt>
                <c:pt idx="12">
                  <c:v>7.6</c:v>
                </c:pt>
                <c:pt idx="13">
                  <c:v>7.6</c:v>
                </c:pt>
                <c:pt idx="14">
                  <c:v>7.6</c:v>
                </c:pt>
                <c:pt idx="15">
                  <c:v>7.6</c:v>
                </c:pt>
                <c:pt idx="16">
                  <c:v>7.6</c:v>
                </c:pt>
                <c:pt idx="17">
                  <c:v>7.6</c:v>
                </c:pt>
                <c:pt idx="18">
                  <c:v>7.6</c:v>
                </c:pt>
                <c:pt idx="19">
                  <c:v>7.6</c:v>
                </c:pt>
                <c:pt idx="20">
                  <c:v>7.6</c:v>
                </c:pt>
                <c:pt idx="21">
                  <c:v>7.6</c:v>
                </c:pt>
                <c:pt idx="22">
                  <c:v>7.6</c:v>
                </c:pt>
                <c:pt idx="23">
                  <c:v>7.6</c:v>
                </c:pt>
                <c:pt idx="24">
                  <c:v>7.6</c:v>
                </c:pt>
                <c:pt idx="25">
                  <c:v>7.6</c:v>
                </c:pt>
                <c:pt idx="26">
                  <c:v>7.6</c:v>
                </c:pt>
                <c:pt idx="27">
                  <c:v>7.6</c:v>
                </c:pt>
                <c:pt idx="28">
                  <c:v>7.6</c:v>
                </c:pt>
                <c:pt idx="29">
                  <c:v>7.6</c:v>
                </c:pt>
                <c:pt idx="30">
                  <c:v>7.6</c:v>
                </c:pt>
                <c:pt idx="31">
                  <c:v>7.6</c:v>
                </c:pt>
                <c:pt idx="32">
                  <c:v>7.6</c:v>
                </c:pt>
                <c:pt idx="33">
                  <c:v>7.6</c:v>
                </c:pt>
                <c:pt idx="34">
                  <c:v>7.6</c:v>
                </c:pt>
                <c:pt idx="35">
                  <c:v>7.6</c:v>
                </c:pt>
                <c:pt idx="36">
                  <c:v>7.6</c:v>
                </c:pt>
                <c:pt idx="37">
                  <c:v>7.6</c:v>
                </c:pt>
                <c:pt idx="38">
                  <c:v>7.6</c:v>
                </c:pt>
                <c:pt idx="39">
                  <c:v>7.6</c:v>
                </c:pt>
                <c:pt idx="40">
                  <c:v>7.6</c:v>
                </c:pt>
                <c:pt idx="41">
                  <c:v>7.6</c:v>
                </c:pt>
                <c:pt idx="42">
                  <c:v>7.6</c:v>
                </c:pt>
              </c:numCache>
            </c:numRef>
          </c:val>
          <c:smooth val="1"/>
          <c:extLst>
            <c:ext xmlns:c16="http://schemas.microsoft.com/office/drawing/2014/chart" uri="{C3380CC4-5D6E-409C-BE32-E72D297353CC}">
              <c16:uniqueId val="{00000002-6581-4E63-A653-F7FF9F75CD33}"/>
            </c:ext>
          </c:extLst>
        </c:ser>
        <c:dLbls>
          <c:showLegendKey val="0"/>
          <c:showVal val="0"/>
          <c:showCatName val="0"/>
          <c:showSerName val="0"/>
          <c:showPercent val="0"/>
          <c:showBubbleSize val="0"/>
        </c:dLbls>
        <c:marker val="1"/>
        <c:smooth val="0"/>
        <c:axId val="240008248"/>
        <c:axId val="775743704"/>
      </c:lineChart>
      <c:catAx>
        <c:axId val="240008248"/>
        <c:scaling>
          <c:orientation val="minMax"/>
        </c:scaling>
        <c:delete val="0"/>
        <c:axPos val="b"/>
        <c:numFmt formatCode="General" sourceLinked="0"/>
        <c:majorTickMark val="out"/>
        <c:minorTickMark val="none"/>
        <c:tickLblPos val="nextTo"/>
        <c:txPr>
          <a:bodyPr rot="0" vert="eaVert"/>
          <a:lstStyle/>
          <a:p>
            <a:pPr>
              <a:defRPr sz="700"/>
            </a:pPr>
            <a:endParaRPr lang="ja-JP"/>
          </a:p>
        </c:txPr>
        <c:crossAx val="775743704"/>
        <c:crosses val="autoZero"/>
        <c:auto val="1"/>
        <c:lblAlgn val="ctr"/>
        <c:lblOffset val="100"/>
        <c:noMultiLvlLbl val="0"/>
      </c:catAx>
      <c:valAx>
        <c:axId val="775743704"/>
        <c:scaling>
          <c:orientation val="minMax"/>
          <c:max val="12"/>
          <c:min val="0"/>
        </c:scaling>
        <c:delete val="0"/>
        <c:axPos val="l"/>
        <c:numFmt formatCode="#,##0.0_ " sourceLinked="0"/>
        <c:majorTickMark val="out"/>
        <c:minorTickMark val="none"/>
        <c:tickLblPos val="nextTo"/>
        <c:crossAx val="240008248"/>
        <c:crosses val="autoZero"/>
        <c:crossBetween val="between"/>
        <c:majorUnit val="2"/>
      </c:valAx>
      <c:spPr>
        <a:solidFill>
          <a:sysClr val="window" lastClr="FFFFFF">
            <a:lumMod val="85000"/>
          </a:sysClr>
        </a:solidFill>
        <a:ln>
          <a:solidFill>
            <a:schemeClr val="tx1"/>
          </a:solidFill>
        </a:ln>
      </c:spPr>
    </c:plotArea>
    <c:plotVisOnly val="1"/>
    <c:dispBlanksAs val="gap"/>
    <c:showDLblsOverMax val="0"/>
  </c:chart>
  <c:spPr>
    <a:ln>
      <a:solidFill>
        <a:sysClr val="windowText" lastClr="000000"/>
      </a:solid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ja-JP" altLang="en-US" sz="1100"/>
              <a:t>精検受診率（％）</a:t>
            </a:r>
          </a:p>
        </c:rich>
      </c:tx>
      <c:overlay val="1"/>
    </c:title>
    <c:autoTitleDeleted val="0"/>
    <c:plotArea>
      <c:layout>
        <c:manualLayout>
          <c:layoutTarget val="inner"/>
          <c:xMode val="edge"/>
          <c:yMode val="edge"/>
          <c:x val="5.2547457594015384E-2"/>
          <c:y val="0.14291570402257991"/>
          <c:w val="0.90462429316016835"/>
          <c:h val="0.63015886748346939"/>
        </c:manualLayout>
      </c:layout>
      <c:barChart>
        <c:barDir val="col"/>
        <c:grouping val="clustered"/>
        <c:varyColors val="0"/>
        <c:ser>
          <c:idx val="0"/>
          <c:order val="0"/>
          <c:spPr>
            <a:gradFill>
              <a:gsLst>
                <a:gs pos="0">
                  <a:srgbClr val="5E9EFF"/>
                </a:gs>
                <a:gs pos="39999">
                  <a:srgbClr val="85C2FF"/>
                </a:gs>
                <a:gs pos="70000">
                  <a:srgbClr val="C4D6EB"/>
                </a:gs>
                <a:gs pos="100000">
                  <a:srgbClr val="FFEBFA"/>
                </a:gs>
              </a:gsLst>
              <a:lin ang="5400000" scaled="0"/>
            </a:gradFill>
            <a:ln w="12700">
              <a:solidFill>
                <a:sysClr val="windowText" lastClr="000000"/>
              </a:solidFill>
            </a:ln>
          </c:spPr>
          <c:invertIfNegative val="0"/>
          <c:cat>
            <c:strRef>
              <c:f>[3]胃がん精検受診率ランキング!$H$2:$H$44</c:f>
              <c:strCache>
                <c:ptCount val="43"/>
                <c:pt idx="0">
                  <c:v>豊能町</c:v>
                </c:pt>
                <c:pt idx="1">
                  <c:v>千早赤阪村</c:v>
                </c:pt>
                <c:pt idx="2">
                  <c:v>阪南市</c:v>
                </c:pt>
                <c:pt idx="3">
                  <c:v>岬町</c:v>
                </c:pt>
                <c:pt idx="4">
                  <c:v>熊取町</c:v>
                </c:pt>
                <c:pt idx="5">
                  <c:v>貝塚市</c:v>
                </c:pt>
                <c:pt idx="6">
                  <c:v>能勢町</c:v>
                </c:pt>
                <c:pt idx="7">
                  <c:v>柏原市</c:v>
                </c:pt>
                <c:pt idx="8">
                  <c:v>四條畷市</c:v>
                </c:pt>
                <c:pt idx="9">
                  <c:v>高石市</c:v>
                </c:pt>
                <c:pt idx="10">
                  <c:v>泉佐野市</c:v>
                </c:pt>
                <c:pt idx="11">
                  <c:v>河内長野市</c:v>
                </c:pt>
                <c:pt idx="12">
                  <c:v>八尾市</c:v>
                </c:pt>
                <c:pt idx="13">
                  <c:v>羽曳野市</c:v>
                </c:pt>
                <c:pt idx="14">
                  <c:v>門真市</c:v>
                </c:pt>
                <c:pt idx="15">
                  <c:v>摂津市</c:v>
                </c:pt>
                <c:pt idx="16">
                  <c:v>岸和田市</c:v>
                </c:pt>
                <c:pt idx="17">
                  <c:v>松原市</c:v>
                </c:pt>
                <c:pt idx="18">
                  <c:v>茨木市</c:v>
                </c:pt>
                <c:pt idx="19">
                  <c:v>藤井寺市</c:v>
                </c:pt>
                <c:pt idx="20">
                  <c:v>守口市</c:v>
                </c:pt>
                <c:pt idx="21">
                  <c:v>太子町</c:v>
                </c:pt>
                <c:pt idx="22">
                  <c:v>河南町</c:v>
                </c:pt>
                <c:pt idx="23">
                  <c:v>寝屋川市</c:v>
                </c:pt>
                <c:pt idx="24">
                  <c:v>泉大津市</c:v>
                </c:pt>
                <c:pt idx="25">
                  <c:v>吹田市</c:v>
                </c:pt>
                <c:pt idx="26">
                  <c:v>池田市</c:v>
                </c:pt>
                <c:pt idx="27">
                  <c:v>忠岡町</c:v>
                </c:pt>
                <c:pt idx="28">
                  <c:v>田尻町</c:v>
                </c:pt>
                <c:pt idx="29">
                  <c:v>和泉市</c:v>
                </c:pt>
                <c:pt idx="30">
                  <c:v>泉南市</c:v>
                </c:pt>
                <c:pt idx="31">
                  <c:v>枚方市</c:v>
                </c:pt>
                <c:pt idx="32">
                  <c:v>富田林市</c:v>
                </c:pt>
                <c:pt idx="33">
                  <c:v>交野市</c:v>
                </c:pt>
                <c:pt idx="34">
                  <c:v>大東市</c:v>
                </c:pt>
                <c:pt idx="35">
                  <c:v>高槻市</c:v>
                </c:pt>
                <c:pt idx="36">
                  <c:v>東大阪市</c:v>
                </c:pt>
                <c:pt idx="37">
                  <c:v>島本町</c:v>
                </c:pt>
                <c:pt idx="38">
                  <c:v>箕面市</c:v>
                </c:pt>
                <c:pt idx="39">
                  <c:v>堺市</c:v>
                </c:pt>
                <c:pt idx="40">
                  <c:v>大阪狭山市</c:v>
                </c:pt>
                <c:pt idx="41">
                  <c:v>豊中市</c:v>
                </c:pt>
                <c:pt idx="42">
                  <c:v>大阪市</c:v>
                </c:pt>
              </c:strCache>
            </c:strRef>
          </c:cat>
          <c:val>
            <c:numRef>
              <c:f>[3]胃がん精検受診率ランキング!$I$2:$I$44</c:f>
              <c:numCache>
                <c:formatCode>General</c:formatCode>
                <c:ptCount val="43"/>
                <c:pt idx="0">
                  <c:v>100</c:v>
                </c:pt>
                <c:pt idx="1">
                  <c:v>100</c:v>
                </c:pt>
                <c:pt idx="2">
                  <c:v>100</c:v>
                </c:pt>
                <c:pt idx="3">
                  <c:v>100</c:v>
                </c:pt>
                <c:pt idx="4">
                  <c:v>97.222222222222214</c:v>
                </c:pt>
                <c:pt idx="5">
                  <c:v>96.511627906976756</c:v>
                </c:pt>
                <c:pt idx="6">
                  <c:v>95.238095238095227</c:v>
                </c:pt>
                <c:pt idx="7">
                  <c:v>95.121951219512198</c:v>
                </c:pt>
                <c:pt idx="8">
                  <c:v>95</c:v>
                </c:pt>
                <c:pt idx="9">
                  <c:v>94.73684210526315</c:v>
                </c:pt>
                <c:pt idx="10">
                  <c:v>94.73684210526315</c:v>
                </c:pt>
                <c:pt idx="11">
                  <c:v>93.975903614457835</c:v>
                </c:pt>
                <c:pt idx="12">
                  <c:v>93.197278911564624</c:v>
                </c:pt>
                <c:pt idx="13">
                  <c:v>93.103448275862064</c:v>
                </c:pt>
                <c:pt idx="14">
                  <c:v>92.857142857142861</c:v>
                </c:pt>
                <c:pt idx="15">
                  <c:v>91.764705882352942</c:v>
                </c:pt>
                <c:pt idx="16">
                  <c:v>91.304347826086953</c:v>
                </c:pt>
                <c:pt idx="17">
                  <c:v>90.243902439024396</c:v>
                </c:pt>
                <c:pt idx="18">
                  <c:v>90</c:v>
                </c:pt>
                <c:pt idx="19">
                  <c:v>89.333333333333329</c:v>
                </c:pt>
                <c:pt idx="20">
                  <c:v>88.957055214723923</c:v>
                </c:pt>
                <c:pt idx="21">
                  <c:v>88.888888888888886</c:v>
                </c:pt>
                <c:pt idx="22">
                  <c:v>88.235294117647058</c:v>
                </c:pt>
                <c:pt idx="23">
                  <c:v>87.878787878787875</c:v>
                </c:pt>
                <c:pt idx="24">
                  <c:v>86.567164179104466</c:v>
                </c:pt>
                <c:pt idx="25">
                  <c:v>85.9375</c:v>
                </c:pt>
                <c:pt idx="26">
                  <c:v>85.714285714285708</c:v>
                </c:pt>
                <c:pt idx="27">
                  <c:v>85.714285714285708</c:v>
                </c:pt>
                <c:pt idx="28">
                  <c:v>85.714285714285708</c:v>
                </c:pt>
                <c:pt idx="29">
                  <c:v>84.615384615384613</c:v>
                </c:pt>
                <c:pt idx="30">
                  <c:v>83.870967741935488</c:v>
                </c:pt>
                <c:pt idx="31">
                  <c:v>83.78378378378379</c:v>
                </c:pt>
                <c:pt idx="32">
                  <c:v>83.018867924528308</c:v>
                </c:pt>
                <c:pt idx="33">
                  <c:v>82.926829268292678</c:v>
                </c:pt>
                <c:pt idx="34">
                  <c:v>82.926829268292678</c:v>
                </c:pt>
                <c:pt idx="35">
                  <c:v>82.191780821917803</c:v>
                </c:pt>
                <c:pt idx="36">
                  <c:v>79.629629629629633</c:v>
                </c:pt>
                <c:pt idx="37">
                  <c:v>78.571428571428569</c:v>
                </c:pt>
                <c:pt idx="38">
                  <c:v>75.757575757575751</c:v>
                </c:pt>
                <c:pt idx="39">
                  <c:v>73.770491803278688</c:v>
                </c:pt>
                <c:pt idx="40">
                  <c:v>69.230769230769226</c:v>
                </c:pt>
                <c:pt idx="41">
                  <c:v>65.909090909090907</c:v>
                </c:pt>
                <c:pt idx="42">
                  <c:v>63.843648208469048</c:v>
                </c:pt>
              </c:numCache>
            </c:numRef>
          </c:val>
          <c:extLst>
            <c:ext xmlns:c16="http://schemas.microsoft.com/office/drawing/2014/chart" uri="{C3380CC4-5D6E-409C-BE32-E72D297353CC}">
              <c16:uniqueId val="{00000000-98E9-4D22-A014-272A739D2741}"/>
            </c:ext>
          </c:extLst>
        </c:ser>
        <c:dLbls>
          <c:showLegendKey val="0"/>
          <c:showVal val="0"/>
          <c:showCatName val="0"/>
          <c:showSerName val="0"/>
          <c:showPercent val="0"/>
          <c:showBubbleSize val="0"/>
        </c:dLbls>
        <c:gapWidth val="150"/>
        <c:axId val="775744488"/>
        <c:axId val="775743312"/>
      </c:barChart>
      <c:lineChart>
        <c:grouping val="standard"/>
        <c:varyColors val="0"/>
        <c:ser>
          <c:idx val="1"/>
          <c:order val="1"/>
          <c:spPr>
            <a:ln w="19050">
              <a:solidFill>
                <a:sysClr val="windowText" lastClr="000000"/>
              </a:solidFill>
            </a:ln>
          </c:spPr>
          <c:marker>
            <c:symbol val="none"/>
          </c:marker>
          <c:cat>
            <c:strRef>
              <c:f>[3]胃がん精検受診率ランキング!$H$2:$H$44</c:f>
              <c:strCache>
                <c:ptCount val="43"/>
                <c:pt idx="0">
                  <c:v>豊能町</c:v>
                </c:pt>
                <c:pt idx="1">
                  <c:v>千早赤阪村</c:v>
                </c:pt>
                <c:pt idx="2">
                  <c:v>阪南市</c:v>
                </c:pt>
                <c:pt idx="3">
                  <c:v>岬町</c:v>
                </c:pt>
                <c:pt idx="4">
                  <c:v>熊取町</c:v>
                </c:pt>
                <c:pt idx="5">
                  <c:v>貝塚市</c:v>
                </c:pt>
                <c:pt idx="6">
                  <c:v>能勢町</c:v>
                </c:pt>
                <c:pt idx="7">
                  <c:v>柏原市</c:v>
                </c:pt>
                <c:pt idx="8">
                  <c:v>四條畷市</c:v>
                </c:pt>
                <c:pt idx="9">
                  <c:v>高石市</c:v>
                </c:pt>
                <c:pt idx="10">
                  <c:v>泉佐野市</c:v>
                </c:pt>
                <c:pt idx="11">
                  <c:v>河内長野市</c:v>
                </c:pt>
                <c:pt idx="12">
                  <c:v>八尾市</c:v>
                </c:pt>
                <c:pt idx="13">
                  <c:v>羽曳野市</c:v>
                </c:pt>
                <c:pt idx="14">
                  <c:v>門真市</c:v>
                </c:pt>
                <c:pt idx="15">
                  <c:v>摂津市</c:v>
                </c:pt>
                <c:pt idx="16">
                  <c:v>岸和田市</c:v>
                </c:pt>
                <c:pt idx="17">
                  <c:v>松原市</c:v>
                </c:pt>
                <c:pt idx="18">
                  <c:v>茨木市</c:v>
                </c:pt>
                <c:pt idx="19">
                  <c:v>藤井寺市</c:v>
                </c:pt>
                <c:pt idx="20">
                  <c:v>守口市</c:v>
                </c:pt>
                <c:pt idx="21">
                  <c:v>太子町</c:v>
                </c:pt>
                <c:pt idx="22">
                  <c:v>河南町</c:v>
                </c:pt>
                <c:pt idx="23">
                  <c:v>寝屋川市</c:v>
                </c:pt>
                <c:pt idx="24">
                  <c:v>泉大津市</c:v>
                </c:pt>
                <c:pt idx="25">
                  <c:v>吹田市</c:v>
                </c:pt>
                <c:pt idx="26">
                  <c:v>池田市</c:v>
                </c:pt>
                <c:pt idx="27">
                  <c:v>忠岡町</c:v>
                </c:pt>
                <c:pt idx="28">
                  <c:v>田尻町</c:v>
                </c:pt>
                <c:pt idx="29">
                  <c:v>和泉市</c:v>
                </c:pt>
                <c:pt idx="30">
                  <c:v>泉南市</c:v>
                </c:pt>
                <c:pt idx="31">
                  <c:v>枚方市</c:v>
                </c:pt>
                <c:pt idx="32">
                  <c:v>富田林市</c:v>
                </c:pt>
                <c:pt idx="33">
                  <c:v>交野市</c:v>
                </c:pt>
                <c:pt idx="34">
                  <c:v>大東市</c:v>
                </c:pt>
                <c:pt idx="35">
                  <c:v>高槻市</c:v>
                </c:pt>
                <c:pt idx="36">
                  <c:v>東大阪市</c:v>
                </c:pt>
                <c:pt idx="37">
                  <c:v>島本町</c:v>
                </c:pt>
                <c:pt idx="38">
                  <c:v>箕面市</c:v>
                </c:pt>
                <c:pt idx="39">
                  <c:v>堺市</c:v>
                </c:pt>
                <c:pt idx="40">
                  <c:v>大阪狭山市</c:v>
                </c:pt>
                <c:pt idx="41">
                  <c:v>豊中市</c:v>
                </c:pt>
                <c:pt idx="42">
                  <c:v>大阪市</c:v>
                </c:pt>
              </c:strCache>
            </c:strRef>
          </c:cat>
          <c:val>
            <c:numRef>
              <c:f>[3]胃がん精検受診率ランキング!$J$2:$J$44</c:f>
              <c:numCache>
                <c:formatCode>General</c:formatCode>
                <c:ptCount val="43"/>
                <c:pt idx="0">
                  <c:v>84.7</c:v>
                </c:pt>
                <c:pt idx="1">
                  <c:v>84.7</c:v>
                </c:pt>
                <c:pt idx="2">
                  <c:v>84.7</c:v>
                </c:pt>
                <c:pt idx="3">
                  <c:v>84.7</c:v>
                </c:pt>
                <c:pt idx="4">
                  <c:v>84.7</c:v>
                </c:pt>
                <c:pt idx="5">
                  <c:v>84.7</c:v>
                </c:pt>
                <c:pt idx="6">
                  <c:v>84.7</c:v>
                </c:pt>
                <c:pt idx="7">
                  <c:v>84.7</c:v>
                </c:pt>
                <c:pt idx="8">
                  <c:v>84.7</c:v>
                </c:pt>
                <c:pt idx="9">
                  <c:v>84.7</c:v>
                </c:pt>
                <c:pt idx="10">
                  <c:v>84.7</c:v>
                </c:pt>
                <c:pt idx="11">
                  <c:v>84.7</c:v>
                </c:pt>
                <c:pt idx="12">
                  <c:v>84.7</c:v>
                </c:pt>
                <c:pt idx="13">
                  <c:v>84.7</c:v>
                </c:pt>
                <c:pt idx="14">
                  <c:v>84.7</c:v>
                </c:pt>
                <c:pt idx="15">
                  <c:v>84.7</c:v>
                </c:pt>
                <c:pt idx="16">
                  <c:v>84.7</c:v>
                </c:pt>
                <c:pt idx="17">
                  <c:v>84.7</c:v>
                </c:pt>
                <c:pt idx="18">
                  <c:v>84.7</c:v>
                </c:pt>
                <c:pt idx="19">
                  <c:v>84.7</c:v>
                </c:pt>
                <c:pt idx="20">
                  <c:v>84.7</c:v>
                </c:pt>
                <c:pt idx="21">
                  <c:v>84.7</c:v>
                </c:pt>
                <c:pt idx="22">
                  <c:v>84.7</c:v>
                </c:pt>
                <c:pt idx="23">
                  <c:v>84.7</c:v>
                </c:pt>
                <c:pt idx="24">
                  <c:v>84.7</c:v>
                </c:pt>
                <c:pt idx="25">
                  <c:v>84.7</c:v>
                </c:pt>
                <c:pt idx="26">
                  <c:v>84.7</c:v>
                </c:pt>
                <c:pt idx="27">
                  <c:v>84.7</c:v>
                </c:pt>
                <c:pt idx="28">
                  <c:v>84.7</c:v>
                </c:pt>
                <c:pt idx="29">
                  <c:v>84.7</c:v>
                </c:pt>
                <c:pt idx="30">
                  <c:v>84.7</c:v>
                </c:pt>
                <c:pt idx="31">
                  <c:v>84.7</c:v>
                </c:pt>
                <c:pt idx="32">
                  <c:v>84.7</c:v>
                </c:pt>
                <c:pt idx="33">
                  <c:v>84.7</c:v>
                </c:pt>
                <c:pt idx="34">
                  <c:v>84.7</c:v>
                </c:pt>
                <c:pt idx="35">
                  <c:v>84.7</c:v>
                </c:pt>
                <c:pt idx="36">
                  <c:v>84.7</c:v>
                </c:pt>
                <c:pt idx="37">
                  <c:v>84.7</c:v>
                </c:pt>
                <c:pt idx="38">
                  <c:v>84.7</c:v>
                </c:pt>
                <c:pt idx="39">
                  <c:v>84.7</c:v>
                </c:pt>
                <c:pt idx="40">
                  <c:v>84.7</c:v>
                </c:pt>
                <c:pt idx="41">
                  <c:v>84.7</c:v>
                </c:pt>
                <c:pt idx="42">
                  <c:v>84.7</c:v>
                </c:pt>
              </c:numCache>
            </c:numRef>
          </c:val>
          <c:smooth val="0"/>
          <c:extLst>
            <c:ext xmlns:c16="http://schemas.microsoft.com/office/drawing/2014/chart" uri="{C3380CC4-5D6E-409C-BE32-E72D297353CC}">
              <c16:uniqueId val="{00000001-98E9-4D22-A014-272A739D2741}"/>
            </c:ext>
          </c:extLst>
        </c:ser>
        <c:ser>
          <c:idx val="2"/>
          <c:order val="2"/>
          <c:spPr>
            <a:ln w="22225" cmpd="thinThick">
              <a:prstDash val="sysDot"/>
              <a:round/>
            </a:ln>
          </c:spPr>
          <c:marker>
            <c:symbol val="none"/>
          </c:marker>
          <c:cat>
            <c:strRef>
              <c:f>[3]胃がん精検受診率ランキング!$H$2:$H$44</c:f>
              <c:strCache>
                <c:ptCount val="43"/>
                <c:pt idx="0">
                  <c:v>豊能町</c:v>
                </c:pt>
                <c:pt idx="1">
                  <c:v>千早赤阪村</c:v>
                </c:pt>
                <c:pt idx="2">
                  <c:v>阪南市</c:v>
                </c:pt>
                <c:pt idx="3">
                  <c:v>岬町</c:v>
                </c:pt>
                <c:pt idx="4">
                  <c:v>熊取町</c:v>
                </c:pt>
                <c:pt idx="5">
                  <c:v>貝塚市</c:v>
                </c:pt>
                <c:pt idx="6">
                  <c:v>能勢町</c:v>
                </c:pt>
                <c:pt idx="7">
                  <c:v>柏原市</c:v>
                </c:pt>
                <c:pt idx="8">
                  <c:v>四條畷市</c:v>
                </c:pt>
                <c:pt idx="9">
                  <c:v>高石市</c:v>
                </c:pt>
                <c:pt idx="10">
                  <c:v>泉佐野市</c:v>
                </c:pt>
                <c:pt idx="11">
                  <c:v>河内長野市</c:v>
                </c:pt>
                <c:pt idx="12">
                  <c:v>八尾市</c:v>
                </c:pt>
                <c:pt idx="13">
                  <c:v>羽曳野市</c:v>
                </c:pt>
                <c:pt idx="14">
                  <c:v>門真市</c:v>
                </c:pt>
                <c:pt idx="15">
                  <c:v>摂津市</c:v>
                </c:pt>
                <c:pt idx="16">
                  <c:v>岸和田市</c:v>
                </c:pt>
                <c:pt idx="17">
                  <c:v>松原市</c:v>
                </c:pt>
                <c:pt idx="18">
                  <c:v>茨木市</c:v>
                </c:pt>
                <c:pt idx="19">
                  <c:v>藤井寺市</c:v>
                </c:pt>
                <c:pt idx="20">
                  <c:v>守口市</c:v>
                </c:pt>
                <c:pt idx="21">
                  <c:v>太子町</c:v>
                </c:pt>
                <c:pt idx="22">
                  <c:v>河南町</c:v>
                </c:pt>
                <c:pt idx="23">
                  <c:v>寝屋川市</c:v>
                </c:pt>
                <c:pt idx="24">
                  <c:v>泉大津市</c:v>
                </c:pt>
                <c:pt idx="25">
                  <c:v>吹田市</c:v>
                </c:pt>
                <c:pt idx="26">
                  <c:v>池田市</c:v>
                </c:pt>
                <c:pt idx="27">
                  <c:v>忠岡町</c:v>
                </c:pt>
                <c:pt idx="28">
                  <c:v>田尻町</c:v>
                </c:pt>
                <c:pt idx="29">
                  <c:v>和泉市</c:v>
                </c:pt>
                <c:pt idx="30">
                  <c:v>泉南市</c:v>
                </c:pt>
                <c:pt idx="31">
                  <c:v>枚方市</c:v>
                </c:pt>
                <c:pt idx="32">
                  <c:v>富田林市</c:v>
                </c:pt>
                <c:pt idx="33">
                  <c:v>交野市</c:v>
                </c:pt>
                <c:pt idx="34">
                  <c:v>大東市</c:v>
                </c:pt>
                <c:pt idx="35">
                  <c:v>高槻市</c:v>
                </c:pt>
                <c:pt idx="36">
                  <c:v>東大阪市</c:v>
                </c:pt>
                <c:pt idx="37">
                  <c:v>島本町</c:v>
                </c:pt>
                <c:pt idx="38">
                  <c:v>箕面市</c:v>
                </c:pt>
                <c:pt idx="39">
                  <c:v>堺市</c:v>
                </c:pt>
                <c:pt idx="40">
                  <c:v>大阪狭山市</c:v>
                </c:pt>
                <c:pt idx="41">
                  <c:v>豊中市</c:v>
                </c:pt>
                <c:pt idx="42">
                  <c:v>大阪市</c:v>
                </c:pt>
              </c:strCache>
            </c:strRef>
          </c:cat>
          <c:val>
            <c:numRef>
              <c:f>[3]胃がん精検受診率ランキング!$K$2:$K$44</c:f>
              <c:numCache>
                <c:formatCode>General</c:formatCode>
                <c:ptCount val="43"/>
                <c:pt idx="0">
                  <c:v>90</c:v>
                </c:pt>
                <c:pt idx="1">
                  <c:v>90</c:v>
                </c:pt>
                <c:pt idx="2">
                  <c:v>90</c:v>
                </c:pt>
                <c:pt idx="3">
                  <c:v>90</c:v>
                </c:pt>
                <c:pt idx="4">
                  <c:v>90</c:v>
                </c:pt>
                <c:pt idx="5">
                  <c:v>90</c:v>
                </c:pt>
                <c:pt idx="6">
                  <c:v>90</c:v>
                </c:pt>
                <c:pt idx="7">
                  <c:v>90</c:v>
                </c:pt>
                <c:pt idx="8">
                  <c:v>90</c:v>
                </c:pt>
                <c:pt idx="9">
                  <c:v>90</c:v>
                </c:pt>
                <c:pt idx="10">
                  <c:v>90</c:v>
                </c:pt>
                <c:pt idx="11">
                  <c:v>90</c:v>
                </c:pt>
                <c:pt idx="12">
                  <c:v>90</c:v>
                </c:pt>
                <c:pt idx="13">
                  <c:v>90</c:v>
                </c:pt>
                <c:pt idx="14">
                  <c:v>90</c:v>
                </c:pt>
                <c:pt idx="15">
                  <c:v>90</c:v>
                </c:pt>
                <c:pt idx="16">
                  <c:v>90</c:v>
                </c:pt>
                <c:pt idx="17">
                  <c:v>90</c:v>
                </c:pt>
                <c:pt idx="18">
                  <c:v>90</c:v>
                </c:pt>
                <c:pt idx="19">
                  <c:v>90</c:v>
                </c:pt>
                <c:pt idx="20">
                  <c:v>90</c:v>
                </c:pt>
                <c:pt idx="21">
                  <c:v>90</c:v>
                </c:pt>
                <c:pt idx="22">
                  <c:v>90</c:v>
                </c:pt>
                <c:pt idx="23">
                  <c:v>90</c:v>
                </c:pt>
                <c:pt idx="24">
                  <c:v>90</c:v>
                </c:pt>
                <c:pt idx="25">
                  <c:v>90</c:v>
                </c:pt>
                <c:pt idx="26">
                  <c:v>90</c:v>
                </c:pt>
                <c:pt idx="27">
                  <c:v>90</c:v>
                </c:pt>
                <c:pt idx="28">
                  <c:v>90</c:v>
                </c:pt>
                <c:pt idx="29">
                  <c:v>90</c:v>
                </c:pt>
                <c:pt idx="30">
                  <c:v>90</c:v>
                </c:pt>
                <c:pt idx="31">
                  <c:v>90</c:v>
                </c:pt>
                <c:pt idx="32">
                  <c:v>90</c:v>
                </c:pt>
                <c:pt idx="33">
                  <c:v>90</c:v>
                </c:pt>
                <c:pt idx="34">
                  <c:v>90</c:v>
                </c:pt>
                <c:pt idx="35">
                  <c:v>90</c:v>
                </c:pt>
                <c:pt idx="36">
                  <c:v>90</c:v>
                </c:pt>
                <c:pt idx="37">
                  <c:v>90</c:v>
                </c:pt>
                <c:pt idx="38">
                  <c:v>90</c:v>
                </c:pt>
                <c:pt idx="39">
                  <c:v>90</c:v>
                </c:pt>
                <c:pt idx="40">
                  <c:v>90</c:v>
                </c:pt>
                <c:pt idx="41">
                  <c:v>90</c:v>
                </c:pt>
                <c:pt idx="42">
                  <c:v>90</c:v>
                </c:pt>
              </c:numCache>
            </c:numRef>
          </c:val>
          <c:smooth val="1"/>
          <c:extLst>
            <c:ext xmlns:c16="http://schemas.microsoft.com/office/drawing/2014/chart" uri="{C3380CC4-5D6E-409C-BE32-E72D297353CC}">
              <c16:uniqueId val="{00000002-98E9-4D22-A014-272A739D2741}"/>
            </c:ext>
          </c:extLst>
        </c:ser>
        <c:dLbls>
          <c:showLegendKey val="0"/>
          <c:showVal val="0"/>
          <c:showCatName val="0"/>
          <c:showSerName val="0"/>
          <c:showPercent val="0"/>
          <c:showBubbleSize val="0"/>
        </c:dLbls>
        <c:marker val="1"/>
        <c:smooth val="0"/>
        <c:axId val="775744488"/>
        <c:axId val="775743312"/>
      </c:lineChart>
      <c:catAx>
        <c:axId val="775744488"/>
        <c:scaling>
          <c:orientation val="minMax"/>
        </c:scaling>
        <c:delete val="0"/>
        <c:axPos val="b"/>
        <c:numFmt formatCode="General" sourceLinked="0"/>
        <c:majorTickMark val="out"/>
        <c:minorTickMark val="none"/>
        <c:tickLblPos val="nextTo"/>
        <c:txPr>
          <a:bodyPr rot="0" vert="eaVert"/>
          <a:lstStyle/>
          <a:p>
            <a:pPr>
              <a:defRPr sz="700"/>
            </a:pPr>
            <a:endParaRPr lang="ja-JP"/>
          </a:p>
        </c:txPr>
        <c:crossAx val="775743312"/>
        <c:crosses val="autoZero"/>
        <c:auto val="1"/>
        <c:lblAlgn val="ctr"/>
        <c:lblOffset val="100"/>
        <c:noMultiLvlLbl val="0"/>
      </c:catAx>
      <c:valAx>
        <c:axId val="775743312"/>
        <c:scaling>
          <c:orientation val="minMax"/>
          <c:max val="109"/>
          <c:min val="0"/>
        </c:scaling>
        <c:delete val="0"/>
        <c:axPos val="l"/>
        <c:numFmt formatCode="#,##0.0_ " sourceLinked="0"/>
        <c:majorTickMark val="out"/>
        <c:minorTickMark val="none"/>
        <c:tickLblPos val="nextTo"/>
        <c:crossAx val="775744488"/>
        <c:crosses val="autoZero"/>
        <c:crossBetween val="between"/>
      </c:valAx>
      <c:spPr>
        <a:solidFill>
          <a:sysClr val="window" lastClr="FFFFFF">
            <a:lumMod val="85000"/>
          </a:sysClr>
        </a:solidFill>
        <a:ln>
          <a:solidFill>
            <a:schemeClr val="tx1"/>
          </a:solidFill>
        </a:ln>
      </c:spPr>
    </c:plotArea>
    <c:plotVisOnly val="1"/>
    <c:dispBlanksAs val="gap"/>
    <c:showDLblsOverMax val="0"/>
  </c:chart>
  <c:spPr>
    <a:ln>
      <a:solidFill>
        <a:sysClr val="windowText" lastClr="000000"/>
      </a:solid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ja-JP" altLang="en-US" sz="1100"/>
              <a:t>がん発見率（％）</a:t>
            </a:r>
          </a:p>
        </c:rich>
      </c:tx>
      <c:overlay val="1"/>
    </c:title>
    <c:autoTitleDeleted val="0"/>
    <c:plotArea>
      <c:layout>
        <c:manualLayout>
          <c:layoutTarget val="inner"/>
          <c:xMode val="edge"/>
          <c:yMode val="edge"/>
          <c:x val="5.2547457594015384E-2"/>
          <c:y val="0.14291570402257991"/>
          <c:w val="0.90462429316016835"/>
          <c:h val="0.63015886748346939"/>
        </c:manualLayout>
      </c:layout>
      <c:barChart>
        <c:barDir val="col"/>
        <c:grouping val="clustered"/>
        <c:varyColors val="0"/>
        <c:ser>
          <c:idx val="0"/>
          <c:order val="0"/>
          <c:spPr>
            <a:gradFill>
              <a:gsLst>
                <a:gs pos="0">
                  <a:srgbClr val="5E9EFF"/>
                </a:gs>
                <a:gs pos="39999">
                  <a:srgbClr val="85C2FF"/>
                </a:gs>
                <a:gs pos="70000">
                  <a:srgbClr val="C4D6EB"/>
                </a:gs>
                <a:gs pos="100000">
                  <a:srgbClr val="FFEBFA"/>
                </a:gs>
              </a:gsLst>
              <a:lin ang="5400000" scaled="0"/>
            </a:gradFill>
            <a:ln w="12700">
              <a:solidFill>
                <a:sysClr val="windowText" lastClr="000000"/>
              </a:solidFill>
            </a:ln>
          </c:spPr>
          <c:invertIfNegative val="0"/>
          <c:cat>
            <c:strRef>
              <c:f>[2]胃がん発見率ランキング!$G$2:$G$44</c:f>
              <c:strCache>
                <c:ptCount val="43"/>
                <c:pt idx="0">
                  <c:v>岬町</c:v>
                </c:pt>
                <c:pt idx="1">
                  <c:v>忠岡町</c:v>
                </c:pt>
                <c:pt idx="2">
                  <c:v>能勢町</c:v>
                </c:pt>
                <c:pt idx="3">
                  <c:v>松原市</c:v>
                </c:pt>
                <c:pt idx="4">
                  <c:v>貝塚市</c:v>
                </c:pt>
                <c:pt idx="5">
                  <c:v>八尾市</c:v>
                </c:pt>
                <c:pt idx="6">
                  <c:v>門真市</c:v>
                </c:pt>
                <c:pt idx="7">
                  <c:v>柏原市</c:v>
                </c:pt>
                <c:pt idx="8">
                  <c:v>河内長野市</c:v>
                </c:pt>
                <c:pt idx="9">
                  <c:v>熊取町</c:v>
                </c:pt>
                <c:pt idx="10">
                  <c:v>箕面市</c:v>
                </c:pt>
                <c:pt idx="11">
                  <c:v>東大阪市</c:v>
                </c:pt>
                <c:pt idx="12">
                  <c:v>吹田市</c:v>
                </c:pt>
                <c:pt idx="13">
                  <c:v>大東市</c:v>
                </c:pt>
                <c:pt idx="14">
                  <c:v>茨木市</c:v>
                </c:pt>
                <c:pt idx="15">
                  <c:v>泉大津市</c:v>
                </c:pt>
                <c:pt idx="16">
                  <c:v>枚方市</c:v>
                </c:pt>
                <c:pt idx="17">
                  <c:v>堺市</c:v>
                </c:pt>
                <c:pt idx="18">
                  <c:v>交野市</c:v>
                </c:pt>
                <c:pt idx="19">
                  <c:v>摂津市</c:v>
                </c:pt>
                <c:pt idx="20">
                  <c:v>羽曳野市</c:v>
                </c:pt>
                <c:pt idx="21">
                  <c:v>高槻市</c:v>
                </c:pt>
                <c:pt idx="22">
                  <c:v>守口市</c:v>
                </c:pt>
                <c:pt idx="23">
                  <c:v>大阪市</c:v>
                </c:pt>
                <c:pt idx="24">
                  <c:v>岸和田市</c:v>
                </c:pt>
                <c:pt idx="25">
                  <c:v>池田市</c:v>
                </c:pt>
                <c:pt idx="26">
                  <c:v>豊能町</c:v>
                </c:pt>
                <c:pt idx="27">
                  <c:v>豊中市</c:v>
                </c:pt>
                <c:pt idx="28">
                  <c:v>島本町</c:v>
                </c:pt>
                <c:pt idx="29">
                  <c:v>寝屋川市</c:v>
                </c:pt>
                <c:pt idx="30">
                  <c:v>四條畷市</c:v>
                </c:pt>
                <c:pt idx="31">
                  <c:v>藤井寺市</c:v>
                </c:pt>
                <c:pt idx="32">
                  <c:v>大阪狭山市</c:v>
                </c:pt>
                <c:pt idx="33">
                  <c:v>富田林市</c:v>
                </c:pt>
                <c:pt idx="34">
                  <c:v>太子町</c:v>
                </c:pt>
                <c:pt idx="35">
                  <c:v>河南町</c:v>
                </c:pt>
                <c:pt idx="36">
                  <c:v>千早赤阪村</c:v>
                </c:pt>
                <c:pt idx="37">
                  <c:v>和泉市</c:v>
                </c:pt>
                <c:pt idx="38">
                  <c:v>高石市</c:v>
                </c:pt>
                <c:pt idx="39">
                  <c:v>泉佐野市</c:v>
                </c:pt>
                <c:pt idx="40">
                  <c:v>田尻町</c:v>
                </c:pt>
                <c:pt idx="41">
                  <c:v>泉南市</c:v>
                </c:pt>
                <c:pt idx="42">
                  <c:v>阪南市</c:v>
                </c:pt>
              </c:strCache>
            </c:strRef>
          </c:cat>
          <c:val>
            <c:numRef>
              <c:f>[2]胃がん発見率ランキング!$H$2:$H$44</c:f>
              <c:numCache>
                <c:formatCode>General</c:formatCode>
                <c:ptCount val="43"/>
                <c:pt idx="0">
                  <c:v>0.83333333333333337</c:v>
                </c:pt>
                <c:pt idx="1">
                  <c:v>0.56818181818181823</c:v>
                </c:pt>
                <c:pt idx="2">
                  <c:v>0.40322580645161288</c:v>
                </c:pt>
                <c:pt idx="3">
                  <c:v>0.39588281868566899</c:v>
                </c:pt>
                <c:pt idx="4">
                  <c:v>0.36855036855036855</c:v>
                </c:pt>
                <c:pt idx="5">
                  <c:v>0.3236245954692557</c:v>
                </c:pt>
                <c:pt idx="6">
                  <c:v>0.2824858757062147</c:v>
                </c:pt>
                <c:pt idx="7">
                  <c:v>0.27359781121751026</c:v>
                </c:pt>
                <c:pt idx="8">
                  <c:v>0.27027027027027029</c:v>
                </c:pt>
                <c:pt idx="9">
                  <c:v>0.24630541871921183</c:v>
                </c:pt>
                <c:pt idx="10">
                  <c:v>0.1516070345664039</c:v>
                </c:pt>
                <c:pt idx="11">
                  <c:v>0.1497566454511419</c:v>
                </c:pt>
                <c:pt idx="12">
                  <c:v>0.12300123001230012</c:v>
                </c:pt>
                <c:pt idx="13">
                  <c:v>0.11876484560570072</c:v>
                </c:pt>
                <c:pt idx="14">
                  <c:v>0.11806375442739078</c:v>
                </c:pt>
                <c:pt idx="15">
                  <c:v>0.11778563015312131</c:v>
                </c:pt>
                <c:pt idx="16">
                  <c:v>0.11160714285714285</c:v>
                </c:pt>
                <c:pt idx="17">
                  <c:v>0.10460251046025104</c:v>
                </c:pt>
                <c:pt idx="18">
                  <c:v>9.3023255813953487E-2</c:v>
                </c:pt>
                <c:pt idx="19">
                  <c:v>9.2421441774491686E-2</c:v>
                </c:pt>
                <c:pt idx="20">
                  <c:v>7.8492935635792779E-2</c:v>
                </c:pt>
                <c:pt idx="21">
                  <c:v>7.8003120124804995E-2</c:v>
                </c:pt>
                <c:pt idx="22">
                  <c:v>7.0077084793272598E-2</c:v>
                </c:pt>
                <c:pt idx="23">
                  <c:v>5.2260256075254766E-2</c:v>
                </c:pt>
                <c:pt idx="24">
                  <c:v>4.96031746031746E-2</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numCache>
            </c:numRef>
          </c:val>
          <c:extLst>
            <c:ext xmlns:c16="http://schemas.microsoft.com/office/drawing/2014/chart" uri="{C3380CC4-5D6E-409C-BE32-E72D297353CC}">
              <c16:uniqueId val="{00000000-0EC6-4E5D-B0C0-A2B6C6531B58}"/>
            </c:ext>
          </c:extLst>
        </c:ser>
        <c:dLbls>
          <c:showLegendKey val="0"/>
          <c:showVal val="0"/>
          <c:showCatName val="0"/>
          <c:showSerName val="0"/>
          <c:showPercent val="0"/>
          <c:showBubbleSize val="0"/>
        </c:dLbls>
        <c:gapWidth val="150"/>
        <c:axId val="240977896"/>
        <c:axId val="240978680"/>
      </c:barChart>
      <c:lineChart>
        <c:grouping val="standard"/>
        <c:varyColors val="0"/>
        <c:ser>
          <c:idx val="1"/>
          <c:order val="1"/>
          <c:tx>
            <c:strRef>
              <c:f>'\\LS220DBBBD\share\大阪がん検診\◆精度管理\R５がん検診\冊子用\表・グラフ\Ｄ1～Ｄ5　単年度ランキング\[D1　R5胃がんグラフ　.xlsx]胃がん発見率ランキング'!$I$1</c:f>
              <c:strCache>
                <c:ptCount val="1"/>
                <c:pt idx="0">
                  <c:v>大阪府平均</c:v>
                </c:pt>
              </c:strCache>
            </c:strRef>
          </c:tx>
          <c:spPr>
            <a:ln w="19050">
              <a:solidFill>
                <a:sysClr val="windowText" lastClr="000000"/>
              </a:solidFill>
            </a:ln>
          </c:spPr>
          <c:marker>
            <c:symbol val="none"/>
          </c:marker>
          <c:val>
            <c:numRef>
              <c:f>[2]胃がん発見率ランキング!$I$2:$I$44</c:f>
              <c:numCache>
                <c:formatCode>General</c:formatCode>
                <c:ptCount val="43"/>
                <c:pt idx="0">
                  <c:v>0.12</c:v>
                </c:pt>
                <c:pt idx="1">
                  <c:v>0.12</c:v>
                </c:pt>
                <c:pt idx="2">
                  <c:v>0.12</c:v>
                </c:pt>
                <c:pt idx="3">
                  <c:v>0.12</c:v>
                </c:pt>
                <c:pt idx="4">
                  <c:v>0.12</c:v>
                </c:pt>
                <c:pt idx="5">
                  <c:v>0.12</c:v>
                </c:pt>
                <c:pt idx="6">
                  <c:v>0.12</c:v>
                </c:pt>
                <c:pt idx="7">
                  <c:v>0.12</c:v>
                </c:pt>
                <c:pt idx="8">
                  <c:v>0.12</c:v>
                </c:pt>
                <c:pt idx="9">
                  <c:v>0.12</c:v>
                </c:pt>
                <c:pt idx="10">
                  <c:v>0.12</c:v>
                </c:pt>
                <c:pt idx="11">
                  <c:v>0.12</c:v>
                </c:pt>
                <c:pt idx="12">
                  <c:v>0.12</c:v>
                </c:pt>
                <c:pt idx="13">
                  <c:v>0.12</c:v>
                </c:pt>
                <c:pt idx="14">
                  <c:v>0.12</c:v>
                </c:pt>
                <c:pt idx="15">
                  <c:v>0.12</c:v>
                </c:pt>
                <c:pt idx="16">
                  <c:v>0.12</c:v>
                </c:pt>
                <c:pt idx="17">
                  <c:v>0.12</c:v>
                </c:pt>
                <c:pt idx="18">
                  <c:v>0.12</c:v>
                </c:pt>
                <c:pt idx="19">
                  <c:v>0.12</c:v>
                </c:pt>
                <c:pt idx="20">
                  <c:v>0.12</c:v>
                </c:pt>
                <c:pt idx="21">
                  <c:v>0.12</c:v>
                </c:pt>
                <c:pt idx="22">
                  <c:v>0.12</c:v>
                </c:pt>
                <c:pt idx="23">
                  <c:v>0.12</c:v>
                </c:pt>
                <c:pt idx="24">
                  <c:v>0.12</c:v>
                </c:pt>
                <c:pt idx="25">
                  <c:v>0.12</c:v>
                </c:pt>
                <c:pt idx="26">
                  <c:v>0.12</c:v>
                </c:pt>
                <c:pt idx="27">
                  <c:v>0.12</c:v>
                </c:pt>
                <c:pt idx="28">
                  <c:v>0.12</c:v>
                </c:pt>
                <c:pt idx="29">
                  <c:v>0.12</c:v>
                </c:pt>
                <c:pt idx="30">
                  <c:v>0.12</c:v>
                </c:pt>
                <c:pt idx="31">
                  <c:v>0.12</c:v>
                </c:pt>
                <c:pt idx="32">
                  <c:v>0.12</c:v>
                </c:pt>
                <c:pt idx="33">
                  <c:v>0.12</c:v>
                </c:pt>
                <c:pt idx="34">
                  <c:v>0.12</c:v>
                </c:pt>
                <c:pt idx="35">
                  <c:v>0.12</c:v>
                </c:pt>
                <c:pt idx="36">
                  <c:v>0.12</c:v>
                </c:pt>
                <c:pt idx="37">
                  <c:v>0.12</c:v>
                </c:pt>
                <c:pt idx="38">
                  <c:v>0.12</c:v>
                </c:pt>
                <c:pt idx="39">
                  <c:v>0.12</c:v>
                </c:pt>
                <c:pt idx="40">
                  <c:v>0.12</c:v>
                </c:pt>
                <c:pt idx="41">
                  <c:v>0.12</c:v>
                </c:pt>
                <c:pt idx="42">
                  <c:v>0.12</c:v>
                </c:pt>
              </c:numCache>
            </c:numRef>
          </c:val>
          <c:smooth val="0"/>
          <c:extLst>
            <c:ext xmlns:c16="http://schemas.microsoft.com/office/drawing/2014/chart" uri="{C3380CC4-5D6E-409C-BE32-E72D297353CC}">
              <c16:uniqueId val="{00000001-0EC6-4E5D-B0C0-A2B6C6531B58}"/>
            </c:ext>
          </c:extLst>
        </c:ser>
        <c:ser>
          <c:idx val="2"/>
          <c:order val="2"/>
          <c:spPr>
            <a:ln w="22225" cmpd="thinThick">
              <a:prstDash val="sysDot"/>
              <a:round/>
            </a:ln>
          </c:spPr>
          <c:marker>
            <c:symbol val="none"/>
          </c:marker>
          <c:val>
            <c:numRef>
              <c:f>[2]胃がん発見率ランキング!$J$2:$J$44</c:f>
              <c:numCache>
                <c:formatCode>General</c:formatCode>
                <c:ptCount val="43"/>
                <c:pt idx="0">
                  <c:v>0.11</c:v>
                </c:pt>
                <c:pt idx="1">
                  <c:v>0.11</c:v>
                </c:pt>
                <c:pt idx="2">
                  <c:v>0.11</c:v>
                </c:pt>
                <c:pt idx="3">
                  <c:v>0.11</c:v>
                </c:pt>
                <c:pt idx="4">
                  <c:v>0.11</c:v>
                </c:pt>
                <c:pt idx="5">
                  <c:v>0.11</c:v>
                </c:pt>
                <c:pt idx="6">
                  <c:v>0.11</c:v>
                </c:pt>
                <c:pt idx="7">
                  <c:v>0.11</c:v>
                </c:pt>
                <c:pt idx="8">
                  <c:v>0.11</c:v>
                </c:pt>
                <c:pt idx="9">
                  <c:v>0.11</c:v>
                </c:pt>
                <c:pt idx="10">
                  <c:v>0.11</c:v>
                </c:pt>
                <c:pt idx="11">
                  <c:v>0.11</c:v>
                </c:pt>
                <c:pt idx="12">
                  <c:v>0.11</c:v>
                </c:pt>
                <c:pt idx="13">
                  <c:v>0.11</c:v>
                </c:pt>
                <c:pt idx="14">
                  <c:v>0.11</c:v>
                </c:pt>
                <c:pt idx="15">
                  <c:v>0.11</c:v>
                </c:pt>
                <c:pt idx="16">
                  <c:v>0.11</c:v>
                </c:pt>
                <c:pt idx="17">
                  <c:v>0.11</c:v>
                </c:pt>
                <c:pt idx="18">
                  <c:v>0.11</c:v>
                </c:pt>
                <c:pt idx="19">
                  <c:v>0.11</c:v>
                </c:pt>
                <c:pt idx="20">
                  <c:v>0.11</c:v>
                </c:pt>
                <c:pt idx="21">
                  <c:v>0.11</c:v>
                </c:pt>
                <c:pt idx="22">
                  <c:v>0.11</c:v>
                </c:pt>
                <c:pt idx="23">
                  <c:v>0.11</c:v>
                </c:pt>
                <c:pt idx="24">
                  <c:v>0.11</c:v>
                </c:pt>
                <c:pt idx="25">
                  <c:v>0.11</c:v>
                </c:pt>
                <c:pt idx="26">
                  <c:v>0.11</c:v>
                </c:pt>
                <c:pt idx="27">
                  <c:v>0.11</c:v>
                </c:pt>
                <c:pt idx="28">
                  <c:v>0.11</c:v>
                </c:pt>
                <c:pt idx="29">
                  <c:v>0.11</c:v>
                </c:pt>
                <c:pt idx="30">
                  <c:v>0.11</c:v>
                </c:pt>
                <c:pt idx="31">
                  <c:v>0.11</c:v>
                </c:pt>
                <c:pt idx="32">
                  <c:v>0.11</c:v>
                </c:pt>
                <c:pt idx="33">
                  <c:v>0.11</c:v>
                </c:pt>
                <c:pt idx="34">
                  <c:v>0.11</c:v>
                </c:pt>
                <c:pt idx="35">
                  <c:v>0.11</c:v>
                </c:pt>
                <c:pt idx="36">
                  <c:v>0.11</c:v>
                </c:pt>
                <c:pt idx="37">
                  <c:v>0.11</c:v>
                </c:pt>
                <c:pt idx="38">
                  <c:v>0.11</c:v>
                </c:pt>
                <c:pt idx="39">
                  <c:v>0.11</c:v>
                </c:pt>
                <c:pt idx="40">
                  <c:v>0.11</c:v>
                </c:pt>
                <c:pt idx="41">
                  <c:v>0.11</c:v>
                </c:pt>
                <c:pt idx="42">
                  <c:v>0.11</c:v>
                </c:pt>
              </c:numCache>
            </c:numRef>
          </c:val>
          <c:smooth val="1"/>
          <c:extLst>
            <c:ext xmlns:c16="http://schemas.microsoft.com/office/drawing/2014/chart" uri="{C3380CC4-5D6E-409C-BE32-E72D297353CC}">
              <c16:uniqueId val="{00000002-0EC6-4E5D-B0C0-A2B6C6531B58}"/>
            </c:ext>
          </c:extLst>
        </c:ser>
        <c:dLbls>
          <c:showLegendKey val="0"/>
          <c:showVal val="0"/>
          <c:showCatName val="0"/>
          <c:showSerName val="0"/>
          <c:showPercent val="0"/>
          <c:showBubbleSize val="0"/>
        </c:dLbls>
        <c:marker val="1"/>
        <c:smooth val="0"/>
        <c:axId val="240977896"/>
        <c:axId val="240978680"/>
      </c:lineChart>
      <c:catAx>
        <c:axId val="240977896"/>
        <c:scaling>
          <c:orientation val="minMax"/>
        </c:scaling>
        <c:delete val="0"/>
        <c:axPos val="b"/>
        <c:numFmt formatCode="General" sourceLinked="0"/>
        <c:majorTickMark val="out"/>
        <c:minorTickMark val="none"/>
        <c:tickLblPos val="nextTo"/>
        <c:txPr>
          <a:bodyPr rot="0" vert="eaVert"/>
          <a:lstStyle/>
          <a:p>
            <a:pPr>
              <a:defRPr sz="700"/>
            </a:pPr>
            <a:endParaRPr lang="ja-JP"/>
          </a:p>
        </c:txPr>
        <c:crossAx val="240978680"/>
        <c:crosses val="autoZero"/>
        <c:auto val="1"/>
        <c:lblAlgn val="ctr"/>
        <c:lblOffset val="100"/>
        <c:noMultiLvlLbl val="0"/>
      </c:catAx>
      <c:valAx>
        <c:axId val="240978680"/>
        <c:scaling>
          <c:orientation val="minMax"/>
          <c:max val="1"/>
          <c:min val="0"/>
        </c:scaling>
        <c:delete val="0"/>
        <c:axPos val="l"/>
        <c:numFmt formatCode="#,##0.00_ " sourceLinked="0"/>
        <c:majorTickMark val="out"/>
        <c:minorTickMark val="none"/>
        <c:tickLblPos val="nextTo"/>
        <c:crossAx val="240977896"/>
        <c:crosses val="autoZero"/>
        <c:crossBetween val="between"/>
        <c:majorUnit val="0.2"/>
      </c:valAx>
      <c:spPr>
        <a:solidFill>
          <a:sysClr val="window" lastClr="FFFFFF">
            <a:lumMod val="85000"/>
          </a:sysClr>
        </a:solidFill>
        <a:ln>
          <a:solidFill>
            <a:schemeClr val="tx1"/>
          </a:solidFill>
        </a:ln>
      </c:spPr>
    </c:plotArea>
    <c:plotVisOnly val="1"/>
    <c:dispBlanksAs val="gap"/>
    <c:showDLblsOverMax val="0"/>
  </c:chart>
  <c:spPr>
    <a:ln>
      <a:solidFill>
        <a:sysClr val="windowText" lastClr="000000"/>
      </a:solidFill>
    </a:ln>
  </c:sp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ja-JP" altLang="en-US" sz="1100"/>
              <a:t>陽性反応適中度（％）</a:t>
            </a:r>
          </a:p>
        </c:rich>
      </c:tx>
      <c:overlay val="1"/>
    </c:title>
    <c:autoTitleDeleted val="0"/>
    <c:plotArea>
      <c:layout>
        <c:manualLayout>
          <c:layoutTarget val="inner"/>
          <c:xMode val="edge"/>
          <c:yMode val="edge"/>
          <c:x val="5.2547457594015384E-2"/>
          <c:y val="0.14291570402257991"/>
          <c:w val="0.90462429316016835"/>
          <c:h val="0.63015886748346939"/>
        </c:manualLayout>
      </c:layout>
      <c:barChart>
        <c:barDir val="col"/>
        <c:grouping val="clustered"/>
        <c:varyColors val="0"/>
        <c:ser>
          <c:idx val="0"/>
          <c:order val="0"/>
          <c:spPr>
            <a:gradFill>
              <a:gsLst>
                <a:gs pos="0">
                  <a:srgbClr val="5E9EFF"/>
                </a:gs>
                <a:gs pos="39999">
                  <a:srgbClr val="85C2FF"/>
                </a:gs>
                <a:gs pos="70000">
                  <a:srgbClr val="C4D6EB"/>
                </a:gs>
                <a:gs pos="100000">
                  <a:srgbClr val="FFEBFA"/>
                </a:gs>
              </a:gsLst>
              <a:lin ang="5400000" scaled="0"/>
            </a:gradFill>
            <a:ln w="12700">
              <a:solidFill>
                <a:sysClr val="windowText" lastClr="000000"/>
              </a:solidFill>
            </a:ln>
          </c:spPr>
          <c:invertIfNegative val="0"/>
          <c:cat>
            <c:strRef>
              <c:f>[2]府HP陽性反応適中度!$G$2:$G$44</c:f>
              <c:strCache>
                <c:ptCount val="43"/>
                <c:pt idx="0">
                  <c:v>忠岡町</c:v>
                </c:pt>
                <c:pt idx="1">
                  <c:v>岬町</c:v>
                </c:pt>
                <c:pt idx="2">
                  <c:v>東大阪市</c:v>
                </c:pt>
                <c:pt idx="3">
                  <c:v>八尾市</c:v>
                </c:pt>
                <c:pt idx="4">
                  <c:v>松原市</c:v>
                </c:pt>
                <c:pt idx="5">
                  <c:v>河内長野市</c:v>
                </c:pt>
                <c:pt idx="6">
                  <c:v>箕面市</c:v>
                </c:pt>
                <c:pt idx="7">
                  <c:v>茨木市</c:v>
                </c:pt>
                <c:pt idx="8">
                  <c:v>柏原市</c:v>
                </c:pt>
                <c:pt idx="9">
                  <c:v>能勢町</c:v>
                </c:pt>
                <c:pt idx="10">
                  <c:v>門真市</c:v>
                </c:pt>
                <c:pt idx="11">
                  <c:v>貝塚市</c:v>
                </c:pt>
                <c:pt idx="12">
                  <c:v>熊取町</c:v>
                </c:pt>
                <c:pt idx="13">
                  <c:v>交野市</c:v>
                </c:pt>
                <c:pt idx="14">
                  <c:v>大東市</c:v>
                </c:pt>
                <c:pt idx="15">
                  <c:v>岸和田市</c:v>
                </c:pt>
                <c:pt idx="16">
                  <c:v>枚方市</c:v>
                </c:pt>
                <c:pt idx="17">
                  <c:v>堺市</c:v>
                </c:pt>
                <c:pt idx="18">
                  <c:v>吹田市</c:v>
                </c:pt>
                <c:pt idx="19">
                  <c:v>泉大津市</c:v>
                </c:pt>
                <c:pt idx="20">
                  <c:v>高槻市</c:v>
                </c:pt>
                <c:pt idx="21">
                  <c:v>大阪市</c:v>
                </c:pt>
                <c:pt idx="22">
                  <c:v>摂津市</c:v>
                </c:pt>
                <c:pt idx="23">
                  <c:v>羽曳野市</c:v>
                </c:pt>
                <c:pt idx="24">
                  <c:v>守口市</c:v>
                </c:pt>
                <c:pt idx="25">
                  <c:v>池田市</c:v>
                </c:pt>
                <c:pt idx="26">
                  <c:v>豊能町</c:v>
                </c:pt>
                <c:pt idx="27">
                  <c:v>豊中市</c:v>
                </c:pt>
                <c:pt idx="28">
                  <c:v>島本町</c:v>
                </c:pt>
                <c:pt idx="29">
                  <c:v>寝屋川市</c:v>
                </c:pt>
                <c:pt idx="30">
                  <c:v>四條畷市</c:v>
                </c:pt>
                <c:pt idx="31">
                  <c:v>藤井寺市</c:v>
                </c:pt>
                <c:pt idx="32">
                  <c:v>大阪狭山市</c:v>
                </c:pt>
                <c:pt idx="33">
                  <c:v>富田林市</c:v>
                </c:pt>
                <c:pt idx="34">
                  <c:v>太子町</c:v>
                </c:pt>
                <c:pt idx="35">
                  <c:v>河南町</c:v>
                </c:pt>
                <c:pt idx="36">
                  <c:v>千早赤阪村</c:v>
                </c:pt>
                <c:pt idx="37">
                  <c:v>和泉市</c:v>
                </c:pt>
                <c:pt idx="38">
                  <c:v>高石市</c:v>
                </c:pt>
                <c:pt idx="39">
                  <c:v>泉佐野市</c:v>
                </c:pt>
                <c:pt idx="40">
                  <c:v>田尻町</c:v>
                </c:pt>
                <c:pt idx="41">
                  <c:v>泉南市</c:v>
                </c:pt>
                <c:pt idx="42">
                  <c:v>阪南市</c:v>
                </c:pt>
              </c:strCache>
            </c:strRef>
          </c:cat>
          <c:val>
            <c:numRef>
              <c:f>[2]府HP陽性反応適中度!$H$2:$H$44</c:f>
              <c:numCache>
                <c:formatCode>General</c:formatCode>
                <c:ptCount val="43"/>
                <c:pt idx="0">
                  <c:v>14.285714285714285</c:v>
                </c:pt>
                <c:pt idx="1">
                  <c:v>7.6923076923076925</c:v>
                </c:pt>
                <c:pt idx="2">
                  <c:v>7.4074074074074066</c:v>
                </c:pt>
                <c:pt idx="3">
                  <c:v>6.1224489795918364</c:v>
                </c:pt>
                <c:pt idx="4">
                  <c:v>6.0975609756097562</c:v>
                </c:pt>
                <c:pt idx="5">
                  <c:v>6.024096385542169</c:v>
                </c:pt>
                <c:pt idx="6">
                  <c:v>5.0505050505050502</c:v>
                </c:pt>
                <c:pt idx="7">
                  <c:v>5</c:v>
                </c:pt>
                <c:pt idx="8">
                  <c:v>4.8780487804878048</c:v>
                </c:pt>
                <c:pt idx="9">
                  <c:v>4.7619047619047619</c:v>
                </c:pt>
                <c:pt idx="10">
                  <c:v>3.5714285714285712</c:v>
                </c:pt>
                <c:pt idx="11">
                  <c:v>3.4883720930232558</c:v>
                </c:pt>
                <c:pt idx="12">
                  <c:v>2.7777777777777777</c:v>
                </c:pt>
                <c:pt idx="13">
                  <c:v>2.4390243902439024</c:v>
                </c:pt>
                <c:pt idx="14">
                  <c:v>2.4390243902439024</c:v>
                </c:pt>
                <c:pt idx="15">
                  <c:v>2.1739130434782608</c:v>
                </c:pt>
                <c:pt idx="16">
                  <c:v>1.8018018018018018</c:v>
                </c:pt>
                <c:pt idx="17">
                  <c:v>1.639344262295082</c:v>
                </c:pt>
                <c:pt idx="18">
                  <c:v>1.5625</c:v>
                </c:pt>
                <c:pt idx="19">
                  <c:v>1.4925373134328357</c:v>
                </c:pt>
                <c:pt idx="20">
                  <c:v>1.3698630136986301</c:v>
                </c:pt>
                <c:pt idx="21">
                  <c:v>1.3029315960912053</c:v>
                </c:pt>
                <c:pt idx="22">
                  <c:v>1.1764705882352942</c:v>
                </c:pt>
                <c:pt idx="23">
                  <c:v>1.1494252873563218</c:v>
                </c:pt>
                <c:pt idx="24">
                  <c:v>0.61349693251533743</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numCache>
            </c:numRef>
          </c:val>
          <c:extLst>
            <c:ext xmlns:c16="http://schemas.microsoft.com/office/drawing/2014/chart" uri="{C3380CC4-5D6E-409C-BE32-E72D297353CC}">
              <c16:uniqueId val="{00000000-514D-4810-9A7D-FE7EEC04CFF2}"/>
            </c:ext>
          </c:extLst>
        </c:ser>
        <c:dLbls>
          <c:showLegendKey val="0"/>
          <c:showVal val="0"/>
          <c:showCatName val="0"/>
          <c:showSerName val="0"/>
          <c:showPercent val="0"/>
          <c:showBubbleSize val="0"/>
        </c:dLbls>
        <c:gapWidth val="150"/>
        <c:axId val="240896568"/>
        <c:axId val="240896960"/>
      </c:barChart>
      <c:lineChart>
        <c:grouping val="standard"/>
        <c:varyColors val="0"/>
        <c:ser>
          <c:idx val="1"/>
          <c:order val="1"/>
          <c:tx>
            <c:strRef>
              <c:f>'\\LS220DBBBD\share\大阪がん検診\◆精度管理\R５がん検診\冊子用\表・グラフ\Ｄ1～Ｄ5　単年度ランキング\[D1　R5胃がんグラフ　.xlsx]府HP陽性反応適中度'!$I$1</c:f>
              <c:strCache>
                <c:ptCount val="1"/>
                <c:pt idx="0">
                  <c:v>大阪府平均</c:v>
                </c:pt>
              </c:strCache>
            </c:strRef>
          </c:tx>
          <c:spPr>
            <a:ln w="19050">
              <a:solidFill>
                <a:sysClr val="windowText" lastClr="000000"/>
              </a:solidFill>
            </a:ln>
          </c:spPr>
          <c:marker>
            <c:symbol val="none"/>
          </c:marker>
          <c:val>
            <c:numRef>
              <c:f>[2]府HP陽性反応適中度!$I$2:$I$44</c:f>
              <c:numCache>
                <c:formatCode>General</c:formatCode>
                <c:ptCount val="43"/>
                <c:pt idx="0">
                  <c:v>2.46</c:v>
                </c:pt>
                <c:pt idx="1">
                  <c:v>2.46</c:v>
                </c:pt>
                <c:pt idx="2">
                  <c:v>2.46</c:v>
                </c:pt>
                <c:pt idx="3">
                  <c:v>2.46</c:v>
                </c:pt>
                <c:pt idx="4">
                  <c:v>2.46</c:v>
                </c:pt>
                <c:pt idx="5">
                  <c:v>2.46</c:v>
                </c:pt>
                <c:pt idx="6">
                  <c:v>2.46</c:v>
                </c:pt>
                <c:pt idx="7">
                  <c:v>2.46</c:v>
                </c:pt>
                <c:pt idx="8">
                  <c:v>2.46</c:v>
                </c:pt>
                <c:pt idx="9">
                  <c:v>2.46</c:v>
                </c:pt>
                <c:pt idx="10">
                  <c:v>2.46</c:v>
                </c:pt>
                <c:pt idx="11">
                  <c:v>2.46</c:v>
                </c:pt>
                <c:pt idx="12">
                  <c:v>2.46</c:v>
                </c:pt>
                <c:pt idx="13">
                  <c:v>2.46</c:v>
                </c:pt>
                <c:pt idx="14">
                  <c:v>2.46</c:v>
                </c:pt>
                <c:pt idx="15">
                  <c:v>2.46</c:v>
                </c:pt>
                <c:pt idx="16">
                  <c:v>2.46</c:v>
                </c:pt>
                <c:pt idx="17">
                  <c:v>2.46</c:v>
                </c:pt>
                <c:pt idx="18">
                  <c:v>2.46</c:v>
                </c:pt>
                <c:pt idx="19">
                  <c:v>2.46</c:v>
                </c:pt>
                <c:pt idx="20">
                  <c:v>2.46</c:v>
                </c:pt>
                <c:pt idx="21">
                  <c:v>2.46</c:v>
                </c:pt>
                <c:pt idx="22">
                  <c:v>2.46</c:v>
                </c:pt>
                <c:pt idx="23">
                  <c:v>2.46</c:v>
                </c:pt>
                <c:pt idx="24">
                  <c:v>2.46</c:v>
                </c:pt>
                <c:pt idx="25">
                  <c:v>2.46</c:v>
                </c:pt>
                <c:pt idx="26">
                  <c:v>2.46</c:v>
                </c:pt>
                <c:pt idx="27">
                  <c:v>2.46</c:v>
                </c:pt>
                <c:pt idx="28">
                  <c:v>2.46</c:v>
                </c:pt>
                <c:pt idx="29">
                  <c:v>2.46</c:v>
                </c:pt>
                <c:pt idx="30">
                  <c:v>2.46</c:v>
                </c:pt>
                <c:pt idx="31">
                  <c:v>2.46</c:v>
                </c:pt>
                <c:pt idx="32">
                  <c:v>2.46</c:v>
                </c:pt>
                <c:pt idx="33">
                  <c:v>2.46</c:v>
                </c:pt>
                <c:pt idx="34">
                  <c:v>2.46</c:v>
                </c:pt>
                <c:pt idx="35">
                  <c:v>2.46</c:v>
                </c:pt>
                <c:pt idx="36">
                  <c:v>2.46</c:v>
                </c:pt>
                <c:pt idx="37">
                  <c:v>2.46</c:v>
                </c:pt>
                <c:pt idx="38">
                  <c:v>2.46</c:v>
                </c:pt>
                <c:pt idx="39">
                  <c:v>2.46</c:v>
                </c:pt>
                <c:pt idx="40">
                  <c:v>2.46</c:v>
                </c:pt>
                <c:pt idx="41">
                  <c:v>2.46</c:v>
                </c:pt>
                <c:pt idx="42">
                  <c:v>2.46</c:v>
                </c:pt>
              </c:numCache>
            </c:numRef>
          </c:val>
          <c:smooth val="0"/>
          <c:extLst>
            <c:ext xmlns:c16="http://schemas.microsoft.com/office/drawing/2014/chart" uri="{C3380CC4-5D6E-409C-BE32-E72D297353CC}">
              <c16:uniqueId val="{00000001-514D-4810-9A7D-FE7EEC04CFF2}"/>
            </c:ext>
          </c:extLst>
        </c:ser>
        <c:ser>
          <c:idx val="2"/>
          <c:order val="2"/>
          <c:spPr>
            <a:ln w="22225" cmpd="thinThick">
              <a:prstDash val="sysDot"/>
              <a:round/>
            </a:ln>
          </c:spPr>
          <c:marker>
            <c:symbol val="none"/>
          </c:marker>
          <c:val>
            <c:numRef>
              <c:f>[2]府HP陽性反応適中度!$J$2:$J$44</c:f>
              <c:numCache>
                <c:formatCode>General</c:formatCode>
                <c:ptCount val="43"/>
                <c:pt idx="0">
                  <c:v>1.5</c:v>
                </c:pt>
                <c:pt idx="1">
                  <c:v>1.5</c:v>
                </c:pt>
                <c:pt idx="2">
                  <c:v>1.5</c:v>
                </c:pt>
                <c:pt idx="3">
                  <c:v>1.5</c:v>
                </c:pt>
                <c:pt idx="4">
                  <c:v>1.5</c:v>
                </c:pt>
                <c:pt idx="5">
                  <c:v>1.5</c:v>
                </c:pt>
                <c:pt idx="6">
                  <c:v>1.5</c:v>
                </c:pt>
                <c:pt idx="7">
                  <c:v>1.5</c:v>
                </c:pt>
                <c:pt idx="8">
                  <c:v>1.5</c:v>
                </c:pt>
                <c:pt idx="9">
                  <c:v>1.5</c:v>
                </c:pt>
                <c:pt idx="10">
                  <c:v>1.5</c:v>
                </c:pt>
                <c:pt idx="11">
                  <c:v>1.5</c:v>
                </c:pt>
                <c:pt idx="12">
                  <c:v>1.5</c:v>
                </c:pt>
                <c:pt idx="13">
                  <c:v>1.5</c:v>
                </c:pt>
                <c:pt idx="14">
                  <c:v>1.5</c:v>
                </c:pt>
                <c:pt idx="15">
                  <c:v>1.5</c:v>
                </c:pt>
                <c:pt idx="16">
                  <c:v>1.5</c:v>
                </c:pt>
                <c:pt idx="17">
                  <c:v>1.5</c:v>
                </c:pt>
                <c:pt idx="18">
                  <c:v>1.5</c:v>
                </c:pt>
                <c:pt idx="19">
                  <c:v>1.5</c:v>
                </c:pt>
                <c:pt idx="20">
                  <c:v>1.5</c:v>
                </c:pt>
                <c:pt idx="21">
                  <c:v>1.5</c:v>
                </c:pt>
                <c:pt idx="22">
                  <c:v>1.5</c:v>
                </c:pt>
                <c:pt idx="23">
                  <c:v>1.5</c:v>
                </c:pt>
                <c:pt idx="24">
                  <c:v>1.5</c:v>
                </c:pt>
                <c:pt idx="25">
                  <c:v>1.5</c:v>
                </c:pt>
                <c:pt idx="26">
                  <c:v>1.5</c:v>
                </c:pt>
                <c:pt idx="27">
                  <c:v>1.5</c:v>
                </c:pt>
                <c:pt idx="28">
                  <c:v>1.5</c:v>
                </c:pt>
                <c:pt idx="29">
                  <c:v>1.5</c:v>
                </c:pt>
                <c:pt idx="30">
                  <c:v>1.5</c:v>
                </c:pt>
                <c:pt idx="31">
                  <c:v>1.5</c:v>
                </c:pt>
                <c:pt idx="32">
                  <c:v>1.5</c:v>
                </c:pt>
                <c:pt idx="33">
                  <c:v>1.5</c:v>
                </c:pt>
                <c:pt idx="34">
                  <c:v>1.5</c:v>
                </c:pt>
                <c:pt idx="35">
                  <c:v>1.5</c:v>
                </c:pt>
                <c:pt idx="36">
                  <c:v>1.5</c:v>
                </c:pt>
                <c:pt idx="37">
                  <c:v>1.5</c:v>
                </c:pt>
                <c:pt idx="38">
                  <c:v>1.5</c:v>
                </c:pt>
                <c:pt idx="39">
                  <c:v>1.5</c:v>
                </c:pt>
                <c:pt idx="40">
                  <c:v>1.5</c:v>
                </c:pt>
                <c:pt idx="41">
                  <c:v>1.5</c:v>
                </c:pt>
                <c:pt idx="42">
                  <c:v>1.5</c:v>
                </c:pt>
              </c:numCache>
            </c:numRef>
          </c:val>
          <c:smooth val="1"/>
          <c:extLst>
            <c:ext xmlns:c16="http://schemas.microsoft.com/office/drawing/2014/chart" uri="{C3380CC4-5D6E-409C-BE32-E72D297353CC}">
              <c16:uniqueId val="{00000002-514D-4810-9A7D-FE7EEC04CFF2}"/>
            </c:ext>
          </c:extLst>
        </c:ser>
        <c:ser>
          <c:idx val="3"/>
          <c:order val="3"/>
          <c:marker>
            <c:symbol val="none"/>
          </c:marker>
          <c:cat>
            <c:strRef>
              <c:f>[2]府HP陽性反応適中度!$G$2:$G$44</c:f>
              <c:strCache>
                <c:ptCount val="43"/>
                <c:pt idx="0">
                  <c:v>忠岡町</c:v>
                </c:pt>
                <c:pt idx="1">
                  <c:v>岬町</c:v>
                </c:pt>
                <c:pt idx="2">
                  <c:v>東大阪市</c:v>
                </c:pt>
                <c:pt idx="3">
                  <c:v>八尾市</c:v>
                </c:pt>
                <c:pt idx="4">
                  <c:v>松原市</c:v>
                </c:pt>
                <c:pt idx="5">
                  <c:v>河内長野市</c:v>
                </c:pt>
                <c:pt idx="6">
                  <c:v>箕面市</c:v>
                </c:pt>
                <c:pt idx="7">
                  <c:v>茨木市</c:v>
                </c:pt>
                <c:pt idx="8">
                  <c:v>柏原市</c:v>
                </c:pt>
                <c:pt idx="9">
                  <c:v>能勢町</c:v>
                </c:pt>
                <c:pt idx="10">
                  <c:v>門真市</c:v>
                </c:pt>
                <c:pt idx="11">
                  <c:v>貝塚市</c:v>
                </c:pt>
                <c:pt idx="12">
                  <c:v>熊取町</c:v>
                </c:pt>
                <c:pt idx="13">
                  <c:v>交野市</c:v>
                </c:pt>
                <c:pt idx="14">
                  <c:v>大東市</c:v>
                </c:pt>
                <c:pt idx="15">
                  <c:v>岸和田市</c:v>
                </c:pt>
                <c:pt idx="16">
                  <c:v>枚方市</c:v>
                </c:pt>
                <c:pt idx="17">
                  <c:v>堺市</c:v>
                </c:pt>
                <c:pt idx="18">
                  <c:v>吹田市</c:v>
                </c:pt>
                <c:pt idx="19">
                  <c:v>泉大津市</c:v>
                </c:pt>
                <c:pt idx="20">
                  <c:v>高槻市</c:v>
                </c:pt>
                <c:pt idx="21">
                  <c:v>大阪市</c:v>
                </c:pt>
                <c:pt idx="22">
                  <c:v>摂津市</c:v>
                </c:pt>
                <c:pt idx="23">
                  <c:v>羽曳野市</c:v>
                </c:pt>
                <c:pt idx="24">
                  <c:v>守口市</c:v>
                </c:pt>
                <c:pt idx="25">
                  <c:v>池田市</c:v>
                </c:pt>
                <c:pt idx="26">
                  <c:v>豊能町</c:v>
                </c:pt>
                <c:pt idx="27">
                  <c:v>豊中市</c:v>
                </c:pt>
                <c:pt idx="28">
                  <c:v>島本町</c:v>
                </c:pt>
                <c:pt idx="29">
                  <c:v>寝屋川市</c:v>
                </c:pt>
                <c:pt idx="30">
                  <c:v>四條畷市</c:v>
                </c:pt>
                <c:pt idx="31">
                  <c:v>藤井寺市</c:v>
                </c:pt>
                <c:pt idx="32">
                  <c:v>大阪狭山市</c:v>
                </c:pt>
                <c:pt idx="33">
                  <c:v>富田林市</c:v>
                </c:pt>
                <c:pt idx="34">
                  <c:v>太子町</c:v>
                </c:pt>
                <c:pt idx="35">
                  <c:v>河南町</c:v>
                </c:pt>
                <c:pt idx="36">
                  <c:v>千早赤阪村</c:v>
                </c:pt>
                <c:pt idx="37">
                  <c:v>和泉市</c:v>
                </c:pt>
                <c:pt idx="38">
                  <c:v>高石市</c:v>
                </c:pt>
                <c:pt idx="39">
                  <c:v>泉佐野市</c:v>
                </c:pt>
                <c:pt idx="40">
                  <c:v>田尻町</c:v>
                </c:pt>
                <c:pt idx="41">
                  <c:v>泉南市</c:v>
                </c:pt>
                <c:pt idx="42">
                  <c:v>阪南市</c:v>
                </c:pt>
              </c:strCache>
            </c:strRef>
          </c:cat>
          <c:val>
            <c:numLit>
              <c:formatCode>General</c:formatCode>
              <c:ptCount val="1"/>
              <c:pt idx="0">
                <c:v>2.1770682148040637</c:v>
              </c:pt>
            </c:numLit>
          </c:val>
          <c:smooth val="0"/>
          <c:extLst>
            <c:ext xmlns:c16="http://schemas.microsoft.com/office/drawing/2014/chart" uri="{C3380CC4-5D6E-409C-BE32-E72D297353CC}">
              <c16:uniqueId val="{00000003-514D-4810-9A7D-FE7EEC04CFF2}"/>
            </c:ext>
          </c:extLst>
        </c:ser>
        <c:dLbls>
          <c:showLegendKey val="0"/>
          <c:showVal val="0"/>
          <c:showCatName val="0"/>
          <c:showSerName val="0"/>
          <c:showPercent val="0"/>
          <c:showBubbleSize val="0"/>
        </c:dLbls>
        <c:marker val="1"/>
        <c:smooth val="0"/>
        <c:axId val="240896568"/>
        <c:axId val="240896960"/>
      </c:lineChart>
      <c:catAx>
        <c:axId val="240896568"/>
        <c:scaling>
          <c:orientation val="minMax"/>
        </c:scaling>
        <c:delete val="0"/>
        <c:axPos val="b"/>
        <c:numFmt formatCode="General" sourceLinked="0"/>
        <c:majorTickMark val="out"/>
        <c:minorTickMark val="none"/>
        <c:tickLblPos val="nextTo"/>
        <c:txPr>
          <a:bodyPr rot="0" vert="eaVert"/>
          <a:lstStyle/>
          <a:p>
            <a:pPr>
              <a:defRPr sz="700"/>
            </a:pPr>
            <a:endParaRPr lang="ja-JP"/>
          </a:p>
        </c:txPr>
        <c:crossAx val="240896960"/>
        <c:crosses val="autoZero"/>
        <c:auto val="1"/>
        <c:lblAlgn val="ctr"/>
        <c:lblOffset val="100"/>
        <c:noMultiLvlLbl val="0"/>
      </c:catAx>
      <c:valAx>
        <c:axId val="240896960"/>
        <c:scaling>
          <c:orientation val="minMax"/>
          <c:max val="16"/>
          <c:min val="0"/>
        </c:scaling>
        <c:delete val="0"/>
        <c:axPos val="l"/>
        <c:numFmt formatCode="#,##0.0_ " sourceLinked="0"/>
        <c:majorTickMark val="out"/>
        <c:minorTickMark val="none"/>
        <c:tickLblPos val="nextTo"/>
        <c:crossAx val="240896568"/>
        <c:crosses val="autoZero"/>
        <c:crossBetween val="between"/>
        <c:majorUnit val="2"/>
      </c:valAx>
      <c:spPr>
        <a:solidFill>
          <a:sysClr val="window" lastClr="FFFFFF">
            <a:lumMod val="85000"/>
          </a:sysClr>
        </a:solidFill>
        <a:ln>
          <a:solidFill>
            <a:schemeClr val="tx1"/>
          </a:solidFill>
        </a:ln>
      </c:spPr>
    </c:plotArea>
    <c:plotVisOnly val="1"/>
    <c:dispBlanksAs val="gap"/>
    <c:showDLblsOverMax val="0"/>
  </c:chart>
  <c:spPr>
    <a:ln>
      <a:solidFill>
        <a:sysClr val="windowText" lastClr="000000"/>
      </a:solidFill>
    </a:ln>
  </c:sp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0.64257</cdr:x>
      <cdr:y>0.0552</cdr:y>
    </cdr:from>
    <cdr:to>
      <cdr:x>0.95164</cdr:x>
      <cdr:y>0.13316</cdr:y>
    </cdr:to>
    <cdr:sp macro="" textlink="">
      <cdr:nvSpPr>
        <cdr:cNvPr id="2" name="テキスト ボックス 2"/>
        <cdr:cNvSpPr txBox="1"/>
      </cdr:nvSpPr>
      <cdr:spPr>
        <a:xfrm xmlns:a="http://schemas.openxmlformats.org/drawingml/2006/main">
          <a:off x="4116529" y="127458"/>
          <a:ext cx="1980000" cy="18000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fld id="{7DBBC4B4-ECB9-4104-8D69-3F833BC3EC9C}" type="TxLink">
            <a:rPr kumimoji="1" lang="ja-JP" altLang="en-US" sz="900" b="0" i="0" u="none" strike="noStrike">
              <a:solidFill>
                <a:srgbClr val="000000"/>
              </a:solidFill>
              <a:latin typeface="ＭＳ Ｐゴシック"/>
              <a:ea typeface="ＭＳ Ｐゴシック"/>
            </a:rPr>
            <a:pPr marL="0" marR="0" lvl="0" indent="0" defTabSz="914400" eaLnBrk="1" fontAlgn="auto" latinLnBrk="0" hangingPunct="1">
              <a:lnSpc>
                <a:spcPct val="100000"/>
              </a:lnSpc>
              <a:spcBef>
                <a:spcPts val="0"/>
              </a:spcBef>
              <a:spcAft>
                <a:spcPts val="0"/>
              </a:spcAft>
              <a:buClrTx/>
              <a:buSzTx/>
              <a:buFontTx/>
              <a:buNone/>
              <a:tabLst/>
              <a:defRPr/>
            </a:pPr>
            <a:t>大阪府平均　0.12　基準値　0.11以上</a:t>
          </a:fld>
          <a:endParaRPr kumimoji="1" lang="en-US" altLang="ja-JP" sz="900"/>
        </a:p>
      </cdr:txBody>
    </cdr:sp>
  </cdr:relSizeAnchor>
</c:userShapes>
</file>

<file path=word/drawings/drawing2.xml><?xml version="1.0" encoding="utf-8"?>
<c:userShapes xmlns:c="http://schemas.openxmlformats.org/drawingml/2006/chart">
  <cdr:relSizeAnchor xmlns:cdr="http://schemas.openxmlformats.org/drawingml/2006/chartDrawing">
    <cdr:from>
      <cdr:x>0.64292</cdr:x>
      <cdr:y>0.05217</cdr:y>
    </cdr:from>
    <cdr:to>
      <cdr:x>0.95199</cdr:x>
      <cdr:y>0.13013</cdr:y>
    </cdr:to>
    <cdr:sp macro="" textlink="">
      <cdr:nvSpPr>
        <cdr:cNvPr id="2" name="テキスト ボックス 2"/>
        <cdr:cNvSpPr txBox="1"/>
      </cdr:nvSpPr>
      <cdr:spPr>
        <a:xfrm xmlns:a="http://schemas.openxmlformats.org/drawingml/2006/main">
          <a:off x="4118791" y="120462"/>
          <a:ext cx="1980000" cy="18000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fld id="{0E00E848-2894-41A7-8A34-9D1AC45D76CB}" type="TxLink">
            <a:rPr kumimoji="1" lang="ja-JP" altLang="en-US" sz="900" b="0" i="0" u="none" strike="noStrike">
              <a:solidFill>
                <a:srgbClr val="000000"/>
              </a:solidFill>
              <a:latin typeface="ＭＳ Ｐゴシック"/>
              <a:ea typeface="ＭＳ Ｐゴシック"/>
            </a:rPr>
            <a:pPr marL="0" marR="0" lvl="0" indent="0" defTabSz="914400" eaLnBrk="1" fontAlgn="auto" latinLnBrk="0" hangingPunct="1">
              <a:lnSpc>
                <a:spcPct val="100000"/>
              </a:lnSpc>
              <a:spcBef>
                <a:spcPts val="0"/>
              </a:spcBef>
              <a:spcAft>
                <a:spcPts val="0"/>
              </a:spcAft>
              <a:buClrTx/>
              <a:buSzTx/>
              <a:buFontTx/>
              <a:buNone/>
              <a:tabLst/>
              <a:defRPr/>
            </a:pPr>
            <a:t>大阪府平均　2.5　基準値　1.5以上</a:t>
          </a:fld>
          <a:endParaRPr kumimoji="1" lang="en-US" altLang="ja-JP" sz="900"/>
        </a:p>
      </cdr:txBody>
    </cdr: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321D2-83E7-4C91-9BB8-49B9C515D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5</Pages>
  <Words>284</Words>
  <Characters>1624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HOSTNAME</dc:creator>
  <cp:lastModifiedBy>天谷　美咲</cp:lastModifiedBy>
  <cp:revision>4</cp:revision>
  <cp:lastPrinted>2024-01-05T05:32:00Z</cp:lastPrinted>
  <dcterms:created xsi:type="dcterms:W3CDTF">2025-01-23T00:18:00Z</dcterms:created>
  <dcterms:modified xsi:type="dcterms:W3CDTF">2025-12-23T02:58:00Z</dcterms:modified>
</cp:coreProperties>
</file>