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68552" w14:textId="1CF9F46E" w:rsidR="00D0668C" w:rsidRDefault="00D0668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1BEF4" wp14:editId="4B8C79E6">
                <wp:simplePos x="0" y="0"/>
                <wp:positionH relativeFrom="margin">
                  <wp:posOffset>8571230</wp:posOffset>
                </wp:positionH>
                <wp:positionV relativeFrom="paragraph">
                  <wp:posOffset>-78105</wp:posOffset>
                </wp:positionV>
                <wp:extent cx="1238250" cy="257175"/>
                <wp:effectExtent l="0" t="0" r="19050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141EC8" w14:textId="77777777" w:rsidR="00721D9C" w:rsidRPr="00D0668C" w:rsidRDefault="00721D9C" w:rsidP="00721D9C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066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資料１－４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1B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4.9pt;margin-top:-6.15pt;width:97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" filled="f" strokecolor="black [3213]">
                <v:textbox>
                  <w:txbxContent>
                    <w:p w14:paraId="68141EC8" w14:textId="77777777" w:rsidR="00721D9C" w:rsidRPr="00D0668C" w:rsidRDefault="00721D9C" w:rsidP="00721D9C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D066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</w:rPr>
                        <w:t>資料１－４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E6AE6" wp14:editId="6AA277BE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9899026" cy="303459"/>
                <wp:effectExtent l="0" t="0" r="0" b="190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026" cy="303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1D6E7" w14:textId="77777777" w:rsidR="00721D9C" w:rsidRPr="00D0668C" w:rsidRDefault="00721D9C" w:rsidP="00721D9C">
                            <w:pPr>
                              <w:spacing w:line="300" w:lineRule="exact"/>
                              <w:rPr>
                                <w:rFonts w:asciiTheme="majorHAnsi" w:eastAsiaTheme="majorHAnsi" w:hAnsiTheme="majorHAnsi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0668C">
                              <w:rPr>
                                <w:rFonts w:asciiTheme="majorHAnsi" w:eastAsiaTheme="majorHAnsi" w:hAnsiTheme="majorHAnsi" w:hint="eastAsia"/>
                                <w:color w:val="000000" w:themeColor="dark1"/>
                                <w:kern w:val="24"/>
                                <w:sz w:val="29"/>
                                <w:szCs w:val="29"/>
                              </w:rPr>
                              <w:t>大阪府ギャンブル等依存症対策推進計画における令和２年度の取組み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3E6AE6" id="正方形/長方形 5" o:spid="_x0000_s1027" style="position:absolute;left:0;text-align:left;margin-left:0;margin-top:-.8pt;width:779.4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" filled="f" stroked="f" strokeweight="1pt">
                <v:textbox>
                  <w:txbxContent>
                    <w:p w14:paraId="1C21D6E7" w14:textId="77777777" w:rsidR="00721D9C" w:rsidRPr="00D0668C" w:rsidRDefault="00721D9C" w:rsidP="00721D9C">
                      <w:pPr>
                        <w:spacing w:line="300" w:lineRule="exact"/>
                        <w:rPr>
                          <w:rFonts w:asciiTheme="majorHAnsi" w:eastAsiaTheme="majorHAnsi" w:hAnsiTheme="majorHAnsi"/>
                          <w:kern w:val="0"/>
                          <w:sz w:val="24"/>
                          <w:szCs w:val="24"/>
                        </w:rPr>
                      </w:pPr>
                      <w:r w:rsidRPr="00D0668C">
                        <w:rPr>
                          <w:rFonts w:asciiTheme="majorHAnsi" w:eastAsiaTheme="majorHAnsi" w:hAnsiTheme="majorHAnsi" w:hint="eastAsia"/>
                          <w:color w:val="000000" w:themeColor="dark1"/>
                          <w:kern w:val="24"/>
                          <w:sz w:val="29"/>
                          <w:szCs w:val="29"/>
                        </w:rPr>
                        <w:t>大阪府ギャンブル等依存症対策推進計画における令和２年度の取組み</w:t>
                      </w:r>
                    </w:p>
                  </w:txbxContent>
                </v:textbox>
              </v:rect>
            </w:pict>
          </mc:Fallback>
        </mc:AlternateContent>
      </w:r>
    </w:p>
    <w:p w14:paraId="30E2B9BE" w14:textId="341F606C" w:rsidR="00D0668C" w:rsidRDefault="00D0668C"/>
    <w:tbl>
      <w:tblPr>
        <w:tblW w:w="15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0"/>
        <w:gridCol w:w="3120"/>
        <w:gridCol w:w="9480"/>
      </w:tblGrid>
      <w:tr w:rsidR="00D0668C" w:rsidRPr="00D0668C" w14:paraId="0972BB90" w14:textId="77777777" w:rsidTr="00D0668C">
        <w:trPr>
          <w:trHeight w:val="335"/>
        </w:trPr>
        <w:tc>
          <w:tcPr>
            <w:tcW w:w="254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1C94D1B1" w14:textId="77777777" w:rsidR="00D0668C" w:rsidRPr="00D0668C" w:rsidRDefault="00D0668C" w:rsidP="00D0668C">
            <w:pPr>
              <w:widowControl/>
              <w:spacing w:line="0" w:lineRule="atLeast"/>
              <w:jc w:val="center"/>
              <w:rPr>
                <w:rFonts w:asciiTheme="majorHAnsi" w:eastAsiaTheme="majorHAnsi" w:hAnsiTheme="majorHAnsi" w:cs="Arial"/>
                <w:kern w:val="0"/>
                <w:sz w:val="22"/>
                <w:szCs w:val="36"/>
              </w:rPr>
            </w:pPr>
            <w:r w:rsidRPr="00D0668C">
              <w:rPr>
                <w:rFonts w:asciiTheme="majorHAnsi" w:eastAsiaTheme="majorHAnsi" w:hAnsiTheme="majorHAnsi" w:cs="Arial"/>
                <w:b/>
                <w:bCs/>
                <w:color w:val="000000"/>
                <w:kern w:val="24"/>
                <w:sz w:val="22"/>
                <w:szCs w:val="26"/>
              </w:rPr>
              <w:t>基本方針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143D2B46" w14:textId="77777777" w:rsidR="00D0668C" w:rsidRPr="00D0668C" w:rsidRDefault="00D0668C" w:rsidP="00D0668C">
            <w:pPr>
              <w:widowControl/>
              <w:spacing w:line="0" w:lineRule="atLeast"/>
              <w:jc w:val="center"/>
              <w:rPr>
                <w:rFonts w:asciiTheme="majorHAnsi" w:eastAsiaTheme="majorHAnsi" w:hAnsiTheme="majorHAnsi" w:cs="Arial"/>
                <w:kern w:val="0"/>
                <w:sz w:val="22"/>
                <w:szCs w:val="36"/>
              </w:rPr>
            </w:pPr>
            <w:r w:rsidRPr="00D0668C">
              <w:rPr>
                <w:rFonts w:asciiTheme="majorHAnsi" w:eastAsiaTheme="majorHAnsi" w:hAnsiTheme="majorHAnsi" w:cs="Arial"/>
                <w:b/>
                <w:bCs/>
                <w:color w:val="000000"/>
                <w:kern w:val="24"/>
                <w:sz w:val="22"/>
                <w:szCs w:val="26"/>
              </w:rPr>
              <w:t>重点施策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09B1EA35" w14:textId="77777777" w:rsidR="00D0668C" w:rsidRPr="00D0668C" w:rsidRDefault="00D0668C" w:rsidP="00D0668C">
            <w:pPr>
              <w:widowControl/>
              <w:spacing w:line="0" w:lineRule="atLeast"/>
              <w:jc w:val="center"/>
              <w:rPr>
                <w:rFonts w:asciiTheme="majorHAnsi" w:eastAsiaTheme="majorHAnsi" w:hAnsiTheme="majorHAnsi" w:cs="Arial"/>
                <w:kern w:val="0"/>
                <w:sz w:val="22"/>
                <w:szCs w:val="36"/>
              </w:rPr>
            </w:pPr>
            <w:r w:rsidRPr="00D0668C">
              <w:rPr>
                <w:rFonts w:asciiTheme="majorHAnsi" w:eastAsiaTheme="majorHAnsi" w:hAnsiTheme="majorHAnsi" w:cs="Arial"/>
                <w:b/>
                <w:bCs/>
                <w:color w:val="000000"/>
                <w:kern w:val="24"/>
                <w:sz w:val="22"/>
                <w:szCs w:val="26"/>
              </w:rPr>
              <w:t>令和</w:t>
            </w:r>
            <w:r w:rsidRPr="00D0668C">
              <w:rPr>
                <w:rFonts w:asciiTheme="majorHAnsi" w:eastAsiaTheme="majorHAnsi" w:hAnsiTheme="majorHAnsi" w:cs="Calibri"/>
                <w:b/>
                <w:bCs/>
                <w:color w:val="000000"/>
                <w:kern w:val="24"/>
                <w:sz w:val="22"/>
                <w:szCs w:val="26"/>
              </w:rPr>
              <w:t>2</w:t>
            </w:r>
            <w:r w:rsidRPr="00D0668C">
              <w:rPr>
                <w:rFonts w:asciiTheme="majorHAnsi" w:eastAsiaTheme="majorHAnsi" w:hAnsiTheme="majorHAnsi" w:cs="Arial"/>
                <w:b/>
                <w:bCs/>
                <w:color w:val="000000"/>
                <w:kern w:val="24"/>
                <w:sz w:val="22"/>
                <w:szCs w:val="26"/>
              </w:rPr>
              <w:t>年度の主な取組み</w:t>
            </w:r>
          </w:p>
        </w:tc>
      </w:tr>
      <w:tr w:rsidR="00D0668C" w:rsidRPr="00D0668C" w14:paraId="0B2CEB73" w14:textId="77777777" w:rsidTr="00D0668C">
        <w:trPr>
          <w:trHeight w:val="909"/>
        </w:trPr>
        <w:tc>
          <w:tcPr>
            <w:tcW w:w="2540" w:type="dxa"/>
            <w:vMerge w:val="restart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119241A8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  <w:szCs w:val="26"/>
              </w:rPr>
              <w:t>Ⅰ</w:t>
            </w:r>
            <w:r w:rsidRPr="00D0668C">
              <w:rPr>
                <w:rFonts w:ascii="游ゴシック" w:eastAsia="游ゴシック" w:hAnsi="游ゴシック" w:cs="Calibri"/>
                <w:color w:val="000000"/>
                <w:kern w:val="24"/>
                <w:sz w:val="22"/>
                <w:szCs w:val="26"/>
              </w:rPr>
              <w:t>.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6"/>
              </w:rPr>
              <w:t>普及啓発の強化</w:t>
            </w:r>
          </w:p>
        </w:tc>
        <w:tc>
          <w:tcPr>
            <w:tcW w:w="312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32ED824E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</w:rPr>
              <w:t>①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>若年層を中心とした</w:t>
            </w:r>
          </w:p>
          <w:p w14:paraId="5CACAD9F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 xml:space="preserve">　予防啓発の充実</w:t>
            </w:r>
          </w:p>
        </w:tc>
        <w:tc>
          <w:tcPr>
            <w:tcW w:w="948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678D8AF2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・</w:t>
            </w:r>
            <w:r w:rsidRPr="00D0668C">
              <w:rPr>
                <w:rFonts w:ascii="游ゴシック" w:eastAsia="游ゴシック" w:hAnsi="游ゴシック" w:cs="Calibri"/>
                <w:color w:val="000000"/>
                <w:kern w:val="24"/>
                <w:sz w:val="22"/>
                <w:szCs w:val="30"/>
              </w:rPr>
              <w:t xml:space="preserve"> 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予防啓発のためのツールの作成、出前授業の実施</w:t>
            </w:r>
          </w:p>
          <w:p w14:paraId="3C184C1E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 xml:space="preserve">・ 高校生向けリーフレットの配布　　　　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【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参考資料１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】</w:t>
            </w:r>
          </w:p>
        </w:tc>
      </w:tr>
      <w:tr w:rsidR="00D0668C" w:rsidRPr="00D0668C" w14:paraId="6C0ED184" w14:textId="77777777" w:rsidTr="00D0668C">
        <w:trPr>
          <w:trHeight w:val="1034"/>
        </w:trPr>
        <w:tc>
          <w:tcPr>
            <w:tcW w:w="0" w:type="auto"/>
            <w:vMerge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5551585E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2CB7F3D4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</w:rPr>
              <w:t>②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>正しい知識の普及と</w:t>
            </w:r>
          </w:p>
          <w:p w14:paraId="2811D226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 xml:space="preserve">　理解の促進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4EB7D63E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・ 啓発週間における</w:t>
            </w:r>
            <w:r w:rsidRPr="00D0668C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30"/>
              </w:rPr>
              <w:t>啓発ポスターの掲示、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府民向けイベント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16"/>
              </w:rPr>
              <w:t>（</w:t>
            </w: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  <w:szCs w:val="16"/>
              </w:rPr>
              <w:t>※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16"/>
              </w:rPr>
              <w:t>）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等</w:t>
            </w:r>
          </w:p>
          <w:p w14:paraId="7DA2EB93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  <w:szCs w:val="30"/>
              </w:rPr>
              <w:t>・ギャンブル等依存症に関する府民向け啓発セミナー</w:t>
            </w:r>
          </w:p>
          <w:p w14:paraId="6E346B8C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 xml:space="preserve">・ 新成人向け啓発チラシの作成・配布　　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【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参考資料２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】</w:t>
            </w:r>
          </w:p>
        </w:tc>
      </w:tr>
      <w:tr w:rsidR="00D0668C" w:rsidRPr="00D0668C" w14:paraId="1B01D0D1" w14:textId="77777777" w:rsidTr="00D0668C">
        <w:trPr>
          <w:trHeight w:val="1198"/>
        </w:trPr>
        <w:tc>
          <w:tcPr>
            <w:tcW w:w="2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0F88B84E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  <w:szCs w:val="26"/>
              </w:rPr>
              <w:t>Ⅱ</w:t>
            </w:r>
            <w:r w:rsidRPr="00D0668C">
              <w:rPr>
                <w:rFonts w:ascii="游ゴシック" w:eastAsia="游ゴシック" w:hAnsi="游ゴシック" w:cs="Calibri"/>
                <w:color w:val="000000"/>
                <w:kern w:val="24"/>
                <w:sz w:val="22"/>
                <w:szCs w:val="26"/>
              </w:rPr>
              <w:t>.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6"/>
              </w:rPr>
              <w:t xml:space="preserve">相談支援体制の </w:t>
            </w:r>
          </w:p>
          <w:p w14:paraId="0B134BDA" w14:textId="4CF596C5" w:rsidR="00D0668C" w:rsidRPr="00D0668C" w:rsidRDefault="00D0668C" w:rsidP="00D0668C">
            <w:pPr>
              <w:widowControl/>
              <w:spacing w:line="0" w:lineRule="atLeast"/>
              <w:ind w:firstLineChars="100" w:firstLine="220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6"/>
              </w:rPr>
              <w:t>強化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7E51908E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</w:rPr>
              <w:t>③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 xml:space="preserve">依存症の本人及び家族へ　</w:t>
            </w:r>
          </w:p>
          <w:p w14:paraId="1A2397CA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 xml:space="preserve">　の相談支援の強化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6282F221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・ 第２・４土曜日の依存症専門相談を開始</w:t>
            </w:r>
          </w:p>
          <w:p w14:paraId="548FBC58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 xml:space="preserve">・ 本人向け集団回復プログラムの実施　　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【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参考資料３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】</w:t>
            </w:r>
          </w:p>
          <w:p w14:paraId="29396C70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 xml:space="preserve">・ 家族向けのサポートプログラムの実施　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【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参考資料４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】</w:t>
            </w:r>
          </w:p>
        </w:tc>
      </w:tr>
      <w:tr w:rsidR="00D0668C" w:rsidRPr="00D0668C" w14:paraId="081D173E" w14:textId="77777777" w:rsidTr="00D0668C">
        <w:trPr>
          <w:trHeight w:val="792"/>
        </w:trPr>
        <w:tc>
          <w:tcPr>
            <w:tcW w:w="2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2FB4AA62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  <w:szCs w:val="26"/>
              </w:rPr>
              <w:t>Ⅲ</w:t>
            </w:r>
            <w:r w:rsidRPr="00D0668C">
              <w:rPr>
                <w:rFonts w:ascii="游ゴシック" w:eastAsia="游ゴシック" w:hAnsi="游ゴシック" w:cs="Calibri"/>
                <w:color w:val="000000"/>
                <w:kern w:val="24"/>
                <w:sz w:val="22"/>
                <w:szCs w:val="26"/>
              </w:rPr>
              <w:t>.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6"/>
              </w:rPr>
              <w:t>医療体制の強化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40F93DE1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</w:rPr>
              <w:t>④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>依存症の治療が可能な</w:t>
            </w:r>
          </w:p>
          <w:p w14:paraId="34C7B722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 xml:space="preserve">　医療機関の充実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6CC95762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 xml:space="preserve">・ 医療機関職員向け研修の開催　</w:t>
            </w:r>
          </w:p>
          <w:p w14:paraId="032A481C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・ 認知行動療法プログラムの普及</w:t>
            </w:r>
          </w:p>
        </w:tc>
      </w:tr>
      <w:tr w:rsidR="00D0668C" w:rsidRPr="00D0668C" w14:paraId="6256CE41" w14:textId="77777777" w:rsidTr="00D0668C">
        <w:trPr>
          <w:trHeight w:val="635"/>
        </w:trPr>
        <w:tc>
          <w:tcPr>
            <w:tcW w:w="2540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5F115A6C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  <w:szCs w:val="26"/>
              </w:rPr>
              <w:t>Ⅳ</w:t>
            </w:r>
            <w:r w:rsidRPr="00D0668C">
              <w:rPr>
                <w:rFonts w:ascii="游ゴシック" w:eastAsia="游ゴシック" w:hAnsi="游ゴシック" w:cs="Calibri"/>
                <w:color w:val="000000"/>
                <w:kern w:val="24"/>
                <w:sz w:val="22"/>
                <w:szCs w:val="26"/>
              </w:rPr>
              <w:t>.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6"/>
              </w:rPr>
              <w:t>切れ目のない</w:t>
            </w:r>
          </w:p>
          <w:p w14:paraId="37C6DB36" w14:textId="7B3F4E39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>
              <w:rPr>
                <w:rFonts w:ascii="游ゴシック" w:eastAsia="游ゴシック" w:hAnsi="游ゴシック" w:cs="Calibri"/>
                <w:color w:val="000000"/>
                <w:kern w:val="24"/>
                <w:sz w:val="22"/>
                <w:szCs w:val="26"/>
              </w:rPr>
              <w:t xml:space="preserve">  </w:t>
            </w:r>
            <w:r w:rsidRPr="00D0668C">
              <w:rPr>
                <w:rFonts w:ascii="游ゴシック" w:eastAsia="游ゴシック" w:hAnsi="游ゴシック" w:cs="Calibri"/>
                <w:color w:val="000000"/>
                <w:kern w:val="24"/>
                <w:sz w:val="22"/>
                <w:szCs w:val="26"/>
              </w:rPr>
              <w:t xml:space="preserve"> 回復支援体制</w:t>
            </w:r>
          </w:p>
          <w:p w14:paraId="62D46614" w14:textId="46A8E5DB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Calibri"/>
                <w:color w:val="000000"/>
                <w:kern w:val="24"/>
                <w:sz w:val="22"/>
                <w:szCs w:val="26"/>
              </w:rPr>
              <w:t xml:space="preserve">   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6"/>
              </w:rPr>
              <w:t>の強化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095D07B4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</w:rPr>
              <w:t>⑤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>自助グループ・民間団体</w:t>
            </w:r>
          </w:p>
          <w:p w14:paraId="50FD3039" w14:textId="402ED1FB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 xml:space="preserve">　の活動へ</w:t>
            </w:r>
            <w:r w:rsidR="007E7FDD">
              <w:rPr>
                <w:rFonts w:ascii="游ゴシック" w:eastAsia="游ゴシック" w:hAnsi="游ゴシック" w:cs="Arial" w:hint="eastAsia"/>
                <w:color w:val="000000"/>
                <w:kern w:val="24"/>
                <w:sz w:val="22"/>
              </w:rPr>
              <w:t>の</w:t>
            </w:r>
            <w:bookmarkStart w:id="0" w:name="_GoBack"/>
            <w:bookmarkEnd w:id="0"/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>支援の充実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1C2FDE84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・早期介入・回復継続支援を実施する自助グループ・民間団体への</w:t>
            </w:r>
          </w:p>
          <w:p w14:paraId="73781F54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 xml:space="preserve">　補助 </w:t>
            </w:r>
          </w:p>
        </w:tc>
      </w:tr>
      <w:tr w:rsidR="00D0668C" w:rsidRPr="00D0668C" w14:paraId="23107A61" w14:textId="77777777" w:rsidTr="00D0668C">
        <w:trPr>
          <w:trHeight w:val="1752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14:paraId="37336D74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4AFACCD0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</w:rPr>
              <w:t>⑥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 xml:space="preserve">さまざまな機関と連携した　</w:t>
            </w:r>
          </w:p>
          <w:p w14:paraId="129020F4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 xml:space="preserve">　支援ネットワークの強化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3E4CFEDE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・ 依存症関連機関連携会議・部会の開催</w:t>
            </w:r>
          </w:p>
          <w:p w14:paraId="2ADA5667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・ 大阪アディクションセンター（</w:t>
            </w:r>
            <w:r w:rsidRPr="00D0668C">
              <w:rPr>
                <w:rFonts w:ascii="游ゴシック" w:eastAsia="游ゴシック" w:hAnsi="游ゴシック" w:cs="Calibri"/>
                <w:color w:val="000000"/>
                <w:kern w:val="24"/>
                <w:sz w:val="22"/>
                <w:szCs w:val="30"/>
              </w:rPr>
              <w:t>OAC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）での情報共有</w:t>
            </w:r>
          </w:p>
          <w:p w14:paraId="15317966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・ 各保健所圏域における関係機関職員や自助グループ・民間団体と</w:t>
            </w:r>
          </w:p>
          <w:p w14:paraId="260AF893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 xml:space="preserve">　の交流会の開催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16"/>
              </w:rPr>
              <w:t>（</w:t>
            </w: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  <w:szCs w:val="16"/>
              </w:rPr>
              <w:t>※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16"/>
              </w:rPr>
              <w:t>）</w:t>
            </w:r>
          </w:p>
          <w:p w14:paraId="0DEEF3ED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・ 依存症早期発見・早期対応モデル事業（国モデル事業）の実施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16"/>
              </w:rPr>
              <w:t>（</w:t>
            </w: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  <w:szCs w:val="16"/>
              </w:rPr>
              <w:t>※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16"/>
              </w:rPr>
              <w:t>）</w:t>
            </w:r>
          </w:p>
        </w:tc>
      </w:tr>
      <w:tr w:rsidR="00D0668C" w:rsidRPr="00D0668C" w14:paraId="60020224" w14:textId="77777777" w:rsidTr="00D0668C">
        <w:trPr>
          <w:trHeight w:val="902"/>
        </w:trPr>
        <w:tc>
          <w:tcPr>
            <w:tcW w:w="2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4A33A651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  <w:szCs w:val="26"/>
              </w:rPr>
              <w:t>Ⅴ</w:t>
            </w:r>
            <w:r w:rsidRPr="00D0668C">
              <w:rPr>
                <w:rFonts w:ascii="游ゴシック" w:eastAsia="游ゴシック" w:hAnsi="游ゴシック" w:cs="Calibri"/>
                <w:color w:val="000000"/>
                <w:kern w:val="24"/>
                <w:sz w:val="22"/>
                <w:szCs w:val="26"/>
              </w:rPr>
              <w:t>.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6"/>
              </w:rPr>
              <w:t>大阪独自の</w:t>
            </w:r>
          </w:p>
          <w:p w14:paraId="3A804B6A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Calibri"/>
                <w:color w:val="000000"/>
                <w:kern w:val="24"/>
                <w:sz w:val="22"/>
                <w:szCs w:val="26"/>
              </w:rPr>
              <w:t xml:space="preserve">    支援体制の構築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66DA011D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ＭＳ ゴシック"/>
                <w:color w:val="000000"/>
                <w:kern w:val="24"/>
                <w:sz w:val="22"/>
              </w:rPr>
              <w:t>⑦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>予防から相談、治療及び</w:t>
            </w:r>
          </w:p>
          <w:p w14:paraId="5469AD0B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</w:rPr>
              <w:t xml:space="preserve">　回復支援体制の構築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75207455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・大阪依存症包括支援拠点（</w:t>
            </w:r>
            <w:r w:rsidRPr="00D0668C">
              <w:rPr>
                <w:rFonts w:ascii="游ゴシック" w:eastAsia="游ゴシック" w:hAnsi="游ゴシック" w:cs="Calibri"/>
                <w:color w:val="000000"/>
                <w:kern w:val="24"/>
                <w:sz w:val="22"/>
                <w:szCs w:val="30"/>
              </w:rPr>
              <w:t>OATIS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 xml:space="preserve">）の設置、ホームページの整備　</w:t>
            </w:r>
          </w:p>
          <w:p w14:paraId="791BCBF3" w14:textId="77777777" w:rsidR="00D0668C" w:rsidRPr="00D0668C" w:rsidRDefault="00D0668C" w:rsidP="00D0668C">
            <w:pPr>
              <w:widowControl/>
              <w:spacing w:line="0" w:lineRule="atLeast"/>
              <w:jc w:val="righ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【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参考資料５</w:t>
            </w: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4"/>
              </w:rPr>
              <w:t>】</w:t>
            </w:r>
          </w:p>
          <w:p w14:paraId="3A6C18D9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・ギャンブル等依存症の簡易相談支援アプリの制作</w:t>
            </w:r>
          </w:p>
        </w:tc>
      </w:tr>
      <w:tr w:rsidR="00D0668C" w:rsidRPr="00D0668C" w14:paraId="10043568" w14:textId="77777777" w:rsidTr="00D0668C">
        <w:trPr>
          <w:trHeight w:val="367"/>
        </w:trPr>
        <w:tc>
          <w:tcPr>
            <w:tcW w:w="5640" w:type="dxa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4818F997" w14:textId="77777777" w:rsidR="00D0668C" w:rsidRPr="00D0668C" w:rsidRDefault="00D0668C" w:rsidP="00D0668C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26"/>
              </w:rPr>
              <w:t>調　査　・　研　究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14:paraId="012BFFE2" w14:textId="77777777" w:rsidR="00D0668C" w:rsidRPr="00D0668C" w:rsidRDefault="00D0668C" w:rsidP="00D0668C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Arial"/>
                <w:kern w:val="0"/>
                <w:sz w:val="22"/>
                <w:szCs w:val="36"/>
              </w:rPr>
            </w:pPr>
            <w:r w:rsidRPr="00D0668C">
              <w:rPr>
                <w:rFonts w:ascii="游ゴシック" w:eastAsia="游ゴシック" w:hAnsi="游ゴシック" w:cs="Arial"/>
                <w:color w:val="000000"/>
                <w:kern w:val="24"/>
                <w:sz w:val="22"/>
                <w:szCs w:val="30"/>
              </w:rPr>
              <w:t>・ギャンブル等依存症に関する実態調査</w:t>
            </w:r>
          </w:p>
        </w:tc>
      </w:tr>
    </w:tbl>
    <w:p w14:paraId="64F3A65B" w14:textId="793C64F5" w:rsidR="00243B0A" w:rsidRDefault="00721D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5B211" wp14:editId="136E7906">
                <wp:simplePos x="0" y="0"/>
                <wp:positionH relativeFrom="column">
                  <wp:posOffset>6515100</wp:posOffset>
                </wp:positionH>
                <wp:positionV relativeFrom="paragraph">
                  <wp:posOffset>6486525</wp:posOffset>
                </wp:positionV>
                <wp:extent cx="3090545" cy="361950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DB418" w14:textId="77777777" w:rsidR="00721D9C" w:rsidRDefault="00721D9C" w:rsidP="00721D9C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※は、新型コロナウイルス感染症の影響で実施中止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5B211" id="正方形/長方形 4" o:spid="_x0000_s1028" style="position:absolute;left:0;text-align:left;margin-left:513pt;margin-top:510.75pt;width:243.3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" filled="f" stroked="f" strokeweight="1pt">
                <v:textbox>
                  <w:txbxContent>
                    <w:p w14:paraId="3E8DB418" w14:textId="77777777" w:rsidR="00721D9C" w:rsidRDefault="00721D9C" w:rsidP="00721D9C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※は、新型コロナウイルス感染症の影響で実施中止</w:t>
                      </w:r>
                    </w:p>
                  </w:txbxContent>
                </v:textbox>
              </v:rect>
            </w:pict>
          </mc:Fallback>
        </mc:AlternateContent>
      </w:r>
    </w:p>
    <w:sectPr w:rsidR="00243B0A" w:rsidSect="00721D9C">
      <w:pgSz w:w="16838" w:h="11906" w:orient="landscape"/>
      <w:pgMar w:top="510" w:right="680" w:bottom="51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ewKQy6z8vyp+ATVPEWu7QTXhsDdAEeoNOQP+93NLwhWga+3D3MDqSXGqNT+vLbmTIb7B2eeXhAYSJKkV9YjKg==" w:salt="Cc0bqe0g+p2yJ+47GLFTH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3B"/>
    <w:rsid w:val="00243B0A"/>
    <w:rsid w:val="0040643B"/>
    <w:rsid w:val="00721D9C"/>
    <w:rsid w:val="00743768"/>
    <w:rsid w:val="007E7FDD"/>
    <w:rsid w:val="00B31A4C"/>
    <w:rsid w:val="00D0668C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D7"/>
  <w15:chartTrackingRefBased/>
  <w15:docId w15:val="{E7B3AA11-92A5-4FAD-8CD6-915EC64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838B-2402-4519-AD51-47F4D3B2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信浩</dc:creator>
  <cp:keywords/>
  <dc:description/>
  <cp:lastModifiedBy>川添　純子</cp:lastModifiedBy>
  <cp:revision>7</cp:revision>
  <dcterms:created xsi:type="dcterms:W3CDTF">2020-12-25T02:39:00Z</dcterms:created>
  <dcterms:modified xsi:type="dcterms:W3CDTF">2021-02-15T09:57:00Z</dcterms:modified>
</cp:coreProperties>
</file>