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854F" w14:textId="77777777" w:rsidR="0097153A" w:rsidRDefault="001D4D22" w:rsidP="0097153A">
      <w:pPr>
        <w:rPr>
          <w:b/>
          <w:bCs/>
        </w:rPr>
      </w:pPr>
      <w:r>
        <w:rPr>
          <w:rFonts w:hint="eastAsia"/>
          <w:b/>
          <w:bCs/>
        </w:rPr>
        <w:t>「空家対策の取組方針」</w:t>
      </w:r>
      <w:r w:rsidR="0097153A" w:rsidRPr="0097153A">
        <w:rPr>
          <w:rFonts w:hint="eastAsia"/>
          <w:b/>
          <w:bCs/>
        </w:rPr>
        <w:t>の概要</w:t>
      </w:r>
    </w:p>
    <w:p w14:paraId="327B152C" w14:textId="77777777" w:rsidR="0097153A" w:rsidRPr="0097153A" w:rsidRDefault="0097153A" w:rsidP="0097153A">
      <w:r w:rsidRPr="0097153A">
        <w:rPr>
          <w:rFonts w:hint="eastAsia"/>
        </w:rPr>
        <w:t>〇　「空家総合戦略・大阪」（</w:t>
      </w:r>
      <w:r>
        <w:rPr>
          <w:rFonts w:hint="eastAsia"/>
        </w:rPr>
        <w:t>平成</w:t>
      </w:r>
      <w:r w:rsidRPr="0097153A">
        <w:rPr>
          <w:rFonts w:hint="eastAsia"/>
        </w:rPr>
        <w:t>28.12策定）及びその後継計画である「空家総合戦略・大阪2019」（</w:t>
      </w:r>
      <w:r>
        <w:rPr>
          <w:rFonts w:hint="eastAsia"/>
        </w:rPr>
        <w:t>平成</w:t>
      </w:r>
      <w:r w:rsidRPr="0097153A">
        <w:rPr>
          <w:rFonts w:hint="eastAsia"/>
        </w:rPr>
        <w:t>31.3策定）に基づき、市町村による空家の適正管理・除却や空家の利活用、民間事業者団体と連携した既存</w:t>
      </w:r>
      <w:r w:rsidR="004869B3">
        <w:rPr>
          <w:rFonts w:hint="eastAsia"/>
        </w:rPr>
        <w:t>住宅流通やリフォーム・リノベーション市場の活性化につながる取組</w:t>
      </w:r>
      <w:r w:rsidRPr="0097153A">
        <w:rPr>
          <w:rFonts w:hint="eastAsia"/>
        </w:rPr>
        <w:t>を６年にわたり推進した結果、</w:t>
      </w:r>
      <w:r w:rsidRPr="0097153A">
        <w:rPr>
          <w:rFonts w:hint="eastAsia"/>
          <w:u w:val="single"/>
        </w:rPr>
        <w:t>空家対策における基礎的な対応や市町村の体制整備は概ね完了</w:t>
      </w:r>
      <w:r w:rsidRPr="0097153A">
        <w:rPr>
          <w:rFonts w:hint="eastAsia"/>
        </w:rPr>
        <w:t>した。</w:t>
      </w:r>
    </w:p>
    <w:p w14:paraId="36E7FAFF" w14:textId="77777777" w:rsidR="0097153A" w:rsidRPr="004869B3" w:rsidRDefault="0097153A"/>
    <w:p w14:paraId="0C464CE2" w14:textId="77777777" w:rsidR="00164780" w:rsidRPr="00164780" w:rsidRDefault="00164780" w:rsidP="00164780">
      <w:r w:rsidRPr="00164780">
        <w:rPr>
          <w:rFonts w:hint="eastAsia"/>
          <w:b/>
          <w:bCs/>
        </w:rPr>
        <w:t>空家対策を取り巻く状況の変化</w:t>
      </w:r>
    </w:p>
    <w:p w14:paraId="000044A9" w14:textId="77777777" w:rsidR="00164780" w:rsidRPr="00164780" w:rsidRDefault="00164780" w:rsidP="00164780">
      <w:pPr>
        <w:ind w:left="420" w:hangingChars="200" w:hanging="420"/>
      </w:pPr>
      <w:r w:rsidRPr="00164780">
        <w:rPr>
          <w:rFonts w:hint="eastAsia"/>
        </w:rPr>
        <w:t xml:space="preserve">〇　</w:t>
      </w:r>
      <w:r w:rsidRPr="00164780">
        <w:rPr>
          <w:rFonts w:hint="eastAsia"/>
          <w:u w:val="single"/>
        </w:rPr>
        <w:t>各市町村で空家対策に関する考え方は多様化し、組織体制にも開きが見られる</w:t>
      </w:r>
      <w:r w:rsidRPr="00164780">
        <w:rPr>
          <w:rFonts w:hint="eastAsia"/>
        </w:rPr>
        <w:t>ことから、</w:t>
      </w:r>
      <w:r w:rsidRPr="00164780">
        <w:rPr>
          <w:rFonts w:hint="eastAsia"/>
          <w:u w:val="single"/>
        </w:rPr>
        <w:t>各市町村の取組状況に即したきめ細かな支援が必要</w:t>
      </w:r>
      <w:r w:rsidRPr="00164780">
        <w:rPr>
          <w:rFonts w:hint="eastAsia"/>
        </w:rPr>
        <w:t>になっている。</w:t>
      </w:r>
    </w:p>
    <w:p w14:paraId="2556B09B" w14:textId="77777777" w:rsidR="00164780" w:rsidRPr="00164780" w:rsidRDefault="00164780" w:rsidP="00164780">
      <w:pPr>
        <w:ind w:left="420" w:hangingChars="200" w:hanging="420"/>
      </w:pPr>
      <w:r w:rsidRPr="00164780">
        <w:rPr>
          <w:rFonts w:hint="eastAsia"/>
        </w:rPr>
        <w:t xml:space="preserve">〇　</w:t>
      </w:r>
      <w:r w:rsidRPr="00164780">
        <w:rPr>
          <w:rFonts w:hint="eastAsia"/>
          <w:u w:val="single"/>
        </w:rPr>
        <w:t>空家の利活用等に関する様々なビジネスモデルも生まれている</w:t>
      </w:r>
      <w:r w:rsidRPr="00164780">
        <w:rPr>
          <w:rFonts w:hint="eastAsia"/>
        </w:rPr>
        <w:t>ことから、</w:t>
      </w:r>
      <w:r w:rsidRPr="00164780">
        <w:rPr>
          <w:rFonts w:hint="eastAsia"/>
          <w:u w:val="single"/>
        </w:rPr>
        <w:t>民間事業者等との連携による空家対策の推進がこれまで以上に重要</w:t>
      </w:r>
      <w:r w:rsidRPr="00164780">
        <w:rPr>
          <w:rFonts w:hint="eastAsia"/>
        </w:rPr>
        <w:t>。</w:t>
      </w:r>
    </w:p>
    <w:p w14:paraId="09C20068" w14:textId="77777777" w:rsidR="00164780" w:rsidRDefault="00164780" w:rsidP="00164780">
      <w:pPr>
        <w:rPr>
          <w:b/>
          <w:bCs/>
        </w:rPr>
      </w:pPr>
    </w:p>
    <w:p w14:paraId="72964BBA" w14:textId="77777777" w:rsidR="00164780" w:rsidRPr="00164780" w:rsidRDefault="00164780" w:rsidP="00164780">
      <w:r w:rsidRPr="00164780">
        <w:rPr>
          <w:rFonts w:hint="eastAsia"/>
          <w:b/>
          <w:bCs/>
        </w:rPr>
        <w:t>【市町村の取組状況の多様化】</w:t>
      </w:r>
    </w:p>
    <w:p w14:paraId="0AE41662" w14:textId="77777777" w:rsidR="00164780" w:rsidRPr="00164780" w:rsidRDefault="00164780" w:rsidP="00164780">
      <w:r w:rsidRPr="00164780">
        <w:rPr>
          <w:rFonts w:hint="eastAsia"/>
        </w:rPr>
        <w:t>空家対策に対する市町村の考え方や体制の多様化</w:t>
      </w:r>
    </w:p>
    <w:p w14:paraId="6B3B7229" w14:textId="77777777" w:rsidR="00164780" w:rsidRPr="00164780" w:rsidRDefault="00164780" w:rsidP="00164780">
      <w:r w:rsidRPr="00164780">
        <w:rPr>
          <w:rFonts w:hint="eastAsia"/>
        </w:rPr>
        <w:t xml:space="preserve">　　 〇体制が充実し、空家の除却を進める一方で活用にも積極的な市町村</w:t>
      </w:r>
    </w:p>
    <w:p w14:paraId="62977073" w14:textId="77777777" w:rsidR="00164780" w:rsidRPr="00164780" w:rsidRDefault="00164780" w:rsidP="00164780">
      <w:r w:rsidRPr="00164780">
        <w:rPr>
          <w:rFonts w:hint="eastAsia"/>
        </w:rPr>
        <w:t xml:space="preserve">　　 〇体制強化や特定空家への措置等のノウハウを蓄積したい市町村</w:t>
      </w:r>
    </w:p>
    <w:p w14:paraId="66C1D8CC" w14:textId="77777777" w:rsidR="00164780" w:rsidRPr="00164780" w:rsidRDefault="00164780" w:rsidP="00164780">
      <w:r w:rsidRPr="00164780">
        <w:rPr>
          <w:rFonts w:hint="eastAsia"/>
          <w:b/>
          <w:bCs/>
        </w:rPr>
        <w:t>【民間事業者の動向】</w:t>
      </w:r>
    </w:p>
    <w:p w14:paraId="35A6EEF7" w14:textId="77777777" w:rsidR="00164780" w:rsidRPr="00164780" w:rsidRDefault="00164780" w:rsidP="00164780">
      <w:r w:rsidRPr="00164780">
        <w:rPr>
          <w:rFonts w:hint="eastAsia"/>
        </w:rPr>
        <w:t>空家対策に資する民間事業者のサービスや技術の進歩</w:t>
      </w:r>
      <w:r w:rsidRPr="00164780">
        <w:rPr>
          <w:rFonts w:hint="eastAsia"/>
        </w:rPr>
        <w:br/>
        <w:t xml:space="preserve">　　 〇多様な住まい方のニーズに対応した多拠点居住サービスの登場　等</w:t>
      </w:r>
    </w:p>
    <w:p w14:paraId="602A3FF0" w14:textId="77777777" w:rsidR="00164780" w:rsidRPr="00164780" w:rsidRDefault="00164780" w:rsidP="00164780">
      <w:r w:rsidRPr="00164780">
        <w:rPr>
          <w:rFonts w:hint="eastAsia"/>
        </w:rPr>
        <w:t xml:space="preserve">　　 〇公民が保有するビッグデータやAIを活用した空家の推定　等</w:t>
      </w:r>
    </w:p>
    <w:p w14:paraId="4FE3BB98" w14:textId="77777777" w:rsidR="00164780" w:rsidRDefault="00164780"/>
    <w:p w14:paraId="6EA09526" w14:textId="77777777" w:rsidR="00164780" w:rsidRPr="00164780" w:rsidRDefault="00164780" w:rsidP="00164780">
      <w:r w:rsidRPr="00164780">
        <w:rPr>
          <w:rFonts w:hint="eastAsia"/>
          <w:b/>
          <w:bCs/>
        </w:rPr>
        <w:t>本方針策定の考え方</w:t>
      </w:r>
    </w:p>
    <w:p w14:paraId="2186D854" w14:textId="77777777" w:rsidR="00164780" w:rsidRPr="00164780" w:rsidRDefault="00164780" w:rsidP="00164780">
      <w:pPr>
        <w:ind w:left="315" w:hangingChars="150" w:hanging="315"/>
      </w:pPr>
      <w:r w:rsidRPr="00164780">
        <w:rPr>
          <w:rFonts w:hint="eastAsia"/>
        </w:rPr>
        <w:t>〇 今後の空家対策では、市町村の取組状況や民間事業者の動向を適時・適切に捉え、有益な情報を迅速に市町村へ提供するなどの支援が重要</w:t>
      </w:r>
    </w:p>
    <w:p w14:paraId="4D25DC5E" w14:textId="77777777" w:rsidR="00164780" w:rsidRPr="00164780" w:rsidRDefault="00164780" w:rsidP="00164780">
      <w:pPr>
        <w:ind w:left="735" w:hangingChars="350" w:hanging="735"/>
      </w:pPr>
      <w:r w:rsidRPr="00164780">
        <w:rPr>
          <w:rFonts w:hint="eastAsia"/>
        </w:rPr>
        <w:t xml:space="preserve"> 　 ⇒ </w:t>
      </w:r>
      <w:r w:rsidRPr="00164780">
        <w:rPr>
          <w:rFonts w:hint="eastAsia"/>
          <w:b/>
          <w:bCs/>
          <w:u w:val="single"/>
        </w:rPr>
        <w:t>「空家総合戦略・大阪」の後継として、大阪府の当面の具体的な取組みを示す「空</w:t>
      </w:r>
      <w:r>
        <w:rPr>
          <w:rFonts w:hint="eastAsia"/>
          <w:b/>
          <w:bCs/>
          <w:u w:val="single"/>
        </w:rPr>
        <w:t xml:space="preserve">　　　</w:t>
      </w:r>
      <w:r w:rsidRPr="00164780">
        <w:rPr>
          <w:rFonts w:hint="eastAsia"/>
          <w:b/>
          <w:bCs/>
          <w:u w:val="single"/>
        </w:rPr>
        <w:t>家対策の取組方針」を策定</w:t>
      </w:r>
    </w:p>
    <w:p w14:paraId="4083D16C" w14:textId="77777777" w:rsidR="00164780" w:rsidRDefault="00164780"/>
    <w:p w14:paraId="1C05FCD2" w14:textId="583C77C5" w:rsidR="004869B3" w:rsidRDefault="00164780">
      <w:pPr>
        <w:rPr>
          <w:u w:val="single"/>
        </w:rPr>
      </w:pPr>
      <w:r w:rsidRPr="00164780">
        <w:rPr>
          <w:rFonts w:hint="eastAsia"/>
          <w:u w:val="single"/>
        </w:rPr>
        <w:t>空家対策の施策の方向性を「住まうビジョン・大阪」（</w:t>
      </w:r>
      <w:r>
        <w:rPr>
          <w:rFonts w:hint="eastAsia"/>
          <w:u w:val="single"/>
        </w:rPr>
        <w:t>令和</w:t>
      </w:r>
      <w:r w:rsidRPr="00164780">
        <w:rPr>
          <w:rFonts w:hint="eastAsia"/>
          <w:u w:val="single"/>
        </w:rPr>
        <w:t>3.12改定）に、同ビジョンに基づく具体的な取組みを本方針において示す。</w:t>
      </w:r>
    </w:p>
    <w:p w14:paraId="22CBAC2A" w14:textId="30DB0E02" w:rsidR="00E60C27" w:rsidRDefault="00E60C27">
      <w:pPr>
        <w:rPr>
          <w:u w:val="single"/>
        </w:rPr>
      </w:pPr>
      <w:r w:rsidRPr="00E60C27">
        <w:rPr>
          <w:rFonts w:hint="eastAsia"/>
          <w:u w:val="single"/>
        </w:rPr>
        <w:t>空家法改正を踏まえ、市町村による制度の活用が円滑に進むよう、支援の充実を図るととともに、「空家対策の取組方針」を適宜見直し</w:t>
      </w:r>
    </w:p>
    <w:p w14:paraId="6A099689" w14:textId="77777777" w:rsidR="00E60C27" w:rsidRDefault="00E60C27"/>
    <w:p w14:paraId="2CB81546" w14:textId="77777777" w:rsidR="00E60C27" w:rsidRDefault="00E60C27"/>
    <w:p w14:paraId="14C52BF0" w14:textId="77777777" w:rsidR="00E60C27" w:rsidRDefault="00E60C27"/>
    <w:p w14:paraId="28DA593A" w14:textId="77777777" w:rsidR="00E60C27" w:rsidRDefault="00E60C27"/>
    <w:p w14:paraId="3B50261A" w14:textId="0D35CC7F" w:rsidR="00E60C27" w:rsidRDefault="00947490">
      <w:pPr>
        <w:rPr>
          <w:noProof/>
        </w:rPr>
      </w:pPr>
      <w:r w:rsidRPr="00164780">
        <w:rPr>
          <w:noProof/>
        </w:rPr>
        <w:lastRenderedPageBreak/>
        <mc:AlternateContent>
          <mc:Choice Requires="wpg">
            <w:drawing>
              <wp:anchor distT="0" distB="0" distL="114300" distR="114300" simplePos="0" relativeHeight="251662336" behindDoc="0" locked="0" layoutInCell="1" allowOverlap="1" wp14:anchorId="4F9F9092" wp14:editId="2D487C77">
                <wp:simplePos x="0" y="0"/>
                <wp:positionH relativeFrom="margin">
                  <wp:posOffset>-51435</wp:posOffset>
                </wp:positionH>
                <wp:positionV relativeFrom="paragraph">
                  <wp:posOffset>371475</wp:posOffset>
                </wp:positionV>
                <wp:extent cx="2749550" cy="711199"/>
                <wp:effectExtent l="57150" t="38100" r="50800" b="0"/>
                <wp:wrapNone/>
                <wp:docPr id="1" name="グループ化 188"/>
                <wp:cNvGraphicFramePr/>
                <a:graphic xmlns:a="http://schemas.openxmlformats.org/drawingml/2006/main">
                  <a:graphicData uri="http://schemas.microsoft.com/office/word/2010/wordprocessingGroup">
                    <wpg:wgp>
                      <wpg:cNvGrpSpPr/>
                      <wpg:grpSpPr bwMode="auto">
                        <a:xfrm>
                          <a:off x="0" y="0"/>
                          <a:ext cx="2749550" cy="711199"/>
                          <a:chOff x="0" y="0"/>
                          <a:chExt cx="11127727" cy="675191"/>
                        </a:xfrm>
                      </wpg:grpSpPr>
                      <wps:wsp>
                        <wps:cNvPr id="4" name="角丸四角形 4"/>
                        <wps:cNvSpPr/>
                        <wps:spPr bwMode="auto">
                          <a:xfrm>
                            <a:off x="0" y="0"/>
                            <a:ext cx="11127727" cy="474662"/>
                          </a:xfrm>
                          <a:prstGeom prst="roundRect">
                            <a:avLst/>
                          </a:prstGeom>
                          <a:solidFill>
                            <a:schemeClr val="accent3">
                              <a:lumMod val="75000"/>
                            </a:schemeClr>
                          </a:solidFill>
                          <a:ln/>
                        </wps:spPr>
                        <wps:style>
                          <a:lnRef idx="0">
                            <a:schemeClr val="accent2"/>
                          </a:lnRef>
                          <a:fillRef idx="3">
                            <a:schemeClr val="accent2"/>
                          </a:fillRef>
                          <a:effectRef idx="3">
                            <a:schemeClr val="accent2"/>
                          </a:effectRef>
                          <a:fontRef idx="minor">
                            <a:schemeClr val="lt1"/>
                          </a:fontRef>
                        </wps:style>
                        <wps:bodyPr anchor="ctr"/>
                      </wps:wsp>
                      <wps:wsp>
                        <wps:cNvPr id="5" name="正方形/長方形 5" title="住まうビジョン・大阪（施策の方向性を提示）"/>
                        <wps:cNvSpPr>
                          <a:spLocks noChangeArrowheads="1"/>
                        </wps:cNvSpPr>
                        <wps:spPr bwMode="auto">
                          <a:xfrm>
                            <a:off x="432170" y="22031"/>
                            <a:ext cx="10646307" cy="6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2F5D"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rPr>
                                <w:t>住まうビジョン・大阪（施策の方向性を提示）</w:t>
                              </w:r>
                            </w:p>
                          </w:txbxContent>
                        </wps:txbx>
                        <wps:bodyPr wrap="none">
                          <a:noAutofit/>
                        </wps:bodyPr>
                      </wps:wsp>
                    </wpg:wgp>
                  </a:graphicData>
                </a:graphic>
                <wp14:sizeRelH relativeFrom="margin">
                  <wp14:pctWidth>0</wp14:pctWidth>
                </wp14:sizeRelH>
                <wp14:sizeRelV relativeFrom="margin">
                  <wp14:pctHeight>0</wp14:pctHeight>
                </wp14:sizeRelV>
              </wp:anchor>
            </w:drawing>
          </mc:Choice>
          <mc:Fallback>
            <w:pict>
              <v:group w14:anchorId="4F9F9092" id="グループ化 188" o:spid="_x0000_s1026" style="position:absolute;left:0;text-align:left;margin-left:-4.05pt;margin-top:29.25pt;width:216.5pt;height:56pt;z-index:251662336;mso-position-horizontal-relative:margin;mso-width-relative:margin;mso-height-relative:margin" coordsize="111277,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">
                <v:roundrect id="角丸四角形 4" o:spid="_x0000_s1027" style="position:absolute;width:111277;height:4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" fillcolor="#7b7b7b [2406]" stroked="f">
                  <v:shadow on="t" color="black" opacity="41287f" offset="0,1.5pt"/>
                </v:roundrect>
                <v:rect id="正方形/長方形 5" o:spid="_x0000_s1028" style="position:absolute;left:4321;top:220;width:106463;height:6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" filled="f" stroked="f">
                  <v:textbox>
                    <w:txbxContent>
                      <w:p w14:paraId="4CBF2F5D"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rPr>
                          <w:t>住まうビジョン・大阪（施策の方向性を提示）</w:t>
                        </w:r>
                      </w:p>
                    </w:txbxContent>
                  </v:textbox>
                </v:rect>
                <w10:wrap anchorx="margin"/>
              </v:group>
            </w:pict>
          </mc:Fallback>
        </mc:AlternateContent>
      </w:r>
      <w:r w:rsidRPr="00164780">
        <w:rPr>
          <w:noProof/>
        </w:rPr>
        <mc:AlternateContent>
          <mc:Choice Requires="wps">
            <w:drawing>
              <wp:anchor distT="0" distB="0" distL="114300" distR="114300" simplePos="0" relativeHeight="251664384" behindDoc="0" locked="0" layoutInCell="1" allowOverlap="1" wp14:anchorId="5E0EE1C8" wp14:editId="7BF8A572">
                <wp:simplePos x="0" y="0"/>
                <wp:positionH relativeFrom="column">
                  <wp:posOffset>842645</wp:posOffset>
                </wp:positionH>
                <wp:positionV relativeFrom="paragraph">
                  <wp:posOffset>532765</wp:posOffset>
                </wp:positionV>
                <wp:extent cx="1275980" cy="302327"/>
                <wp:effectExtent l="0" t="0" r="0" b="3810"/>
                <wp:wrapNone/>
                <wp:docPr id="48" name="テキスト ボックス 3" title="※令和3.12改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80" cy="30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F2F0" w14:textId="77777777"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rPr>
                              <w:t>※令和3.12改定</w:t>
                            </w:r>
                          </w:p>
                        </w:txbxContent>
                      </wps:txbx>
                      <wps:bodyPr wrap="square">
                        <a:spAutoFit/>
                      </wps:bodyPr>
                    </wps:wsp>
                  </a:graphicData>
                </a:graphic>
                <wp14:sizeRelH relativeFrom="margin">
                  <wp14:pctWidth>0</wp14:pctWidth>
                </wp14:sizeRelH>
              </wp:anchor>
            </w:drawing>
          </mc:Choice>
          <mc:Fallback>
            <w:pict>
              <v:shapetype w14:anchorId="5E0EE1C8" id="_x0000_t202" coordsize="21600,21600" o:spt="202" path="m,l,21600r21600,l21600,xe">
                <v:stroke joinstyle="miter"/>
                <v:path gradientshapeok="t" o:connecttype="rect"/>
              </v:shapetype>
              <v:shape id="テキスト ボックス 3" o:spid="_x0000_s1029" type="#_x0000_t202" alt="タイトル: ※令和3.12改定" style="position:absolute;left:0;text-align:left;margin-left:66.35pt;margin-top:41.95pt;width:100.45pt;height:23.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" filled="f" stroked="f">
                <v:textbox style="mso-fit-shape-to-text:t">
                  <w:txbxContent>
                    <w:p w14:paraId="69B7F2F0" w14:textId="77777777"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rPr>
                        <w:t>※令和3.12改定</w:t>
                      </w:r>
                    </w:p>
                  </w:txbxContent>
                </v:textbox>
              </v:shape>
            </w:pict>
          </mc:Fallback>
        </mc:AlternateContent>
      </w:r>
    </w:p>
    <w:p w14:paraId="0297714F" w14:textId="41867009" w:rsidR="00E60C27" w:rsidRDefault="001F2EB5">
      <w:pPr>
        <w:rPr>
          <w:noProof/>
        </w:rPr>
      </w:pPr>
      <w:r w:rsidRPr="00164780">
        <w:rPr>
          <w:noProof/>
        </w:rPr>
        <mc:AlternateContent>
          <mc:Choice Requires="wps">
            <w:drawing>
              <wp:anchor distT="0" distB="0" distL="114300" distR="114300" simplePos="0" relativeHeight="251666432" behindDoc="0" locked="0" layoutInCell="1" allowOverlap="1" wp14:anchorId="722AEC5C" wp14:editId="40FD7485">
                <wp:simplePos x="0" y="0"/>
                <wp:positionH relativeFrom="column">
                  <wp:posOffset>2786380</wp:posOffset>
                </wp:positionH>
                <wp:positionV relativeFrom="paragraph">
                  <wp:posOffset>165735</wp:posOffset>
                </wp:positionV>
                <wp:extent cx="2743200" cy="490827"/>
                <wp:effectExtent l="57150" t="38100" r="57150" b="81280"/>
                <wp:wrapNone/>
                <wp:docPr id="128" name="角丸四角形 127"/>
                <wp:cNvGraphicFramePr/>
                <a:graphic xmlns:a="http://schemas.openxmlformats.org/drawingml/2006/main">
                  <a:graphicData uri="http://schemas.microsoft.com/office/word/2010/wordprocessingShape">
                    <wps:wsp>
                      <wps:cNvSpPr/>
                      <wps:spPr bwMode="auto">
                        <a:xfrm>
                          <a:off x="0" y="0"/>
                          <a:ext cx="2743200" cy="490827"/>
                        </a:xfrm>
                        <a:prstGeom prst="roundRect">
                          <a:avLst/>
                        </a:prstGeom>
                        <a:ln/>
                      </wps:spPr>
                      <wps:style>
                        <a:lnRef idx="0">
                          <a:schemeClr val="accent2"/>
                        </a:lnRef>
                        <a:fillRef idx="3">
                          <a:schemeClr val="accent2"/>
                        </a:fillRef>
                        <a:effectRef idx="3">
                          <a:schemeClr val="accent2"/>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w14:anchorId="170CE134" id="角丸四角形 127" o:spid="_x0000_s1026" style="position:absolute;left:0;text-align:left;margin-left:219.4pt;margin-top:13.05pt;width:3in;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" fillcolor="#ee853d [3029]" stroked="f">
                <v:fill color2="#ec7a2d [3173]" rotate="t" colors="0 #f18c55;.5 #f67b28;1 #e56b17" focus="100%" type="gradient">
                  <o:fill v:ext="view" type="gradientUnscaled"/>
                </v:fill>
                <v:shadow on="t" color="black" opacity="41287f" offset="0,1.5pt"/>
              </v:roundrect>
            </w:pict>
          </mc:Fallback>
        </mc:AlternateContent>
      </w:r>
      <w:r w:rsidRPr="00164780">
        <w:rPr>
          <w:noProof/>
        </w:rPr>
        <mc:AlternateContent>
          <mc:Choice Requires="wps">
            <w:drawing>
              <wp:anchor distT="0" distB="0" distL="114300" distR="114300" simplePos="0" relativeHeight="251670528" behindDoc="0" locked="0" layoutInCell="1" allowOverlap="1" wp14:anchorId="0CF006EB" wp14:editId="4305E30B">
                <wp:simplePos x="0" y="0"/>
                <wp:positionH relativeFrom="page">
                  <wp:posOffset>3860800</wp:posOffset>
                </wp:positionH>
                <wp:positionV relativeFrom="paragraph">
                  <wp:posOffset>165100</wp:posOffset>
                </wp:positionV>
                <wp:extent cx="4239895" cy="338455"/>
                <wp:effectExtent l="0" t="0" r="0" b="3810"/>
                <wp:wrapNone/>
                <wp:docPr id="15441" name="正方形/長方形 34" title="空家対策の取組方針（具体的な取組みを提示）"/>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D484"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rPr>
                              <w:t>空家対策の取組方針（具体的な取組みを提示）</w:t>
                            </w:r>
                          </w:p>
                        </w:txbxContent>
                      </wps:txbx>
                      <wps:bodyPr wrap="none">
                        <a:spAutoFit/>
                      </wps:bodyPr>
                    </wps:wsp>
                  </a:graphicData>
                </a:graphic>
              </wp:anchor>
            </w:drawing>
          </mc:Choice>
          <mc:Fallback>
            <w:pict>
              <v:rect w14:anchorId="0CF006EB" id="正方形/長方形 34" o:spid="_x0000_s1030" alt="タイトル: 空家対策の取組方針（具体的な取組みを提示）" style="position:absolute;left:0;text-align:left;margin-left:304pt;margin-top:13pt;width:333.85pt;height:26.65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" filled="f" stroked="f">
                <v:textbox style="mso-fit-shape-to-text:t">
                  <w:txbxContent>
                    <w:p w14:paraId="1A0BD484" w14:textId="77777777"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rPr>
                        <w:t>空家対策の取組方針（具体的な取組みを提示）</w:t>
                      </w:r>
                    </w:p>
                  </w:txbxContent>
                </v:textbox>
                <w10:wrap anchorx="page"/>
              </v:rect>
            </w:pict>
          </mc:Fallback>
        </mc:AlternateContent>
      </w:r>
    </w:p>
    <w:p w14:paraId="3FDC735B" w14:textId="63F2DCA1" w:rsidR="00E60C27" w:rsidRDefault="001F2EB5">
      <w:pPr>
        <w:rPr>
          <w:noProof/>
        </w:rPr>
      </w:pPr>
      <w:r w:rsidRPr="00164780">
        <w:rPr>
          <w:noProof/>
        </w:rPr>
        <mc:AlternateContent>
          <mc:Choice Requires="wps">
            <w:drawing>
              <wp:anchor distT="0" distB="0" distL="114300" distR="114300" simplePos="0" relativeHeight="251668480" behindDoc="0" locked="0" layoutInCell="1" allowOverlap="1" wp14:anchorId="5388B52F" wp14:editId="32C5E537">
                <wp:simplePos x="0" y="0"/>
                <wp:positionH relativeFrom="column">
                  <wp:posOffset>2804160</wp:posOffset>
                </wp:positionH>
                <wp:positionV relativeFrom="paragraph">
                  <wp:posOffset>105410</wp:posOffset>
                </wp:positionV>
                <wp:extent cx="2886502" cy="323850"/>
                <wp:effectExtent l="0" t="0" r="0" b="3810"/>
                <wp:wrapNone/>
                <wp:docPr id="15422" name="テキスト ボックス 3" title="※適宜、進捗管理を実施するとともに、弾力的に見直しを行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502"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3178" w14:textId="77777777"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rPr>
                              <w:t>※適宜、</w:t>
                            </w:r>
                            <w:r w:rsidRPr="00164780">
                              <w:rPr>
                                <w:rFonts w:ascii="UD デジタル 教科書体 NK-R" w:eastAsia="UD デジタル 教科書体 NK-R" w:cstheme="minorBidi" w:hint="eastAsia"/>
                                <w:color w:val="FFFFFF" w:themeColor="background1"/>
                                <w:kern w:val="24"/>
                                <w:sz w:val="16"/>
                                <w:szCs w:val="18"/>
                                <w:u w:val="single"/>
                              </w:rPr>
                              <w:t>進捗管理を実施</w:t>
                            </w:r>
                            <w:r w:rsidRPr="00164780">
                              <w:rPr>
                                <w:rFonts w:ascii="UD デジタル 教科書体 NK-R" w:eastAsia="UD デジタル 教科書体 NK-R" w:cstheme="minorBidi" w:hint="eastAsia"/>
                                <w:color w:val="FFFFFF" w:themeColor="background1"/>
                                <w:kern w:val="24"/>
                                <w:sz w:val="16"/>
                                <w:szCs w:val="18"/>
                              </w:rPr>
                              <w:t>するとともに、</w:t>
                            </w:r>
                            <w:r w:rsidRPr="00164780">
                              <w:rPr>
                                <w:rFonts w:ascii="UD デジタル 教科書体 NK-R" w:eastAsia="UD デジタル 教科書体 NK-R" w:cstheme="minorBidi" w:hint="eastAsia"/>
                                <w:color w:val="FFFFFF" w:themeColor="background1"/>
                                <w:kern w:val="24"/>
                                <w:sz w:val="16"/>
                                <w:szCs w:val="18"/>
                                <w:u w:val="single"/>
                              </w:rPr>
                              <w:t>弾力的に見直し</w:t>
                            </w:r>
                            <w:r w:rsidRPr="00164780">
                              <w:rPr>
                                <w:rFonts w:ascii="UD デジタル 教科書体 NK-R" w:eastAsia="UD デジタル 教科書体 NK-R" w:cstheme="minorBidi" w:hint="eastAsia"/>
                                <w:color w:val="FFFFFF" w:themeColor="background1"/>
                                <w:kern w:val="24"/>
                                <w:sz w:val="16"/>
                                <w:szCs w:val="18"/>
                              </w:rPr>
                              <w:t>を行う。</w:t>
                            </w:r>
                          </w:p>
                        </w:txbxContent>
                      </wps:txbx>
                      <wps:bodyPr wrap="square">
                        <a:spAutoFit/>
                      </wps:bodyPr>
                    </wps:wsp>
                  </a:graphicData>
                </a:graphic>
                <wp14:sizeRelH relativeFrom="margin">
                  <wp14:pctWidth>0</wp14:pctWidth>
                </wp14:sizeRelH>
              </wp:anchor>
            </w:drawing>
          </mc:Choice>
          <mc:Fallback>
            <w:pict>
              <v:shape w14:anchorId="5388B52F" id="_x0000_s1031" type="#_x0000_t202" alt="タイトル: ※適宜、進捗管理を実施するとともに、弾力的に見直しを行う。" style="position:absolute;left:0;text-align:left;margin-left:220.8pt;margin-top:8.3pt;width:227.3pt;height: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" filled="f" stroked="f">
                <v:textbox style="mso-fit-shape-to-text:t">
                  <w:txbxContent>
                    <w:p w14:paraId="25AE3178" w14:textId="77777777"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rPr>
                        <w:t>※適宜、</w:t>
                      </w:r>
                      <w:r w:rsidRPr="00164780">
                        <w:rPr>
                          <w:rFonts w:ascii="UD デジタル 教科書体 NK-R" w:eastAsia="UD デジタル 教科書体 NK-R" w:cstheme="minorBidi" w:hint="eastAsia"/>
                          <w:color w:val="FFFFFF" w:themeColor="background1"/>
                          <w:kern w:val="24"/>
                          <w:sz w:val="16"/>
                          <w:szCs w:val="18"/>
                          <w:u w:val="single"/>
                        </w:rPr>
                        <w:t>進捗管理を実施</w:t>
                      </w:r>
                      <w:r w:rsidRPr="00164780">
                        <w:rPr>
                          <w:rFonts w:ascii="UD デジタル 教科書体 NK-R" w:eastAsia="UD デジタル 教科書体 NK-R" w:cstheme="minorBidi" w:hint="eastAsia"/>
                          <w:color w:val="FFFFFF" w:themeColor="background1"/>
                          <w:kern w:val="24"/>
                          <w:sz w:val="16"/>
                          <w:szCs w:val="18"/>
                        </w:rPr>
                        <w:t>するとともに、</w:t>
                      </w:r>
                      <w:r w:rsidRPr="00164780">
                        <w:rPr>
                          <w:rFonts w:ascii="UD デジタル 教科書体 NK-R" w:eastAsia="UD デジタル 教科書体 NK-R" w:cstheme="minorBidi" w:hint="eastAsia"/>
                          <w:color w:val="FFFFFF" w:themeColor="background1"/>
                          <w:kern w:val="24"/>
                          <w:sz w:val="16"/>
                          <w:szCs w:val="18"/>
                          <w:u w:val="single"/>
                        </w:rPr>
                        <w:t>弾力的に見直し</w:t>
                      </w:r>
                      <w:r w:rsidRPr="00164780">
                        <w:rPr>
                          <w:rFonts w:ascii="UD デジタル 教科書体 NK-R" w:eastAsia="UD デジタル 教科書体 NK-R" w:cstheme="minorBidi" w:hint="eastAsia"/>
                          <w:color w:val="FFFFFF" w:themeColor="background1"/>
                          <w:kern w:val="24"/>
                          <w:sz w:val="16"/>
                          <w:szCs w:val="18"/>
                        </w:rPr>
                        <w:t>を行う。</w:t>
                      </w:r>
                    </w:p>
                  </w:txbxContent>
                </v:textbox>
              </v:shape>
            </w:pict>
          </mc:Fallback>
        </mc:AlternateContent>
      </w:r>
    </w:p>
    <w:p w14:paraId="13CBC8E0" w14:textId="0F7E8770" w:rsidR="00E60C27" w:rsidRDefault="00E60C27">
      <w:pPr>
        <w:rPr>
          <w:noProof/>
        </w:rPr>
      </w:pPr>
    </w:p>
    <w:p w14:paraId="2CC0BCF0" w14:textId="3E5F2A17" w:rsidR="00164780" w:rsidRDefault="00321B7B" w:rsidP="00E60C27">
      <w:pPr>
        <w:jc w:val="right"/>
      </w:pPr>
      <w:r>
        <w:rPr>
          <w:noProof/>
        </w:rPr>
        <w:drawing>
          <wp:inline distT="0" distB="0" distL="0" distR="0" wp14:anchorId="63DE8401" wp14:editId="1FC550CE">
            <wp:extent cx="2644140" cy="219456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4140" cy="2194560"/>
                    </a:xfrm>
                    <a:prstGeom prst="rect">
                      <a:avLst/>
                    </a:prstGeom>
                    <a:noFill/>
                    <a:ln>
                      <a:noFill/>
                    </a:ln>
                  </pic:spPr>
                </pic:pic>
              </a:graphicData>
            </a:graphic>
          </wp:inline>
        </w:drawing>
      </w:r>
      <w:r w:rsidR="00E60C27">
        <w:rPr>
          <w:noProof/>
        </w:rPr>
        <w:drawing>
          <wp:anchor distT="0" distB="0" distL="114300" distR="114300" simplePos="0" relativeHeight="251671552" behindDoc="0" locked="0" layoutInCell="1" allowOverlap="1" wp14:anchorId="0B6427BB" wp14:editId="2400133D">
            <wp:simplePos x="0" y="0"/>
            <wp:positionH relativeFrom="margin">
              <wp:align>left</wp:align>
            </wp:positionH>
            <wp:positionV relativeFrom="paragraph">
              <wp:posOffset>34925</wp:posOffset>
            </wp:positionV>
            <wp:extent cx="2628900" cy="217932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C27">
        <w:br w:type="textWrapping" w:clear="all"/>
      </w:r>
    </w:p>
    <w:p w14:paraId="0304DFA0" w14:textId="6D039E2A" w:rsidR="00321B7B" w:rsidRDefault="00321B7B" w:rsidP="00E60C27">
      <w:pPr>
        <w:jc w:val="right"/>
      </w:pPr>
    </w:p>
    <w:p w14:paraId="3ED7B56F" w14:textId="70E05C57" w:rsidR="00321B7B" w:rsidRPr="00164780" w:rsidRDefault="00321B7B" w:rsidP="00E60C27">
      <w:pPr>
        <w:jc w:val="right"/>
        <w:rPr>
          <w:rFonts w:hint="eastAsia"/>
        </w:rPr>
      </w:pPr>
    </w:p>
    <w:sectPr w:rsidR="00321B7B" w:rsidRPr="001647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3A"/>
    <w:rsid w:val="00164780"/>
    <w:rsid w:val="001D4D22"/>
    <w:rsid w:val="001F2EB5"/>
    <w:rsid w:val="00321B7B"/>
    <w:rsid w:val="004869B3"/>
    <w:rsid w:val="0049415E"/>
    <w:rsid w:val="004D4995"/>
    <w:rsid w:val="005B2711"/>
    <w:rsid w:val="006D61B7"/>
    <w:rsid w:val="00947490"/>
    <w:rsid w:val="0097153A"/>
    <w:rsid w:val="00CD71F8"/>
    <w:rsid w:val="00E360D5"/>
    <w:rsid w:val="00E60C27"/>
    <w:rsid w:val="00F6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B83B24C"/>
  <w15:chartTrackingRefBased/>
  <w15:docId w15:val="{DE18D743-1687-49B1-917E-C653DD8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4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617">
      <w:bodyDiv w:val="1"/>
      <w:marLeft w:val="0"/>
      <w:marRight w:val="0"/>
      <w:marTop w:val="0"/>
      <w:marBottom w:val="0"/>
      <w:divBdr>
        <w:top w:val="none" w:sz="0" w:space="0" w:color="auto"/>
        <w:left w:val="none" w:sz="0" w:space="0" w:color="auto"/>
        <w:bottom w:val="none" w:sz="0" w:space="0" w:color="auto"/>
        <w:right w:val="none" w:sz="0" w:space="0" w:color="auto"/>
      </w:divBdr>
    </w:div>
    <w:div w:id="184098863">
      <w:bodyDiv w:val="1"/>
      <w:marLeft w:val="0"/>
      <w:marRight w:val="0"/>
      <w:marTop w:val="0"/>
      <w:marBottom w:val="0"/>
      <w:divBdr>
        <w:top w:val="none" w:sz="0" w:space="0" w:color="auto"/>
        <w:left w:val="none" w:sz="0" w:space="0" w:color="auto"/>
        <w:bottom w:val="none" w:sz="0" w:space="0" w:color="auto"/>
        <w:right w:val="none" w:sz="0" w:space="0" w:color="auto"/>
      </w:divBdr>
    </w:div>
    <w:div w:id="428619177">
      <w:bodyDiv w:val="1"/>
      <w:marLeft w:val="0"/>
      <w:marRight w:val="0"/>
      <w:marTop w:val="0"/>
      <w:marBottom w:val="0"/>
      <w:divBdr>
        <w:top w:val="none" w:sz="0" w:space="0" w:color="auto"/>
        <w:left w:val="none" w:sz="0" w:space="0" w:color="auto"/>
        <w:bottom w:val="none" w:sz="0" w:space="0" w:color="auto"/>
        <w:right w:val="none" w:sz="0" w:space="0" w:color="auto"/>
      </w:divBdr>
    </w:div>
    <w:div w:id="478233296">
      <w:bodyDiv w:val="1"/>
      <w:marLeft w:val="0"/>
      <w:marRight w:val="0"/>
      <w:marTop w:val="0"/>
      <w:marBottom w:val="0"/>
      <w:divBdr>
        <w:top w:val="none" w:sz="0" w:space="0" w:color="auto"/>
        <w:left w:val="none" w:sz="0" w:space="0" w:color="auto"/>
        <w:bottom w:val="none" w:sz="0" w:space="0" w:color="auto"/>
        <w:right w:val="none" w:sz="0" w:space="0" w:color="auto"/>
      </w:divBdr>
    </w:div>
    <w:div w:id="500782571">
      <w:bodyDiv w:val="1"/>
      <w:marLeft w:val="0"/>
      <w:marRight w:val="0"/>
      <w:marTop w:val="0"/>
      <w:marBottom w:val="0"/>
      <w:divBdr>
        <w:top w:val="none" w:sz="0" w:space="0" w:color="auto"/>
        <w:left w:val="none" w:sz="0" w:space="0" w:color="auto"/>
        <w:bottom w:val="none" w:sz="0" w:space="0" w:color="auto"/>
        <w:right w:val="none" w:sz="0" w:space="0" w:color="auto"/>
      </w:divBdr>
    </w:div>
    <w:div w:id="757487034">
      <w:bodyDiv w:val="1"/>
      <w:marLeft w:val="0"/>
      <w:marRight w:val="0"/>
      <w:marTop w:val="0"/>
      <w:marBottom w:val="0"/>
      <w:divBdr>
        <w:top w:val="none" w:sz="0" w:space="0" w:color="auto"/>
        <w:left w:val="none" w:sz="0" w:space="0" w:color="auto"/>
        <w:bottom w:val="none" w:sz="0" w:space="0" w:color="auto"/>
        <w:right w:val="none" w:sz="0" w:space="0" w:color="auto"/>
      </w:divBdr>
    </w:div>
    <w:div w:id="768740159">
      <w:bodyDiv w:val="1"/>
      <w:marLeft w:val="0"/>
      <w:marRight w:val="0"/>
      <w:marTop w:val="0"/>
      <w:marBottom w:val="0"/>
      <w:divBdr>
        <w:top w:val="none" w:sz="0" w:space="0" w:color="auto"/>
        <w:left w:val="none" w:sz="0" w:space="0" w:color="auto"/>
        <w:bottom w:val="none" w:sz="0" w:space="0" w:color="auto"/>
        <w:right w:val="none" w:sz="0" w:space="0" w:color="auto"/>
      </w:divBdr>
    </w:div>
    <w:div w:id="781531197">
      <w:bodyDiv w:val="1"/>
      <w:marLeft w:val="0"/>
      <w:marRight w:val="0"/>
      <w:marTop w:val="0"/>
      <w:marBottom w:val="0"/>
      <w:divBdr>
        <w:top w:val="none" w:sz="0" w:space="0" w:color="auto"/>
        <w:left w:val="none" w:sz="0" w:space="0" w:color="auto"/>
        <w:bottom w:val="none" w:sz="0" w:space="0" w:color="auto"/>
        <w:right w:val="none" w:sz="0" w:space="0" w:color="auto"/>
      </w:divBdr>
    </w:div>
    <w:div w:id="799802160">
      <w:bodyDiv w:val="1"/>
      <w:marLeft w:val="0"/>
      <w:marRight w:val="0"/>
      <w:marTop w:val="0"/>
      <w:marBottom w:val="0"/>
      <w:divBdr>
        <w:top w:val="none" w:sz="0" w:space="0" w:color="auto"/>
        <w:left w:val="none" w:sz="0" w:space="0" w:color="auto"/>
        <w:bottom w:val="none" w:sz="0" w:space="0" w:color="auto"/>
        <w:right w:val="none" w:sz="0" w:space="0" w:color="auto"/>
      </w:divBdr>
    </w:div>
    <w:div w:id="1141531675">
      <w:bodyDiv w:val="1"/>
      <w:marLeft w:val="0"/>
      <w:marRight w:val="0"/>
      <w:marTop w:val="0"/>
      <w:marBottom w:val="0"/>
      <w:divBdr>
        <w:top w:val="none" w:sz="0" w:space="0" w:color="auto"/>
        <w:left w:val="none" w:sz="0" w:space="0" w:color="auto"/>
        <w:bottom w:val="none" w:sz="0" w:space="0" w:color="auto"/>
        <w:right w:val="none" w:sz="0" w:space="0" w:color="auto"/>
      </w:divBdr>
    </w:div>
    <w:div w:id="1272710601">
      <w:bodyDiv w:val="1"/>
      <w:marLeft w:val="0"/>
      <w:marRight w:val="0"/>
      <w:marTop w:val="0"/>
      <w:marBottom w:val="0"/>
      <w:divBdr>
        <w:top w:val="none" w:sz="0" w:space="0" w:color="auto"/>
        <w:left w:val="none" w:sz="0" w:space="0" w:color="auto"/>
        <w:bottom w:val="none" w:sz="0" w:space="0" w:color="auto"/>
        <w:right w:val="none" w:sz="0" w:space="0" w:color="auto"/>
      </w:divBdr>
    </w:div>
    <w:div w:id="1355839959">
      <w:bodyDiv w:val="1"/>
      <w:marLeft w:val="0"/>
      <w:marRight w:val="0"/>
      <w:marTop w:val="0"/>
      <w:marBottom w:val="0"/>
      <w:divBdr>
        <w:top w:val="none" w:sz="0" w:space="0" w:color="auto"/>
        <w:left w:val="none" w:sz="0" w:space="0" w:color="auto"/>
        <w:bottom w:val="none" w:sz="0" w:space="0" w:color="auto"/>
        <w:right w:val="none" w:sz="0" w:space="0" w:color="auto"/>
      </w:divBdr>
    </w:div>
    <w:div w:id="1372993345">
      <w:bodyDiv w:val="1"/>
      <w:marLeft w:val="0"/>
      <w:marRight w:val="0"/>
      <w:marTop w:val="0"/>
      <w:marBottom w:val="0"/>
      <w:divBdr>
        <w:top w:val="none" w:sz="0" w:space="0" w:color="auto"/>
        <w:left w:val="none" w:sz="0" w:space="0" w:color="auto"/>
        <w:bottom w:val="none" w:sz="0" w:space="0" w:color="auto"/>
        <w:right w:val="none" w:sz="0" w:space="0" w:color="auto"/>
      </w:divBdr>
    </w:div>
    <w:div w:id="1402561392">
      <w:bodyDiv w:val="1"/>
      <w:marLeft w:val="0"/>
      <w:marRight w:val="0"/>
      <w:marTop w:val="0"/>
      <w:marBottom w:val="0"/>
      <w:divBdr>
        <w:top w:val="none" w:sz="0" w:space="0" w:color="auto"/>
        <w:left w:val="none" w:sz="0" w:space="0" w:color="auto"/>
        <w:bottom w:val="none" w:sz="0" w:space="0" w:color="auto"/>
        <w:right w:val="none" w:sz="0" w:space="0" w:color="auto"/>
      </w:divBdr>
    </w:div>
    <w:div w:id="1431896161">
      <w:bodyDiv w:val="1"/>
      <w:marLeft w:val="0"/>
      <w:marRight w:val="0"/>
      <w:marTop w:val="0"/>
      <w:marBottom w:val="0"/>
      <w:divBdr>
        <w:top w:val="none" w:sz="0" w:space="0" w:color="auto"/>
        <w:left w:val="none" w:sz="0" w:space="0" w:color="auto"/>
        <w:bottom w:val="none" w:sz="0" w:space="0" w:color="auto"/>
        <w:right w:val="none" w:sz="0" w:space="0" w:color="auto"/>
      </w:divBdr>
    </w:div>
    <w:div w:id="1499081861">
      <w:bodyDiv w:val="1"/>
      <w:marLeft w:val="0"/>
      <w:marRight w:val="0"/>
      <w:marTop w:val="0"/>
      <w:marBottom w:val="0"/>
      <w:divBdr>
        <w:top w:val="none" w:sz="0" w:space="0" w:color="auto"/>
        <w:left w:val="none" w:sz="0" w:space="0" w:color="auto"/>
        <w:bottom w:val="none" w:sz="0" w:space="0" w:color="auto"/>
        <w:right w:val="none" w:sz="0" w:space="0" w:color="auto"/>
      </w:divBdr>
    </w:div>
    <w:div w:id="1506630052">
      <w:bodyDiv w:val="1"/>
      <w:marLeft w:val="0"/>
      <w:marRight w:val="0"/>
      <w:marTop w:val="0"/>
      <w:marBottom w:val="0"/>
      <w:divBdr>
        <w:top w:val="none" w:sz="0" w:space="0" w:color="auto"/>
        <w:left w:val="none" w:sz="0" w:space="0" w:color="auto"/>
        <w:bottom w:val="none" w:sz="0" w:space="0" w:color="auto"/>
        <w:right w:val="none" w:sz="0" w:space="0" w:color="auto"/>
      </w:divBdr>
    </w:div>
    <w:div w:id="1585215574">
      <w:bodyDiv w:val="1"/>
      <w:marLeft w:val="0"/>
      <w:marRight w:val="0"/>
      <w:marTop w:val="0"/>
      <w:marBottom w:val="0"/>
      <w:divBdr>
        <w:top w:val="none" w:sz="0" w:space="0" w:color="auto"/>
        <w:left w:val="none" w:sz="0" w:space="0" w:color="auto"/>
        <w:bottom w:val="none" w:sz="0" w:space="0" w:color="auto"/>
        <w:right w:val="none" w:sz="0" w:space="0" w:color="auto"/>
      </w:divBdr>
    </w:div>
    <w:div w:id="1772045457">
      <w:bodyDiv w:val="1"/>
      <w:marLeft w:val="0"/>
      <w:marRight w:val="0"/>
      <w:marTop w:val="0"/>
      <w:marBottom w:val="0"/>
      <w:divBdr>
        <w:top w:val="none" w:sz="0" w:space="0" w:color="auto"/>
        <w:left w:val="none" w:sz="0" w:space="0" w:color="auto"/>
        <w:bottom w:val="none" w:sz="0" w:space="0" w:color="auto"/>
        <w:right w:val="none" w:sz="0" w:space="0" w:color="auto"/>
      </w:divBdr>
    </w:div>
    <w:div w:id="1862548362">
      <w:bodyDiv w:val="1"/>
      <w:marLeft w:val="0"/>
      <w:marRight w:val="0"/>
      <w:marTop w:val="0"/>
      <w:marBottom w:val="0"/>
      <w:divBdr>
        <w:top w:val="none" w:sz="0" w:space="0" w:color="auto"/>
        <w:left w:val="none" w:sz="0" w:space="0" w:color="auto"/>
        <w:bottom w:val="none" w:sz="0" w:space="0" w:color="auto"/>
        <w:right w:val="none" w:sz="0" w:space="0" w:color="auto"/>
      </w:divBdr>
    </w:div>
    <w:div w:id="1929926403">
      <w:bodyDiv w:val="1"/>
      <w:marLeft w:val="0"/>
      <w:marRight w:val="0"/>
      <w:marTop w:val="0"/>
      <w:marBottom w:val="0"/>
      <w:divBdr>
        <w:top w:val="none" w:sz="0" w:space="0" w:color="auto"/>
        <w:left w:val="none" w:sz="0" w:space="0" w:color="auto"/>
        <w:bottom w:val="none" w:sz="0" w:space="0" w:color="auto"/>
        <w:right w:val="none" w:sz="0" w:space="0" w:color="auto"/>
      </w:divBdr>
    </w:div>
    <w:div w:id="2009744910">
      <w:bodyDiv w:val="1"/>
      <w:marLeft w:val="0"/>
      <w:marRight w:val="0"/>
      <w:marTop w:val="0"/>
      <w:marBottom w:val="0"/>
      <w:divBdr>
        <w:top w:val="none" w:sz="0" w:space="0" w:color="auto"/>
        <w:left w:val="none" w:sz="0" w:space="0" w:color="auto"/>
        <w:bottom w:val="none" w:sz="0" w:space="0" w:color="auto"/>
        <w:right w:val="none" w:sz="0" w:space="0" w:color="auto"/>
      </w:divBdr>
    </w:div>
    <w:div w:id="20852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文人</dc:creator>
  <cp:keywords/>
  <dc:description/>
  <cp:lastModifiedBy>村北　亮</cp:lastModifiedBy>
  <cp:revision>5</cp:revision>
  <dcterms:created xsi:type="dcterms:W3CDTF">2023-03-30T09:45:00Z</dcterms:created>
  <dcterms:modified xsi:type="dcterms:W3CDTF">2024-04-01T04:05:00Z</dcterms:modified>
</cp:coreProperties>
</file>