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9" w:rsidRPr="00C42DA0" w:rsidRDefault="00746BE2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66E2" wp14:editId="7DBCBF1E">
                <wp:simplePos x="0" y="0"/>
                <wp:positionH relativeFrom="column">
                  <wp:posOffset>4945380</wp:posOffset>
                </wp:positionH>
                <wp:positionV relativeFrom="paragraph">
                  <wp:posOffset>-245745</wp:posOffset>
                </wp:positionV>
                <wp:extent cx="10477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BE2" w:rsidRPr="00C72192" w:rsidRDefault="00746BE2" w:rsidP="00746BE2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72192">
                              <w:rPr>
                                <w:rFonts w:ascii="Meiryo UI" w:eastAsia="Meiryo UI" w:hAnsi="Meiryo UI" w:cs="Meiryo UI" w:hint="eastAsia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4pt;margin-top:-19.35pt;width:82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" fillcolor="white [3201]" strokeweight=".5pt">
                <v:textbox>
                  <w:txbxContent>
                    <w:p w:rsidR="00746BE2" w:rsidRPr="00C72192" w:rsidRDefault="00746BE2" w:rsidP="00746BE2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C72192">
                        <w:rPr>
                          <w:rFonts w:ascii="Meiryo UI" w:eastAsia="Meiryo UI" w:hAnsi="Meiryo UI" w:cs="Meiryo UI" w:hint="eastAsia"/>
                        </w:rPr>
                        <w:t>参考資料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Pr="00C42DA0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4867AE" w:rsidRPr="00C42DA0" w:rsidRDefault="004867AE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lastRenderedPageBreak/>
        <w:t xml:space="preserve">　附則</w:t>
      </w:r>
    </w:p>
    <w:p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:rsidR="00994A63" w:rsidRPr="00D975DE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8D266B" w:rsidRPr="00D975DE" w:rsidRDefault="008D266B" w:rsidP="00821233">
      <w:pPr>
        <w:spacing w:line="36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C42DA0" w:rsidRDefault="006F0405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豊中</w:t>
            </w:r>
            <w:r w:rsidR="00051DD6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42DA0" w:rsidRDefault="00051DD6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河南町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42DA0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D975DE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D975DE" w:rsidRDefault="00F63CCE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7447D8" w:rsidRPr="00D975DE" w:rsidRDefault="007447D8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994A63" w:rsidRPr="00D975DE" w:rsidRDefault="00994A63" w:rsidP="00FC6E0B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F0405">
      <w:footerReference w:type="default" r:id="rId9"/>
      <w:pgSz w:w="11906" w:h="16838" w:code="9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75" w:rsidRDefault="00583F75" w:rsidP="002E40E7">
      <w:r>
        <w:separator/>
      </w:r>
    </w:p>
  </w:endnote>
  <w:endnote w:type="continuationSeparator" w:id="0">
    <w:p w:rsidR="00583F75" w:rsidRDefault="00583F75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75" w:rsidRDefault="00583F75" w:rsidP="002E40E7">
      <w:r>
        <w:separator/>
      </w:r>
    </w:p>
  </w:footnote>
  <w:footnote w:type="continuationSeparator" w:id="0">
    <w:p w:rsidR="00583F75" w:rsidRDefault="00583F75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3F7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46BE2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4A63"/>
    <w:rsid w:val="0099608E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4BE7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D02874"/>
    <w:rsid w:val="00D0415D"/>
    <w:rsid w:val="00D0699A"/>
    <w:rsid w:val="00D11491"/>
    <w:rsid w:val="00D1175C"/>
    <w:rsid w:val="00D118D2"/>
    <w:rsid w:val="00D12960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CC"/>
    <w:rsid w:val="00E779A3"/>
    <w:rsid w:val="00E80CA0"/>
    <w:rsid w:val="00E811EB"/>
    <w:rsid w:val="00E822C7"/>
    <w:rsid w:val="00E826B4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1E1A-CAB5-4035-80E3-7A88F8C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3</cp:revision>
  <cp:lastPrinted>2016-05-23T02:03:00Z</cp:lastPrinted>
  <dcterms:created xsi:type="dcterms:W3CDTF">2016-05-19T01:05:00Z</dcterms:created>
  <dcterms:modified xsi:type="dcterms:W3CDTF">2016-05-23T02:04:00Z</dcterms:modified>
</cp:coreProperties>
</file>