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CCE1" w14:textId="77777777" w:rsidR="000353B8" w:rsidRPr="001361FD" w:rsidRDefault="00BA2912" w:rsidP="001361FD">
      <w:pPr>
        <w:jc w:val="center"/>
        <w:rPr>
          <w:b/>
          <w:bCs/>
          <w:sz w:val="28"/>
          <w:szCs w:val="32"/>
        </w:rPr>
      </w:pPr>
      <w:r w:rsidRPr="001361FD">
        <w:rPr>
          <w:rFonts w:hint="eastAsia"/>
          <w:b/>
          <w:bCs/>
          <w:sz w:val="28"/>
          <w:szCs w:val="32"/>
        </w:rPr>
        <w:t>大阪府市ヒートアイランド対策基本方針</w:t>
      </w:r>
    </w:p>
    <w:p w14:paraId="60F8B7B1" w14:textId="3C3F72CE" w:rsidR="001361FD" w:rsidRDefault="00BA2912" w:rsidP="001361FD">
      <w:pPr>
        <w:jc w:val="right"/>
      </w:pPr>
      <w:r>
        <w:rPr>
          <w:rFonts w:hint="eastAsia"/>
        </w:rPr>
        <w:t>令和８年</w:t>
      </w:r>
      <w:r w:rsidR="00C34DC7">
        <w:rPr>
          <w:rFonts w:hint="eastAsia"/>
        </w:rPr>
        <w:t>３</w:t>
      </w:r>
      <w:r>
        <w:rPr>
          <w:rFonts w:hint="eastAsia"/>
        </w:rPr>
        <w:t>月</w:t>
      </w:r>
    </w:p>
    <w:p w14:paraId="40ABE6FB" w14:textId="77777777" w:rsidR="001361FD" w:rsidRDefault="00BA2912" w:rsidP="001361FD">
      <w:pPr>
        <w:jc w:val="right"/>
      </w:pPr>
      <w:r>
        <w:rPr>
          <w:rFonts w:hint="eastAsia"/>
        </w:rPr>
        <w:t>大阪府</w:t>
      </w:r>
    </w:p>
    <w:p w14:paraId="1DC8F152" w14:textId="77777777" w:rsidR="001361FD" w:rsidRDefault="00BA2912" w:rsidP="001361FD">
      <w:pPr>
        <w:jc w:val="right"/>
      </w:pPr>
      <w:r>
        <w:rPr>
          <w:rFonts w:hint="eastAsia"/>
        </w:rPr>
        <w:t>大阪市</w:t>
      </w:r>
    </w:p>
    <w:p w14:paraId="40DE8ADD" w14:textId="77777777" w:rsidR="001361FD" w:rsidRDefault="001361FD"/>
    <w:p w14:paraId="34822357" w14:textId="77777777" w:rsidR="00002DF3" w:rsidRDefault="00BA2912" w:rsidP="00276B67">
      <w:pPr>
        <w:ind w:firstLineChars="100" w:firstLine="210"/>
      </w:pPr>
      <w:r>
        <w:rPr>
          <w:rFonts w:hint="eastAsia"/>
        </w:rPr>
        <w:t>これまで、大阪府と大阪市は</w:t>
      </w:r>
      <w:r w:rsidR="006A2DBB" w:rsidRPr="007647B2">
        <w:rPr>
          <w:rFonts w:hint="eastAsia"/>
        </w:rPr>
        <w:t>「</w:t>
      </w:r>
      <w:r w:rsidR="003E5A64" w:rsidRPr="007647B2">
        <w:rPr>
          <w:rFonts w:hint="eastAsia"/>
        </w:rPr>
        <w:t>おおさかヒートアイランド対策推進計画</w:t>
      </w:r>
      <w:r w:rsidR="006A2DBB" w:rsidRPr="007647B2">
        <w:rPr>
          <w:rFonts w:hint="eastAsia"/>
        </w:rPr>
        <w:t>」</w:t>
      </w:r>
      <w:r w:rsidR="003E5A64" w:rsidRPr="007647B2">
        <w:rPr>
          <w:rFonts w:hint="eastAsia"/>
        </w:rPr>
        <w:t>に</w:t>
      </w:r>
      <w:r w:rsidR="007647B2" w:rsidRPr="007647B2">
        <w:rPr>
          <w:rFonts w:hint="eastAsia"/>
        </w:rPr>
        <w:t>基づく</w:t>
      </w:r>
      <w:r>
        <w:rPr>
          <w:rFonts w:hint="eastAsia"/>
        </w:rPr>
        <w:t>ヒートアイランド現象の緩和や適応の</w:t>
      </w:r>
      <w:r w:rsidR="007647B2" w:rsidRPr="007647B2">
        <w:rPr>
          <w:rFonts w:hint="eastAsia"/>
        </w:rPr>
        <w:t>取組を推進してきた</w:t>
      </w:r>
      <w:r>
        <w:rPr>
          <w:rFonts w:hint="eastAsia"/>
        </w:rPr>
        <w:t>が、</w:t>
      </w:r>
      <w:r w:rsidR="00576F3E" w:rsidRPr="007647B2">
        <w:t>近年</w:t>
      </w:r>
      <w:r w:rsidR="00576F3E" w:rsidRPr="007647B2">
        <w:rPr>
          <w:rFonts w:hint="eastAsia"/>
        </w:rPr>
        <w:t>の気温上昇は</w:t>
      </w:r>
      <w:r>
        <w:rPr>
          <w:rFonts w:hint="eastAsia"/>
        </w:rPr>
        <w:t>ますます</w:t>
      </w:r>
      <w:r w:rsidR="00576F3E" w:rsidRPr="007647B2">
        <w:rPr>
          <w:rFonts w:hint="eastAsia"/>
        </w:rPr>
        <w:t>顕著で、</w:t>
      </w:r>
      <w:r w:rsidR="003A1BAC" w:rsidRPr="007647B2">
        <w:rPr>
          <w:rFonts w:hint="eastAsia"/>
        </w:rPr>
        <w:t>ヒートアイランド現象と切り分けることが困難なほど</w:t>
      </w:r>
      <w:r w:rsidR="00721B2E">
        <w:rPr>
          <w:rFonts w:hint="eastAsia"/>
        </w:rPr>
        <w:t>、</w:t>
      </w:r>
      <w:r w:rsidR="003E5A64" w:rsidRPr="007647B2">
        <w:t>地球温暖化の影響</w:t>
      </w:r>
      <w:r w:rsidR="003E5A64" w:rsidRPr="007647B2">
        <w:rPr>
          <w:rFonts w:hint="eastAsia"/>
        </w:rPr>
        <w:t>が拡大して</w:t>
      </w:r>
      <w:r w:rsidR="00576F3E" w:rsidRPr="007647B2">
        <w:rPr>
          <w:rFonts w:hint="eastAsia"/>
        </w:rPr>
        <w:t>いる</w:t>
      </w:r>
      <w:r>
        <w:rPr>
          <w:rFonts w:hint="eastAsia"/>
        </w:rPr>
        <w:t>。</w:t>
      </w:r>
    </w:p>
    <w:p w14:paraId="7F929F63" w14:textId="77777777" w:rsidR="00F9306E" w:rsidRDefault="00BA2912" w:rsidP="00276B67">
      <w:pPr>
        <w:ind w:firstLineChars="100" w:firstLine="210"/>
      </w:pPr>
      <w:r w:rsidRPr="007647B2">
        <w:rPr>
          <w:rFonts w:hint="eastAsia"/>
        </w:rPr>
        <w:t>今後は</w:t>
      </w:r>
      <w:r w:rsidR="00721B2E">
        <w:rPr>
          <w:rFonts w:hint="eastAsia"/>
        </w:rPr>
        <w:t>、</w:t>
      </w:r>
      <w:r w:rsidRPr="007647B2">
        <w:rPr>
          <w:rFonts w:hint="eastAsia"/>
        </w:rPr>
        <w:t>地球温暖化対策と⼀体的に</w:t>
      </w:r>
      <w:r w:rsidR="00721B2E">
        <w:rPr>
          <w:rFonts w:hint="eastAsia"/>
        </w:rPr>
        <w:t>、</w:t>
      </w:r>
      <w:r w:rsidR="00A76A3F">
        <w:rPr>
          <w:rFonts w:hint="eastAsia"/>
        </w:rPr>
        <w:t>ヒートアイランド現象に対する</w:t>
      </w:r>
      <w:r w:rsidRPr="007647B2">
        <w:rPr>
          <w:rFonts w:hint="eastAsia"/>
        </w:rPr>
        <w:t>施策</w:t>
      </w:r>
      <w:r w:rsidR="00A76A3F">
        <w:rPr>
          <w:rFonts w:hint="eastAsia"/>
        </w:rPr>
        <w:t>や</w:t>
      </w:r>
      <w:r w:rsidRPr="007647B2">
        <w:rPr>
          <w:rFonts w:hint="eastAsia"/>
        </w:rPr>
        <w:t>事業を</w:t>
      </w:r>
      <w:r w:rsidR="00AD2650" w:rsidRPr="007647B2">
        <w:rPr>
          <w:rFonts w:hint="eastAsia"/>
        </w:rPr>
        <w:t>進めていくことが</w:t>
      </w:r>
      <w:r w:rsidRPr="007647B2">
        <w:rPr>
          <w:rFonts w:hint="eastAsia"/>
        </w:rPr>
        <w:t>必要である</w:t>
      </w:r>
      <w:r w:rsidR="00002DF3">
        <w:rPr>
          <w:rFonts w:hint="eastAsia"/>
        </w:rPr>
        <w:t>ため、</w:t>
      </w:r>
      <w:r w:rsidR="006A2DBB" w:rsidRPr="007647B2">
        <w:rPr>
          <w:rFonts w:hint="eastAsia"/>
        </w:rPr>
        <w:t>本方針で</w:t>
      </w:r>
      <w:r w:rsidR="005365DF" w:rsidRPr="007647B2">
        <w:rPr>
          <w:rFonts w:hint="eastAsia"/>
        </w:rPr>
        <w:t>大阪府と大阪市が</w:t>
      </w:r>
      <w:r w:rsidR="005365DF" w:rsidRPr="00A231C8">
        <w:rPr>
          <w:rFonts w:hint="eastAsia"/>
        </w:rPr>
        <w:t>目指すべき方向性</w:t>
      </w:r>
      <w:r w:rsidR="00404A35">
        <w:rPr>
          <w:rFonts w:hint="eastAsia"/>
        </w:rPr>
        <w:t>を統一し、</w:t>
      </w:r>
      <w:r w:rsidR="005365DF" w:rsidRPr="007647B2">
        <w:rPr>
          <w:rFonts w:hint="eastAsia"/>
        </w:rPr>
        <w:t>役割分</w:t>
      </w:r>
      <w:r w:rsidR="005365DF" w:rsidRPr="00E94CA7">
        <w:rPr>
          <w:rFonts w:hint="eastAsia"/>
        </w:rPr>
        <w:t>担等を</w:t>
      </w:r>
      <w:r w:rsidR="00404A35" w:rsidRPr="00E94CA7">
        <w:rPr>
          <w:rFonts w:hint="eastAsia"/>
        </w:rPr>
        <w:t>明確化する</w:t>
      </w:r>
      <w:r w:rsidR="005365DF" w:rsidRPr="00E94CA7">
        <w:rPr>
          <w:rFonts w:hint="eastAsia"/>
        </w:rPr>
        <w:t>とともに、両者</w:t>
      </w:r>
      <w:r w:rsidR="00850E0D" w:rsidRPr="00E94CA7">
        <w:rPr>
          <w:rFonts w:hint="eastAsia"/>
        </w:rPr>
        <w:t>の</w:t>
      </w:r>
      <w:r w:rsidR="006A2DBB" w:rsidRPr="00E94CA7">
        <w:rPr>
          <w:rFonts w:hint="eastAsia"/>
        </w:rPr>
        <w:t>「</w:t>
      </w:r>
      <w:r w:rsidR="00850E0D" w:rsidRPr="00E94CA7">
        <w:rPr>
          <w:rFonts w:hint="eastAsia"/>
        </w:rPr>
        <w:t>地球温暖化対策実行計画</w:t>
      </w:r>
      <w:r w:rsidR="006A2DBB" w:rsidRPr="00E94CA7">
        <w:rPr>
          <w:rFonts w:hint="eastAsia"/>
        </w:rPr>
        <w:t>」</w:t>
      </w:r>
      <w:r w:rsidR="00850E0D" w:rsidRPr="00E94CA7">
        <w:rPr>
          <w:rFonts w:hint="eastAsia"/>
        </w:rPr>
        <w:t>に</w:t>
      </w:r>
      <w:r w:rsidR="001529D4" w:rsidRPr="00E94CA7">
        <w:rPr>
          <w:rFonts w:hint="eastAsia"/>
        </w:rPr>
        <w:t>おいて</w:t>
      </w:r>
      <w:r w:rsidR="007647B2" w:rsidRPr="00E94CA7">
        <w:rPr>
          <w:rFonts w:hint="eastAsia"/>
        </w:rPr>
        <w:t>ヒートアイランド対策を</w:t>
      </w:r>
      <w:r w:rsidR="001529D4" w:rsidRPr="00E94CA7">
        <w:rPr>
          <w:rFonts w:hint="eastAsia"/>
        </w:rPr>
        <w:t>地球温暖化対策と一体的に</w:t>
      </w:r>
      <w:r w:rsidR="007647B2" w:rsidRPr="00E94CA7">
        <w:rPr>
          <w:rFonts w:hint="eastAsia"/>
        </w:rPr>
        <w:t>取り組む</w:t>
      </w:r>
      <w:r w:rsidR="00850E0D" w:rsidRPr="00E94CA7">
        <w:rPr>
          <w:rFonts w:hint="eastAsia"/>
        </w:rPr>
        <w:t>こととした。</w:t>
      </w:r>
    </w:p>
    <w:p w14:paraId="1D7825B8" w14:textId="3C097A49" w:rsidR="00F54AD1" w:rsidRDefault="00F54AD1" w:rsidP="005365DF"/>
    <w:p w14:paraId="52A519F6" w14:textId="77777777" w:rsidR="003449CA" w:rsidRPr="00D107F5" w:rsidRDefault="003449CA" w:rsidP="005365DF"/>
    <w:p w14:paraId="254BCC00" w14:textId="77777777" w:rsidR="00F9306E" w:rsidRDefault="00BA2912">
      <w:r>
        <w:rPr>
          <w:rFonts w:hint="eastAsia"/>
        </w:rPr>
        <w:t>目指すべき方向性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938"/>
      </w:tblGrid>
      <w:tr w:rsidR="00046A29" w14:paraId="48B73014" w14:textId="77777777" w:rsidTr="00C52EBD">
        <w:trPr>
          <w:jc w:val="center"/>
        </w:trPr>
        <w:tc>
          <w:tcPr>
            <w:tcW w:w="7938" w:type="dxa"/>
          </w:tcPr>
          <w:p w14:paraId="67DDF2C4" w14:textId="221B6604" w:rsidR="00B31DA1" w:rsidRDefault="00BA2912" w:rsidP="007C60AF">
            <w:r>
              <w:rPr>
                <w:rFonts w:hint="eastAsia"/>
              </w:rPr>
              <w:t>クールスポット</w:t>
            </w:r>
            <w:r w:rsidR="001100AA" w:rsidRPr="001100AA">
              <w:rPr>
                <w:rFonts w:hint="eastAsia"/>
                <w:vertAlign w:val="superscript"/>
              </w:rPr>
              <w:t>(※</w:t>
            </w:r>
            <w:r w:rsidR="001100AA" w:rsidRPr="001100AA">
              <w:rPr>
                <w:vertAlign w:val="superscript"/>
              </w:rPr>
              <w:t>)</w:t>
            </w:r>
            <w:r w:rsidR="002A09F6">
              <w:rPr>
                <w:rFonts w:hint="eastAsia"/>
              </w:rPr>
              <w:t>の</w:t>
            </w:r>
            <w:r>
              <w:rPr>
                <w:rFonts w:hint="eastAsia"/>
              </w:rPr>
              <w:t>創出</w:t>
            </w:r>
            <w:r w:rsidR="00404A35">
              <w:rPr>
                <w:rFonts w:hint="eastAsia"/>
              </w:rPr>
              <w:t>や</w:t>
            </w:r>
            <w:r>
              <w:rPr>
                <w:rFonts w:hint="eastAsia"/>
              </w:rPr>
              <w:t>健康への影響等を軽減する適応策を推進し、暑熱環境の改善</w:t>
            </w:r>
            <w:r w:rsidR="00404A35">
              <w:rPr>
                <w:rFonts w:hint="eastAsia"/>
              </w:rPr>
              <w:t>を図り、</w:t>
            </w:r>
            <w:r>
              <w:rPr>
                <w:rFonts w:hint="eastAsia"/>
              </w:rPr>
              <w:t>体感的な温度を下げる</w:t>
            </w:r>
          </w:p>
        </w:tc>
      </w:tr>
    </w:tbl>
    <w:p w14:paraId="328612AF" w14:textId="77777777" w:rsidR="003449CA" w:rsidRDefault="003449CA">
      <w:pPr>
        <w:sectPr w:rsidR="003449CA" w:rsidSect="003449CA">
          <w:pgSz w:w="11906" w:h="16838"/>
          <w:pgMar w:top="1134" w:right="1701" w:bottom="567" w:left="1701" w:header="851" w:footer="992" w:gutter="0"/>
          <w:cols w:space="425"/>
          <w:docGrid w:type="lines" w:linePitch="360"/>
        </w:sectPr>
      </w:pPr>
    </w:p>
    <w:p w14:paraId="728F287C" w14:textId="77777777" w:rsidR="00F54AD1" w:rsidRDefault="00F54AD1"/>
    <w:p w14:paraId="79110618" w14:textId="77777777" w:rsidR="00973BBD" w:rsidRDefault="00BA2912" w:rsidP="00973BBD">
      <w:r>
        <w:rPr>
          <w:rFonts w:hint="eastAsia"/>
        </w:rPr>
        <w:t>府市の役割と</w:t>
      </w:r>
      <w:r w:rsidR="003E0888">
        <w:rPr>
          <w:rFonts w:hint="eastAsia"/>
        </w:rPr>
        <w:t>取組指標</w:t>
      </w:r>
    </w:p>
    <w:tbl>
      <w:tblPr>
        <w:tblStyle w:val="a5"/>
        <w:tblW w:w="7938" w:type="dxa"/>
        <w:jc w:val="center"/>
        <w:tblLayout w:type="fixed"/>
        <w:tblLook w:val="04A0" w:firstRow="1" w:lastRow="0" w:firstColumn="1" w:lastColumn="0" w:noHBand="0" w:noVBand="1"/>
      </w:tblPr>
      <w:tblGrid>
        <w:gridCol w:w="794"/>
        <w:gridCol w:w="3572"/>
        <w:gridCol w:w="3572"/>
      </w:tblGrid>
      <w:tr w:rsidR="00046A29" w14:paraId="16CD0561" w14:textId="77777777" w:rsidTr="00FE6724">
        <w:trPr>
          <w:jc w:val="center"/>
        </w:trPr>
        <w:tc>
          <w:tcPr>
            <w:tcW w:w="794" w:type="dxa"/>
            <w:vAlign w:val="center"/>
          </w:tcPr>
          <w:p w14:paraId="1D23BA09" w14:textId="77777777" w:rsidR="00973BBD" w:rsidRDefault="00973BBD" w:rsidP="00F15734">
            <w:pPr>
              <w:jc w:val="center"/>
            </w:pPr>
          </w:p>
        </w:tc>
        <w:tc>
          <w:tcPr>
            <w:tcW w:w="3572" w:type="dxa"/>
            <w:vAlign w:val="center"/>
          </w:tcPr>
          <w:p w14:paraId="7EA4B3B9" w14:textId="77777777" w:rsidR="00973BBD" w:rsidRDefault="00BA2912" w:rsidP="00F15734">
            <w:pPr>
              <w:jc w:val="center"/>
            </w:pPr>
            <w:r>
              <w:rPr>
                <w:rFonts w:hint="eastAsia"/>
              </w:rPr>
              <w:t>大阪府</w:t>
            </w:r>
          </w:p>
        </w:tc>
        <w:tc>
          <w:tcPr>
            <w:tcW w:w="3572" w:type="dxa"/>
            <w:vAlign w:val="center"/>
          </w:tcPr>
          <w:p w14:paraId="0F8FB2DA" w14:textId="77777777" w:rsidR="00973BBD" w:rsidRDefault="00BA2912" w:rsidP="00F15734">
            <w:pPr>
              <w:jc w:val="center"/>
            </w:pPr>
            <w:r>
              <w:rPr>
                <w:rFonts w:hint="eastAsia"/>
              </w:rPr>
              <w:t>大阪市</w:t>
            </w:r>
          </w:p>
        </w:tc>
      </w:tr>
      <w:tr w:rsidR="00046A29" w14:paraId="3346B10F" w14:textId="77777777" w:rsidTr="00FE6724">
        <w:trPr>
          <w:jc w:val="center"/>
        </w:trPr>
        <w:tc>
          <w:tcPr>
            <w:tcW w:w="794" w:type="dxa"/>
            <w:vAlign w:val="center"/>
          </w:tcPr>
          <w:p w14:paraId="525405D9" w14:textId="77777777" w:rsidR="00973BBD" w:rsidRDefault="00BA2912" w:rsidP="00F15734">
            <w:pPr>
              <w:jc w:val="center"/>
            </w:pPr>
            <w:r>
              <w:rPr>
                <w:rFonts w:hint="eastAsia"/>
              </w:rPr>
              <w:t>役割</w:t>
            </w:r>
          </w:p>
        </w:tc>
        <w:tc>
          <w:tcPr>
            <w:tcW w:w="3572" w:type="dxa"/>
          </w:tcPr>
          <w:p w14:paraId="7C7124BA" w14:textId="77777777" w:rsidR="003E0888" w:rsidRDefault="00BA2912" w:rsidP="003E0888">
            <w:pPr>
              <w:pStyle w:val="a6"/>
              <w:numPr>
                <w:ilvl w:val="0"/>
                <w:numId w:val="3"/>
              </w:numPr>
              <w:ind w:leftChars="0" w:left="170" w:hanging="170"/>
            </w:pPr>
            <w:bookmarkStart w:id="0" w:name="_Hlk210212296"/>
            <w:r w:rsidRPr="007064CF">
              <w:rPr>
                <w:rFonts w:hint="eastAsia"/>
              </w:rPr>
              <w:t>府全域の将来像やあるべき姿</w:t>
            </w:r>
            <w:r w:rsidR="00B920C3">
              <w:rPr>
                <w:rFonts w:hint="eastAsia"/>
              </w:rPr>
              <w:t>の提示</w:t>
            </w:r>
          </w:p>
          <w:p w14:paraId="1B9AFE0A" w14:textId="77777777" w:rsidR="003E0888" w:rsidRPr="00AC49F4" w:rsidRDefault="00BA2912" w:rsidP="003E0888">
            <w:pPr>
              <w:pStyle w:val="a6"/>
              <w:numPr>
                <w:ilvl w:val="0"/>
                <w:numId w:val="3"/>
              </w:numPr>
              <w:ind w:leftChars="0" w:left="170" w:hanging="170"/>
            </w:pPr>
            <w:bookmarkStart w:id="1" w:name="_Hlk210212346"/>
            <w:bookmarkEnd w:id="0"/>
            <w:r w:rsidRPr="00AC49F4">
              <w:rPr>
                <w:rFonts w:hint="eastAsia"/>
              </w:rPr>
              <w:t>緑化や水</w:t>
            </w:r>
            <w:r w:rsidR="00AC49F4">
              <w:rPr>
                <w:rFonts w:hint="eastAsia"/>
              </w:rPr>
              <w:t>を</w:t>
            </w:r>
            <w:r w:rsidRPr="00AC49F4">
              <w:rPr>
                <w:rFonts w:hint="eastAsia"/>
              </w:rPr>
              <w:t>活用</w:t>
            </w:r>
            <w:r w:rsidR="00AC49F4" w:rsidRPr="00AC49F4">
              <w:rPr>
                <w:rFonts w:hint="eastAsia"/>
              </w:rPr>
              <w:t>した暑熱環境の改善策の広域的な推進</w:t>
            </w:r>
            <w:bookmarkEnd w:id="1"/>
          </w:p>
          <w:p w14:paraId="241092E3" w14:textId="77777777" w:rsidR="003E0888" w:rsidRDefault="00BA2912" w:rsidP="00C5761C">
            <w:pPr>
              <w:pStyle w:val="a6"/>
              <w:numPr>
                <w:ilvl w:val="0"/>
                <w:numId w:val="3"/>
              </w:numPr>
              <w:ind w:leftChars="0" w:left="170" w:hanging="170"/>
            </w:pPr>
            <w:bookmarkStart w:id="2" w:name="_Hlk210212535"/>
            <w:r w:rsidRPr="009138B8">
              <w:rPr>
                <w:rFonts w:hint="eastAsia"/>
              </w:rPr>
              <w:t>府内市町村</w:t>
            </w:r>
            <w:r w:rsidR="009138B8" w:rsidRPr="009138B8">
              <w:rPr>
                <w:rFonts w:hint="eastAsia"/>
              </w:rPr>
              <w:t>の取組状況の把握と取組に関する情報提供の実施</w:t>
            </w:r>
            <w:bookmarkEnd w:id="2"/>
          </w:p>
          <w:p w14:paraId="2ADFCC5B" w14:textId="77777777" w:rsidR="009138B8" w:rsidRDefault="00BA2912" w:rsidP="009138B8">
            <w:pPr>
              <w:pStyle w:val="a6"/>
              <w:numPr>
                <w:ilvl w:val="0"/>
                <w:numId w:val="3"/>
              </w:numPr>
              <w:ind w:leftChars="0" w:left="170" w:hanging="170"/>
            </w:pPr>
            <w:r w:rsidRPr="00FE593B">
              <w:rPr>
                <w:rFonts w:hint="eastAsia"/>
              </w:rPr>
              <w:t>おおさか気候変動適応センターと連携</w:t>
            </w:r>
            <w:r>
              <w:rPr>
                <w:rFonts w:hint="eastAsia"/>
              </w:rPr>
              <w:t>し</w:t>
            </w:r>
            <w:r w:rsidR="00DF5C3F">
              <w:rPr>
                <w:rFonts w:hint="eastAsia"/>
              </w:rPr>
              <w:t>た</w:t>
            </w:r>
            <w:r>
              <w:rPr>
                <w:rFonts w:hint="eastAsia"/>
              </w:rPr>
              <w:t>適応</w:t>
            </w:r>
            <w:r w:rsidR="00AC49F4">
              <w:rPr>
                <w:rFonts w:hint="eastAsia"/>
              </w:rPr>
              <w:t>策</w:t>
            </w:r>
            <w:r w:rsidR="0001547E">
              <w:rPr>
                <w:rFonts w:hint="eastAsia"/>
              </w:rPr>
              <w:t>の推進</w:t>
            </w:r>
          </w:p>
          <w:p w14:paraId="66AF9A3F" w14:textId="77777777" w:rsidR="00B76308" w:rsidRDefault="00BA2912" w:rsidP="00B76308">
            <w:pPr>
              <w:pStyle w:val="a6"/>
              <w:numPr>
                <w:ilvl w:val="0"/>
                <w:numId w:val="3"/>
              </w:numPr>
              <w:ind w:leftChars="0" w:left="170" w:hanging="170"/>
            </w:pPr>
            <w:r>
              <w:rPr>
                <w:rFonts w:hint="eastAsia"/>
              </w:rPr>
              <w:t>民間事業者等と連携した普及啓発やクールスポットの創出</w:t>
            </w:r>
          </w:p>
        </w:tc>
        <w:tc>
          <w:tcPr>
            <w:tcW w:w="3572" w:type="dxa"/>
          </w:tcPr>
          <w:p w14:paraId="79BD3EE5" w14:textId="77777777" w:rsidR="00973BBD" w:rsidRPr="00E324ED" w:rsidRDefault="00BA2912" w:rsidP="00F15734">
            <w:pPr>
              <w:pStyle w:val="a6"/>
              <w:numPr>
                <w:ilvl w:val="0"/>
                <w:numId w:val="2"/>
              </w:numPr>
              <w:ind w:leftChars="0" w:left="170" w:hanging="170"/>
            </w:pPr>
            <w:r w:rsidRPr="00E324ED">
              <w:rPr>
                <w:rFonts w:hint="eastAsia"/>
              </w:rPr>
              <w:t>地域の実情に合わせた</w:t>
            </w:r>
            <w:r w:rsidR="0084033C" w:rsidRPr="00E324ED">
              <w:rPr>
                <w:rFonts w:hint="eastAsia"/>
              </w:rPr>
              <w:t>都市レベルでの</w:t>
            </w:r>
            <w:r w:rsidRPr="00E324ED">
              <w:rPr>
                <w:rFonts w:hint="eastAsia"/>
              </w:rPr>
              <w:t>取組</w:t>
            </w:r>
          </w:p>
          <w:p w14:paraId="6C22D97D" w14:textId="77777777" w:rsidR="00E324ED" w:rsidRPr="00AD3058" w:rsidRDefault="00BA2912" w:rsidP="00E324ED">
            <w:pPr>
              <w:pStyle w:val="a6"/>
              <w:numPr>
                <w:ilvl w:val="0"/>
                <w:numId w:val="2"/>
              </w:numPr>
              <w:ind w:leftChars="0" w:left="170" w:hanging="170"/>
            </w:pPr>
            <w:r w:rsidRPr="00AD3058">
              <w:rPr>
                <w:rFonts w:hint="eastAsia"/>
              </w:rPr>
              <w:t>緑化や水を活用した暑熱環境の改善</w:t>
            </w:r>
          </w:p>
          <w:p w14:paraId="0FFE8BD2" w14:textId="77777777" w:rsidR="00BF2CDE" w:rsidRPr="00E324ED" w:rsidRDefault="00BA2912" w:rsidP="00BF2CDE">
            <w:pPr>
              <w:pStyle w:val="a6"/>
              <w:numPr>
                <w:ilvl w:val="0"/>
                <w:numId w:val="2"/>
              </w:numPr>
              <w:ind w:leftChars="0" w:left="170" w:hanging="170"/>
            </w:pPr>
            <w:r w:rsidRPr="00AD3058">
              <w:rPr>
                <w:rFonts w:hint="eastAsia"/>
              </w:rPr>
              <w:t>区役所、関係団体、民間事業者等との連携による普及啓発やクーリングシェルターの拡大</w:t>
            </w:r>
          </w:p>
        </w:tc>
      </w:tr>
      <w:tr w:rsidR="00046A29" w14:paraId="44936906" w14:textId="77777777" w:rsidTr="00FE6724">
        <w:trPr>
          <w:jc w:val="center"/>
        </w:trPr>
        <w:tc>
          <w:tcPr>
            <w:tcW w:w="794" w:type="dxa"/>
            <w:vAlign w:val="center"/>
          </w:tcPr>
          <w:p w14:paraId="3A036803" w14:textId="77777777" w:rsidR="00973BBD" w:rsidRPr="00E94CA7" w:rsidRDefault="00BA2912" w:rsidP="00F15734">
            <w:pPr>
              <w:jc w:val="center"/>
            </w:pPr>
            <w:r w:rsidRPr="00E94CA7">
              <w:rPr>
                <w:rFonts w:hint="eastAsia"/>
              </w:rPr>
              <w:t>取組</w:t>
            </w:r>
          </w:p>
          <w:p w14:paraId="2FBA1395" w14:textId="77777777" w:rsidR="00973BBD" w:rsidRPr="00E94CA7" w:rsidRDefault="00BA2912" w:rsidP="00F15734">
            <w:pPr>
              <w:jc w:val="center"/>
            </w:pPr>
            <w:r w:rsidRPr="00E94CA7">
              <w:rPr>
                <w:rFonts w:hint="eastAsia"/>
              </w:rPr>
              <w:t>指標</w:t>
            </w:r>
          </w:p>
        </w:tc>
        <w:tc>
          <w:tcPr>
            <w:tcW w:w="3572" w:type="dxa"/>
          </w:tcPr>
          <w:p w14:paraId="33013FB6" w14:textId="0EC84634" w:rsidR="00973BBD" w:rsidRPr="00E94CA7" w:rsidRDefault="009C4E68" w:rsidP="009F26F3">
            <w:r w:rsidRPr="00BA2912">
              <w:rPr>
                <w:rFonts w:hint="eastAsia"/>
              </w:rPr>
              <w:t>府域の暑さをしのげる場所の提供件数</w:t>
            </w:r>
          </w:p>
        </w:tc>
        <w:tc>
          <w:tcPr>
            <w:tcW w:w="3572" w:type="dxa"/>
          </w:tcPr>
          <w:p w14:paraId="631C025C" w14:textId="5B8211F4" w:rsidR="00973BBD" w:rsidRPr="00E324ED" w:rsidRDefault="00E324ED" w:rsidP="009F26F3">
            <w:r w:rsidRPr="00B83393">
              <w:t>クーリングシェルターの</w:t>
            </w:r>
            <w:r w:rsidR="004E2219">
              <w:rPr>
                <w:rFonts w:hint="eastAsia"/>
              </w:rPr>
              <w:t>指定</w:t>
            </w:r>
            <w:r w:rsidR="00E94CA7" w:rsidRPr="00B83393">
              <w:rPr>
                <w:rFonts w:hint="eastAsia"/>
              </w:rPr>
              <w:t>数</w:t>
            </w:r>
          </w:p>
        </w:tc>
      </w:tr>
    </w:tbl>
    <w:p w14:paraId="6630F0B5" w14:textId="4BB4D0E6" w:rsidR="00973BBD" w:rsidRDefault="00973BBD"/>
    <w:p w14:paraId="72BEE9EF" w14:textId="5E05C5ED" w:rsidR="00E3146E" w:rsidRDefault="00E3146E"/>
    <w:p w14:paraId="1E86F588" w14:textId="77777777" w:rsidR="00386599" w:rsidRDefault="00386599"/>
    <w:p w14:paraId="2C902E62" w14:textId="7EC2CD09" w:rsidR="003449CA" w:rsidRDefault="00FC43C9">
      <w:r>
        <w:pict w14:anchorId="1240BF5E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3296FC42" w14:textId="77777777" w:rsidR="00E3146E" w:rsidRPr="003449CA" w:rsidRDefault="00E3146E" w:rsidP="00E3146E">
      <w:pPr>
        <w:spacing w:line="24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(※)</w:t>
      </w:r>
      <w:r w:rsidRPr="003449CA">
        <w:rPr>
          <w:rFonts w:hint="eastAsia"/>
          <w:sz w:val="18"/>
          <w:szCs w:val="20"/>
        </w:rPr>
        <w:t>クールスポット</w:t>
      </w:r>
    </w:p>
    <w:p w14:paraId="363760B7" w14:textId="47849568" w:rsidR="003449CA" w:rsidRDefault="00887EFA" w:rsidP="00EF25B7">
      <w:pPr>
        <w:spacing w:line="240" w:lineRule="exact"/>
        <w:ind w:leftChars="150" w:left="315"/>
      </w:pPr>
      <w:r>
        <w:rPr>
          <w:rFonts w:hint="eastAsia"/>
          <w:sz w:val="18"/>
          <w:szCs w:val="20"/>
        </w:rPr>
        <w:t>屋内外を問わず、誰もが自由に利用可能な暑さをしのげる</w:t>
      </w:r>
      <w:r w:rsidR="00E3146E" w:rsidRPr="003449CA">
        <w:rPr>
          <w:rFonts w:hint="eastAsia"/>
          <w:sz w:val="18"/>
          <w:szCs w:val="20"/>
        </w:rPr>
        <w:t>空間・場所のこと。</w:t>
      </w:r>
      <w:r w:rsidR="00F01A39" w:rsidRPr="00F01A39">
        <w:rPr>
          <w:rFonts w:hint="eastAsia"/>
          <w:sz w:val="18"/>
          <w:szCs w:val="20"/>
        </w:rPr>
        <w:t>例えば、水辺、森林、公園や気候変動適応法に基づく指定暑熱避難施設（クーリングシェルター）はじめ、屋内で休憩ができる場所など。</w:t>
      </w:r>
    </w:p>
    <w:p w14:paraId="09AD7C68" w14:textId="4A1CC48D" w:rsidR="00F54AD1" w:rsidRDefault="00F54AD1" w:rsidP="002A7A44"/>
    <w:p w14:paraId="4CAD3A60" w14:textId="77777777" w:rsidR="00386599" w:rsidRPr="00A231C8" w:rsidRDefault="00386599" w:rsidP="002A7A44"/>
    <w:p w14:paraId="5F8A6836" w14:textId="77777777" w:rsidR="00AB1327" w:rsidRPr="00A231C8" w:rsidRDefault="00BA2912" w:rsidP="00FA6D50">
      <w:pPr>
        <w:jc w:val="center"/>
      </w:pPr>
      <w:r w:rsidRPr="00A231C8">
        <w:rPr>
          <w:rFonts w:hint="eastAsia"/>
        </w:rPr>
        <w:t>参考</w:t>
      </w:r>
      <w:r w:rsidR="00FA6D50" w:rsidRPr="00A231C8">
        <w:rPr>
          <w:rFonts w:hint="eastAsia"/>
        </w:rPr>
        <w:t>：大阪府、大阪市のこれまでのヒートアイランド対策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46A29" w14:paraId="42166F5E" w14:textId="77777777" w:rsidTr="00AB1327">
        <w:tc>
          <w:tcPr>
            <w:tcW w:w="84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BCCD5ED" w14:textId="77777777" w:rsidR="00AB1327" w:rsidRPr="004F148A" w:rsidRDefault="00BA2912" w:rsidP="00AB1327">
            <w:pPr>
              <w:ind w:firstLineChars="100" w:firstLine="210"/>
            </w:pPr>
            <w:r w:rsidRPr="004F148A">
              <w:rPr>
                <w:rFonts w:hint="eastAsia"/>
              </w:rPr>
              <w:t>大阪府では、</w:t>
            </w:r>
            <w:r w:rsidRPr="004F148A">
              <w:t>2002年３月に策定した</w:t>
            </w:r>
            <w:r w:rsidRPr="004F148A">
              <w:rPr>
                <w:rFonts w:hint="eastAsia"/>
              </w:rPr>
              <w:t>「</w:t>
            </w:r>
            <w:r w:rsidRPr="004F148A">
              <w:t>大阪21世紀の環境総合計画</w:t>
            </w:r>
            <w:r w:rsidRPr="004F148A">
              <w:rPr>
                <w:rFonts w:hint="eastAsia"/>
              </w:rPr>
              <w:t>」</w:t>
            </w:r>
            <w:r w:rsidRPr="004F148A">
              <w:t>においてヒートアイランド対策への取組を施策の柱として位置づけ</w:t>
            </w:r>
            <w:r w:rsidRPr="004F148A">
              <w:rPr>
                <w:rFonts w:hint="eastAsia"/>
              </w:rPr>
              <w:t>て取り組みを行ってきた。</w:t>
            </w:r>
            <w:r w:rsidR="002A09F6" w:rsidRPr="004F148A">
              <w:rPr>
                <w:rFonts w:hint="eastAsia"/>
              </w:rPr>
              <w:t>大阪市においても、2005年3月に「大阪市ヒートアイランド対策推進計画」を策定し、また、2011年には同計画を改訂し、対策を推進してきた。</w:t>
            </w:r>
          </w:p>
          <w:p w14:paraId="5C37DE08" w14:textId="168756BE" w:rsidR="00AB1327" w:rsidRPr="004F148A" w:rsidRDefault="00BA2912" w:rsidP="00E77368">
            <w:pPr>
              <w:ind w:firstLineChars="100" w:firstLine="210"/>
            </w:pPr>
            <w:r w:rsidRPr="004F148A">
              <w:rPr>
                <w:rFonts w:hint="eastAsia"/>
              </w:rPr>
              <w:t>その後</w:t>
            </w:r>
            <w:r w:rsidRPr="004F148A">
              <w:t>2014年３月に、大阪府と大阪市が協力し、効率的にヒートアイランド対策を</w:t>
            </w:r>
            <w:r w:rsidR="00211E58">
              <w:rPr>
                <w:rFonts w:hint="eastAsia"/>
              </w:rPr>
              <w:t>行う</w:t>
            </w:r>
            <w:r w:rsidRPr="004F148A">
              <w:t>ために、大阪府市の既計画の目標値等を統一するとともに、今後のヒートアイランド対策の方向性等についての基本的な方針を「大阪府市ヒートアイランド対策基本方針」として取りまとめ</w:t>
            </w:r>
            <w:r w:rsidRPr="004F148A">
              <w:rPr>
                <w:rFonts w:hint="eastAsia"/>
              </w:rPr>
              <w:t>、翌2015年３月に2025年度までを計画期間とする「おおさかヒートアイランド対策推進計画」を</w:t>
            </w:r>
            <w:r w:rsidRPr="004F148A">
              <w:t>大阪府と大阪市</w:t>
            </w:r>
            <w:r w:rsidRPr="004F148A">
              <w:rPr>
                <w:rFonts w:hint="eastAsia"/>
              </w:rPr>
              <w:t>で</w:t>
            </w:r>
            <w:r w:rsidR="00211E58">
              <w:rPr>
                <w:rFonts w:hint="eastAsia"/>
              </w:rPr>
              <w:t>取</w:t>
            </w:r>
            <w:r w:rsidRPr="004F148A">
              <w:rPr>
                <w:rFonts w:hint="eastAsia"/>
              </w:rPr>
              <w:t>りまとめ、ヒートアイランド対策を実施してきた。</w:t>
            </w:r>
          </w:p>
          <w:p w14:paraId="664DB930" w14:textId="77777777" w:rsidR="004F148A" w:rsidRDefault="00BA2912" w:rsidP="00E324ED">
            <w:pPr>
              <w:ind w:firstLineChars="100" w:firstLine="210"/>
            </w:pPr>
            <w:r w:rsidRPr="004F148A">
              <w:rPr>
                <w:rFonts w:hint="eastAsia"/>
              </w:rPr>
              <w:t>その後</w:t>
            </w:r>
            <w:r w:rsidRPr="004F148A">
              <w:t>2024年</w:t>
            </w:r>
            <w:r w:rsidRPr="004F148A">
              <w:rPr>
                <w:rFonts w:hint="eastAsia"/>
              </w:rPr>
              <w:t>、大阪府環境審議会に諮ったところ、</w:t>
            </w:r>
            <w:r w:rsidRPr="004F148A">
              <w:t>今後</w:t>
            </w:r>
            <w:r w:rsidRPr="004F148A">
              <w:rPr>
                <w:rFonts w:hint="eastAsia"/>
              </w:rPr>
              <w:t>のヒートアイランド対策については、近年の地球温暖化による全国的な気温上昇の傾向を踏まえ、</w:t>
            </w:r>
            <w:r w:rsidRPr="004F148A">
              <w:t>地球温暖化対策と</w:t>
            </w:r>
            <w:r w:rsidRPr="004F148A">
              <w:rPr>
                <w:rFonts w:hint="eastAsia"/>
              </w:rPr>
              <w:t>の</w:t>
            </w:r>
            <w:r w:rsidRPr="004F148A">
              <w:t>一体的</w:t>
            </w:r>
            <w:r w:rsidRPr="004F148A">
              <w:rPr>
                <w:rFonts w:hint="eastAsia"/>
              </w:rPr>
              <w:t>な</w:t>
            </w:r>
            <w:r w:rsidRPr="004F148A">
              <w:t>施策・事業</w:t>
            </w:r>
            <w:r w:rsidRPr="004F148A">
              <w:rPr>
                <w:rFonts w:hint="eastAsia"/>
              </w:rPr>
              <w:t>が</w:t>
            </w:r>
            <w:r w:rsidRPr="004F148A">
              <w:t>必要</w:t>
            </w:r>
            <w:r w:rsidRPr="004F148A">
              <w:rPr>
                <w:rFonts w:hint="eastAsia"/>
              </w:rPr>
              <w:t>と結論づけられ</w:t>
            </w:r>
            <w:r w:rsidR="00553D62" w:rsidRPr="004F148A">
              <w:rPr>
                <w:rFonts w:hint="eastAsia"/>
              </w:rPr>
              <w:t>、</w:t>
            </w:r>
            <w:r>
              <w:rPr>
                <w:rFonts w:hint="eastAsia"/>
              </w:rPr>
              <w:t>2025年、大阪市環境審議会でも同様の結論となった。</w:t>
            </w:r>
          </w:p>
          <w:p w14:paraId="4EC64FF0" w14:textId="77777777" w:rsidR="00E324ED" w:rsidRPr="004F148A" w:rsidRDefault="00BA2912" w:rsidP="00E324ED">
            <w:pPr>
              <w:ind w:firstLineChars="100" w:firstLine="210"/>
            </w:pPr>
            <w:r w:rsidRPr="004F148A">
              <w:rPr>
                <w:rFonts w:hint="eastAsia"/>
              </w:rPr>
              <w:t>これ</w:t>
            </w:r>
            <w:r w:rsidR="00AD5363" w:rsidRPr="004F148A">
              <w:rPr>
                <w:rFonts w:hint="eastAsia"/>
              </w:rPr>
              <w:t>ら</w:t>
            </w:r>
            <w:r w:rsidR="004F148A">
              <w:rPr>
                <w:rFonts w:hint="eastAsia"/>
              </w:rPr>
              <w:t>を踏まえ</w:t>
            </w:r>
            <w:r w:rsidRPr="004F148A">
              <w:rPr>
                <w:rFonts w:hint="eastAsia"/>
              </w:rPr>
              <w:t>、大阪府・大阪市ともに、地球温暖化対策と一体的にヒートアイランド対策</w:t>
            </w:r>
            <w:r w:rsidR="00AD5363" w:rsidRPr="004F148A">
              <w:rPr>
                <w:rFonts w:hint="eastAsia"/>
              </w:rPr>
              <w:t>に取り組むこ</w:t>
            </w:r>
            <w:r w:rsidR="004F148A">
              <w:rPr>
                <w:rFonts w:hint="eastAsia"/>
              </w:rPr>
              <w:t>ととした</w:t>
            </w:r>
            <w:r w:rsidR="00D12D10" w:rsidRPr="004F148A">
              <w:rPr>
                <w:rFonts w:hint="eastAsia"/>
              </w:rPr>
              <w:t>。</w:t>
            </w:r>
          </w:p>
          <w:p w14:paraId="28F57A70" w14:textId="77777777" w:rsidR="00C63ABD" w:rsidRPr="004F148A" w:rsidRDefault="00BA2912" w:rsidP="00D14B08">
            <w:pPr>
              <w:jc w:val="center"/>
            </w:pPr>
            <w:r w:rsidRPr="00C63ABD">
              <w:rPr>
                <w:noProof/>
              </w:rPr>
              <w:drawing>
                <wp:inline distT="0" distB="0" distL="0" distR="0" wp14:anchorId="4BA1D95C" wp14:editId="1B1C8C32">
                  <wp:extent cx="3550808" cy="1980000"/>
                  <wp:effectExtent l="0" t="0" r="0" b="1270"/>
                  <wp:docPr id="3" name="図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754D64C-A8ED-4F5D-A12C-84AA322D0D6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>
                            <a:extLst>
                              <a:ext uri="{FF2B5EF4-FFF2-40B4-BE49-F238E27FC236}">
                                <a16:creationId xmlns:a16="http://schemas.microsoft.com/office/drawing/2014/main" id="{5754D64C-A8ED-4F5D-A12C-84AA322D0D6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0808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66E2C4" w14:textId="77777777" w:rsidR="007E4550" w:rsidRPr="00AB1327" w:rsidRDefault="00BA2912" w:rsidP="00D214FD">
            <w:pPr>
              <w:spacing w:line="240" w:lineRule="exact"/>
              <w:jc w:val="center"/>
            </w:pPr>
            <w:bookmarkStart w:id="3" w:name="_Hlk210212214"/>
            <w:r w:rsidRPr="004F148A">
              <w:rPr>
                <w:rFonts w:hint="eastAsia"/>
              </w:rPr>
              <w:t>年間熱帯夜日数の推移</w:t>
            </w:r>
            <w:bookmarkEnd w:id="3"/>
            <w:r w:rsidRPr="004F148A">
              <w:rPr>
                <w:rFonts w:hint="eastAsia"/>
              </w:rPr>
              <w:t>（気象庁データより大阪府作成）</w:t>
            </w:r>
          </w:p>
        </w:tc>
      </w:tr>
    </w:tbl>
    <w:p w14:paraId="71BB2DDB" w14:textId="77777777" w:rsidR="00B31DA1" w:rsidRDefault="00B31DA1" w:rsidP="002A7A44"/>
    <w:sectPr w:rsidR="00B31DA1" w:rsidSect="003449CA">
      <w:footnotePr>
        <w:numRestart w:val="eachPage"/>
      </w:footnotePr>
      <w:type w:val="continuous"/>
      <w:pgSz w:w="11906" w:h="16838"/>
      <w:pgMar w:top="1361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078BC" w14:textId="77777777" w:rsidR="00D378D6" w:rsidRDefault="00D378D6" w:rsidP="00BA2912">
      <w:r>
        <w:separator/>
      </w:r>
    </w:p>
  </w:endnote>
  <w:endnote w:type="continuationSeparator" w:id="0">
    <w:p w14:paraId="52857875" w14:textId="77777777" w:rsidR="00D378D6" w:rsidRDefault="00D378D6" w:rsidP="00BA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1C87A" w14:textId="77777777" w:rsidR="00D378D6" w:rsidRDefault="00D378D6" w:rsidP="00BA2912">
      <w:r>
        <w:separator/>
      </w:r>
    </w:p>
  </w:footnote>
  <w:footnote w:type="continuationSeparator" w:id="0">
    <w:p w14:paraId="5527FD7B" w14:textId="77777777" w:rsidR="00D378D6" w:rsidRDefault="00D378D6" w:rsidP="00BA2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6FBE"/>
    <w:multiLevelType w:val="hybridMultilevel"/>
    <w:tmpl w:val="45CAB3B0"/>
    <w:lvl w:ilvl="0" w:tplc="3D50992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D27A19B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148931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3CAEF5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314EF2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5DC67D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A94615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35861C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7FE811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88473B"/>
    <w:multiLevelType w:val="hybridMultilevel"/>
    <w:tmpl w:val="D3F604DE"/>
    <w:lvl w:ilvl="0" w:tplc="179411F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FF889AA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F1AF7F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010D82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DAA58D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1E2F47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4E41A6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92081D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8F8CFA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9D6C17"/>
    <w:multiLevelType w:val="hybridMultilevel"/>
    <w:tmpl w:val="0030ABAE"/>
    <w:lvl w:ilvl="0" w:tplc="82322C3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A1FA86C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5F4CAB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7A3A6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9E8AF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3CA3AE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1E2A0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1400B2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A30FB0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A59"/>
    <w:rsid w:val="000004E5"/>
    <w:rsid w:val="00002DF3"/>
    <w:rsid w:val="0001547E"/>
    <w:rsid w:val="00025085"/>
    <w:rsid w:val="0003009C"/>
    <w:rsid w:val="000353B8"/>
    <w:rsid w:val="00041458"/>
    <w:rsid w:val="00046A29"/>
    <w:rsid w:val="000C1A8B"/>
    <w:rsid w:val="000D3ED3"/>
    <w:rsid w:val="001100AA"/>
    <w:rsid w:val="001361FD"/>
    <w:rsid w:val="001529D4"/>
    <w:rsid w:val="00180EBA"/>
    <w:rsid w:val="00195750"/>
    <w:rsid w:val="001A0697"/>
    <w:rsid w:val="001D1F0E"/>
    <w:rsid w:val="001F265C"/>
    <w:rsid w:val="001F43A0"/>
    <w:rsid w:val="00205BD3"/>
    <w:rsid w:val="00211E58"/>
    <w:rsid w:val="0023101B"/>
    <w:rsid w:val="00233E47"/>
    <w:rsid w:val="0025760D"/>
    <w:rsid w:val="00276B67"/>
    <w:rsid w:val="002A09F6"/>
    <w:rsid w:val="002A4720"/>
    <w:rsid w:val="002A7A44"/>
    <w:rsid w:val="00306301"/>
    <w:rsid w:val="00306E86"/>
    <w:rsid w:val="00312B50"/>
    <w:rsid w:val="00334E33"/>
    <w:rsid w:val="003449CA"/>
    <w:rsid w:val="003747E8"/>
    <w:rsid w:val="00386599"/>
    <w:rsid w:val="003A14CF"/>
    <w:rsid w:val="003A1BAC"/>
    <w:rsid w:val="003D5D69"/>
    <w:rsid w:val="003E0888"/>
    <w:rsid w:val="003E5A64"/>
    <w:rsid w:val="00404A35"/>
    <w:rsid w:val="00422CB2"/>
    <w:rsid w:val="00442940"/>
    <w:rsid w:val="00445B71"/>
    <w:rsid w:val="004500BC"/>
    <w:rsid w:val="00471311"/>
    <w:rsid w:val="0049700C"/>
    <w:rsid w:val="004D22F3"/>
    <w:rsid w:val="004E2219"/>
    <w:rsid w:val="004F148A"/>
    <w:rsid w:val="004F4446"/>
    <w:rsid w:val="005330D3"/>
    <w:rsid w:val="005365DF"/>
    <w:rsid w:val="00536C27"/>
    <w:rsid w:val="00553D62"/>
    <w:rsid w:val="00576F3E"/>
    <w:rsid w:val="005A2C2E"/>
    <w:rsid w:val="005C23C1"/>
    <w:rsid w:val="005E7B0C"/>
    <w:rsid w:val="0062336F"/>
    <w:rsid w:val="00652EEB"/>
    <w:rsid w:val="006618A7"/>
    <w:rsid w:val="00697555"/>
    <w:rsid w:val="006A2DBB"/>
    <w:rsid w:val="006D390A"/>
    <w:rsid w:val="006F58CD"/>
    <w:rsid w:val="007064CF"/>
    <w:rsid w:val="00721B2E"/>
    <w:rsid w:val="00723BD1"/>
    <w:rsid w:val="007647B2"/>
    <w:rsid w:val="00790938"/>
    <w:rsid w:val="00791109"/>
    <w:rsid w:val="007A21B7"/>
    <w:rsid w:val="007B5C28"/>
    <w:rsid w:val="007C60AF"/>
    <w:rsid w:val="007E4550"/>
    <w:rsid w:val="007F6CA1"/>
    <w:rsid w:val="00801263"/>
    <w:rsid w:val="00823BC7"/>
    <w:rsid w:val="00830428"/>
    <w:rsid w:val="0084033C"/>
    <w:rsid w:val="00841CB1"/>
    <w:rsid w:val="00850E0D"/>
    <w:rsid w:val="00854469"/>
    <w:rsid w:val="00872F5C"/>
    <w:rsid w:val="00887EFA"/>
    <w:rsid w:val="008B6B32"/>
    <w:rsid w:val="008E720F"/>
    <w:rsid w:val="008F4EDB"/>
    <w:rsid w:val="009138B8"/>
    <w:rsid w:val="00920055"/>
    <w:rsid w:val="00973BBD"/>
    <w:rsid w:val="0099083B"/>
    <w:rsid w:val="009A1A65"/>
    <w:rsid w:val="009C4E68"/>
    <w:rsid w:val="009F26F3"/>
    <w:rsid w:val="009F6F9D"/>
    <w:rsid w:val="009F704B"/>
    <w:rsid w:val="00A03998"/>
    <w:rsid w:val="00A231C8"/>
    <w:rsid w:val="00A26373"/>
    <w:rsid w:val="00A42356"/>
    <w:rsid w:val="00A5653A"/>
    <w:rsid w:val="00A60259"/>
    <w:rsid w:val="00A70FF3"/>
    <w:rsid w:val="00A76A3F"/>
    <w:rsid w:val="00AA32F1"/>
    <w:rsid w:val="00AA467D"/>
    <w:rsid w:val="00AB1327"/>
    <w:rsid w:val="00AB4DC2"/>
    <w:rsid w:val="00AC49F4"/>
    <w:rsid w:val="00AD2650"/>
    <w:rsid w:val="00AD3058"/>
    <w:rsid w:val="00AD5363"/>
    <w:rsid w:val="00AD60CE"/>
    <w:rsid w:val="00B154C1"/>
    <w:rsid w:val="00B31DA1"/>
    <w:rsid w:val="00B6656C"/>
    <w:rsid w:val="00B76308"/>
    <w:rsid w:val="00B83393"/>
    <w:rsid w:val="00B920C3"/>
    <w:rsid w:val="00BA0762"/>
    <w:rsid w:val="00BA2912"/>
    <w:rsid w:val="00BA61B2"/>
    <w:rsid w:val="00BD28EB"/>
    <w:rsid w:val="00BF2CDE"/>
    <w:rsid w:val="00C26660"/>
    <w:rsid w:val="00C34DC7"/>
    <w:rsid w:val="00C52EBD"/>
    <w:rsid w:val="00C56926"/>
    <w:rsid w:val="00C5761C"/>
    <w:rsid w:val="00C63ABD"/>
    <w:rsid w:val="00C64EE0"/>
    <w:rsid w:val="00C7138E"/>
    <w:rsid w:val="00C735DD"/>
    <w:rsid w:val="00CC7D01"/>
    <w:rsid w:val="00CD20A5"/>
    <w:rsid w:val="00D107F5"/>
    <w:rsid w:val="00D12D10"/>
    <w:rsid w:val="00D14B08"/>
    <w:rsid w:val="00D214FD"/>
    <w:rsid w:val="00D378D6"/>
    <w:rsid w:val="00D9313F"/>
    <w:rsid w:val="00DC6954"/>
    <w:rsid w:val="00DD4A59"/>
    <w:rsid w:val="00DF5C3F"/>
    <w:rsid w:val="00E10FF4"/>
    <w:rsid w:val="00E3146E"/>
    <w:rsid w:val="00E324ED"/>
    <w:rsid w:val="00E51469"/>
    <w:rsid w:val="00E53AC7"/>
    <w:rsid w:val="00E54051"/>
    <w:rsid w:val="00E72B3C"/>
    <w:rsid w:val="00E73B1F"/>
    <w:rsid w:val="00E77368"/>
    <w:rsid w:val="00E863B7"/>
    <w:rsid w:val="00E94CA7"/>
    <w:rsid w:val="00EB0A11"/>
    <w:rsid w:val="00EE4AAE"/>
    <w:rsid w:val="00EF25B7"/>
    <w:rsid w:val="00F01A39"/>
    <w:rsid w:val="00F15734"/>
    <w:rsid w:val="00F420DC"/>
    <w:rsid w:val="00F54AD1"/>
    <w:rsid w:val="00F9306E"/>
    <w:rsid w:val="00FA6D50"/>
    <w:rsid w:val="00FC43C9"/>
    <w:rsid w:val="00FC4DEB"/>
    <w:rsid w:val="00FE593B"/>
    <w:rsid w:val="00FE6724"/>
    <w:rsid w:val="00FF0098"/>
    <w:rsid w:val="00FF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F2D6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361FD"/>
  </w:style>
  <w:style w:type="character" w:customStyle="1" w:styleId="a4">
    <w:name w:val="日付 (文字)"/>
    <w:basedOn w:val="a0"/>
    <w:link w:val="a3"/>
    <w:uiPriority w:val="99"/>
    <w:semiHidden/>
    <w:rsid w:val="001361FD"/>
  </w:style>
  <w:style w:type="table" w:styleId="a5">
    <w:name w:val="Table Grid"/>
    <w:basedOn w:val="a1"/>
    <w:uiPriority w:val="39"/>
    <w:rsid w:val="00706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80EBA"/>
    <w:pPr>
      <w:ind w:leftChars="400" w:left="840"/>
    </w:pPr>
  </w:style>
  <w:style w:type="character" w:styleId="a7">
    <w:name w:val="annotation reference"/>
    <w:basedOn w:val="a0"/>
    <w:uiPriority w:val="99"/>
    <w:semiHidden/>
    <w:unhideWhenUsed/>
    <w:rsid w:val="00180EBA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180EBA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180EBA"/>
  </w:style>
  <w:style w:type="paragraph" w:styleId="aa">
    <w:name w:val="annotation subject"/>
    <w:basedOn w:val="a8"/>
    <w:next w:val="a8"/>
    <w:link w:val="ab"/>
    <w:uiPriority w:val="99"/>
    <w:semiHidden/>
    <w:unhideWhenUsed/>
    <w:rsid w:val="00180EB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80EBA"/>
    <w:rPr>
      <w:b/>
      <w:bCs/>
    </w:rPr>
  </w:style>
  <w:style w:type="paragraph" w:styleId="ac">
    <w:name w:val="Revision"/>
    <w:hidden/>
    <w:uiPriority w:val="99"/>
    <w:semiHidden/>
    <w:rsid w:val="00180EBA"/>
  </w:style>
  <w:style w:type="paragraph" w:styleId="ad">
    <w:name w:val="header"/>
    <w:basedOn w:val="a"/>
    <w:link w:val="ae"/>
    <w:uiPriority w:val="99"/>
    <w:unhideWhenUsed/>
    <w:rsid w:val="006D390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D390A"/>
  </w:style>
  <w:style w:type="paragraph" w:styleId="af">
    <w:name w:val="footer"/>
    <w:basedOn w:val="a"/>
    <w:link w:val="af0"/>
    <w:uiPriority w:val="99"/>
    <w:unhideWhenUsed/>
    <w:rsid w:val="006D390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D390A"/>
  </w:style>
  <w:style w:type="paragraph" w:styleId="af1">
    <w:name w:val="endnote text"/>
    <w:basedOn w:val="a"/>
    <w:link w:val="af2"/>
    <w:uiPriority w:val="99"/>
    <w:semiHidden/>
    <w:unhideWhenUsed/>
    <w:rsid w:val="003449CA"/>
    <w:pPr>
      <w:snapToGrid w:val="0"/>
      <w:jc w:val="left"/>
    </w:pPr>
  </w:style>
  <w:style w:type="character" w:customStyle="1" w:styleId="af2">
    <w:name w:val="文末脚注文字列 (文字)"/>
    <w:basedOn w:val="a0"/>
    <w:link w:val="af1"/>
    <w:uiPriority w:val="99"/>
    <w:semiHidden/>
    <w:rsid w:val="003449CA"/>
  </w:style>
  <w:style w:type="character" w:styleId="af3">
    <w:name w:val="endnote reference"/>
    <w:basedOn w:val="a0"/>
    <w:uiPriority w:val="99"/>
    <w:semiHidden/>
    <w:unhideWhenUsed/>
    <w:rsid w:val="003449CA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3449CA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3449CA"/>
  </w:style>
  <w:style w:type="character" w:styleId="af6">
    <w:name w:val="footnote reference"/>
    <w:basedOn w:val="a0"/>
    <w:uiPriority w:val="99"/>
    <w:semiHidden/>
    <w:unhideWhenUsed/>
    <w:rsid w:val="003449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DA9E6-2B74-481B-9F97-192A69859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2026-03-24T07:45:00Z</dcterms:created>
  <dcterms:modified xsi:type="dcterms:W3CDTF">2026-03-24T07:45:00Z</dcterms:modified>
</cp:coreProperties>
</file>