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8E692B" w14:textId="79DB4FA1" w:rsidR="00526E2F" w:rsidRDefault="00BF01CD" w:rsidP="00547E63">
      <w:pPr>
        <w:rPr>
          <w:rFonts w:asciiTheme="majorEastAsia" w:eastAsiaTheme="majorEastAsia" w:hAnsiTheme="majorEastAsia" w:cs="Meiryo UI"/>
          <w:b/>
          <w:sz w:val="22"/>
        </w:rPr>
      </w:pPr>
      <w:r w:rsidRPr="00515913">
        <w:rPr>
          <w:rFonts w:asciiTheme="minorEastAsia" w:hAnsiTheme="minorEastAsia" w:cs="Times New Roman"/>
          <w:noProof/>
        </w:rPr>
        <mc:AlternateContent>
          <mc:Choice Requires="wps">
            <w:drawing>
              <wp:anchor distT="0" distB="0" distL="114300" distR="114300" simplePos="0" relativeHeight="251659264" behindDoc="0" locked="0" layoutInCell="1" allowOverlap="1" wp14:anchorId="08347B9A" wp14:editId="0A3D345D">
                <wp:simplePos x="0" y="0"/>
                <wp:positionH relativeFrom="margin">
                  <wp:posOffset>4947285</wp:posOffset>
                </wp:positionH>
                <wp:positionV relativeFrom="paragraph">
                  <wp:posOffset>-386715</wp:posOffset>
                </wp:positionV>
                <wp:extent cx="1199515" cy="352425"/>
                <wp:effectExtent l="0" t="0" r="1968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352425"/>
                        </a:xfrm>
                        <a:prstGeom prst="rect">
                          <a:avLst/>
                        </a:prstGeom>
                        <a:solidFill>
                          <a:srgbClr val="FFFFFF"/>
                        </a:solidFill>
                        <a:ln w="9525">
                          <a:solidFill>
                            <a:srgbClr val="000000"/>
                          </a:solidFill>
                          <a:miter lim="800000"/>
                          <a:headEnd/>
                          <a:tailEnd/>
                        </a:ln>
                      </wps:spPr>
                      <wps:txbx>
                        <w:txbxContent>
                          <w:p w14:paraId="002B619F" w14:textId="58A94139" w:rsidR="00BF01CD" w:rsidRPr="007F3F52" w:rsidRDefault="000A0743" w:rsidP="00D87825">
                            <w:pPr>
                              <w:jc w:val="center"/>
                              <w:rPr>
                                <w:rFonts w:asciiTheme="majorEastAsia" w:eastAsiaTheme="majorEastAsia" w:hAnsiTheme="majorEastAsia"/>
                                <w:sz w:val="24"/>
                              </w:rPr>
                            </w:pPr>
                            <w:r w:rsidRPr="007F3F52">
                              <w:rPr>
                                <w:rFonts w:asciiTheme="majorEastAsia" w:eastAsiaTheme="majorEastAsia" w:hAnsiTheme="majorEastAsia" w:hint="eastAsia"/>
                                <w:sz w:val="24"/>
                              </w:rPr>
                              <w:t>参考</w:t>
                            </w:r>
                            <w:r w:rsidR="00BF01CD" w:rsidRPr="007F3F52">
                              <w:rPr>
                                <w:rFonts w:asciiTheme="majorEastAsia" w:eastAsiaTheme="majorEastAsia" w:hAnsiTheme="majorEastAsia" w:hint="eastAsia"/>
                                <w:sz w:val="24"/>
                              </w:rPr>
                              <w:t>資料</w:t>
                            </w:r>
                            <w:r w:rsidR="00841DA2">
                              <w:rPr>
                                <w:rFonts w:asciiTheme="majorEastAsia" w:eastAsiaTheme="majorEastAsia" w:hAnsiTheme="majorEastAsia" w:hint="eastAsia"/>
                                <w:sz w:val="24"/>
                              </w:rPr>
                              <w:t>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8347B9A" id="_x0000_t202" coordsize="21600,21600" o:spt="202" path="m,l,21600r21600,l21600,xe">
                <v:stroke joinstyle="miter"/>
                <v:path gradientshapeok="t" o:connecttype="rect"/>
              </v:shapetype>
              <v:shape id="テキスト ボックス 2" o:spid="_x0000_s1026" type="#_x0000_t202" style="position:absolute;left:0;text-align:left;margin-left:389.55pt;margin-top:-30.45pt;width:94.4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">
                <v:textbox>
                  <w:txbxContent>
                    <w:p w14:paraId="002B619F" w14:textId="58A94139" w:rsidR="00BF01CD" w:rsidRPr="007F3F52" w:rsidRDefault="000A0743" w:rsidP="00D87825">
                      <w:pPr>
                        <w:jc w:val="center"/>
                        <w:rPr>
                          <w:rFonts w:asciiTheme="majorEastAsia" w:eastAsiaTheme="majorEastAsia" w:hAnsiTheme="majorEastAsia"/>
                          <w:sz w:val="24"/>
                        </w:rPr>
                      </w:pPr>
                      <w:r w:rsidRPr="007F3F52">
                        <w:rPr>
                          <w:rFonts w:asciiTheme="majorEastAsia" w:eastAsiaTheme="majorEastAsia" w:hAnsiTheme="majorEastAsia" w:hint="eastAsia"/>
                          <w:sz w:val="24"/>
                        </w:rPr>
                        <w:t>参考</w:t>
                      </w:r>
                      <w:r w:rsidR="00BF01CD" w:rsidRPr="007F3F52">
                        <w:rPr>
                          <w:rFonts w:asciiTheme="majorEastAsia" w:eastAsiaTheme="majorEastAsia" w:hAnsiTheme="majorEastAsia" w:hint="eastAsia"/>
                          <w:sz w:val="24"/>
                        </w:rPr>
                        <w:t>資料</w:t>
                      </w:r>
                      <w:r w:rsidR="00841DA2">
                        <w:rPr>
                          <w:rFonts w:asciiTheme="majorEastAsia" w:eastAsiaTheme="majorEastAsia" w:hAnsiTheme="majorEastAsia" w:hint="eastAsia"/>
                          <w:sz w:val="24"/>
                        </w:rPr>
                        <w:t>２</w:t>
                      </w:r>
                      <w:bookmarkStart w:id="1" w:name="_GoBack"/>
                      <w:bookmarkEnd w:id="1"/>
                    </w:p>
                  </w:txbxContent>
                </v:textbox>
                <w10:wrap anchorx="margin"/>
              </v:shape>
            </w:pict>
          </mc:Fallback>
        </mc:AlternateContent>
      </w:r>
      <w:bookmarkStart w:id="1" w:name="_Hlk65010177"/>
      <w:bookmarkEnd w:id="1"/>
    </w:p>
    <w:p w14:paraId="696576FA" w14:textId="1F3EF9E3" w:rsidR="00526E2F" w:rsidRPr="003A1F14" w:rsidRDefault="007E6EA9" w:rsidP="00F5050F">
      <w:pPr>
        <w:spacing w:line="360" w:lineRule="exact"/>
        <w:jc w:val="center"/>
        <w:rPr>
          <w:rFonts w:ascii="Meiryo UI" w:eastAsia="Meiryo UI" w:hAnsi="Meiryo UI" w:cs="Meiryo UI"/>
          <w:b/>
          <w:sz w:val="24"/>
          <w:szCs w:val="20"/>
        </w:rPr>
      </w:pPr>
      <w:r w:rsidRPr="003A1F14">
        <w:rPr>
          <w:rFonts w:ascii="Meiryo UI" w:eastAsia="Meiryo UI" w:hAnsi="Meiryo UI" w:cs="Meiryo UI" w:hint="eastAsia"/>
          <w:b/>
          <w:sz w:val="24"/>
          <w:szCs w:val="20"/>
        </w:rPr>
        <w:t>前回</w:t>
      </w:r>
      <w:r w:rsidR="006B03C6" w:rsidRPr="003A1F14">
        <w:rPr>
          <w:rFonts w:ascii="Meiryo UI" w:eastAsia="Meiryo UI" w:hAnsi="Meiryo UI" w:cs="Meiryo UI" w:hint="eastAsia"/>
          <w:b/>
          <w:sz w:val="24"/>
          <w:szCs w:val="20"/>
        </w:rPr>
        <w:t>部会における</w:t>
      </w:r>
      <w:r w:rsidR="00F7273F" w:rsidRPr="003A1F14">
        <w:rPr>
          <w:rFonts w:ascii="Meiryo UI" w:eastAsia="Meiryo UI" w:hAnsi="Meiryo UI" w:cs="Meiryo UI" w:hint="eastAsia"/>
          <w:b/>
          <w:sz w:val="24"/>
          <w:szCs w:val="20"/>
        </w:rPr>
        <w:t>主な指摘</w:t>
      </w:r>
      <w:r w:rsidR="00C93F9A" w:rsidRPr="003A1F14">
        <w:rPr>
          <w:rFonts w:ascii="Meiryo UI" w:eastAsia="Meiryo UI" w:hAnsi="Meiryo UI" w:cs="Meiryo UI" w:hint="eastAsia"/>
          <w:b/>
          <w:sz w:val="24"/>
          <w:szCs w:val="20"/>
        </w:rPr>
        <w:t>事項</w:t>
      </w:r>
      <w:r w:rsidR="003D4708" w:rsidRPr="003A1F14">
        <w:rPr>
          <w:rFonts w:ascii="Meiryo UI" w:eastAsia="Meiryo UI" w:hAnsi="Meiryo UI" w:cs="Meiryo UI" w:hint="eastAsia"/>
          <w:b/>
          <w:sz w:val="24"/>
          <w:szCs w:val="20"/>
        </w:rPr>
        <w:t>と対応</w:t>
      </w:r>
      <w:r w:rsidR="00526E2F" w:rsidRPr="003A1F14">
        <w:rPr>
          <w:rFonts w:ascii="Meiryo UI" w:eastAsia="Meiryo UI" w:hAnsi="Meiryo UI" w:cs="Meiryo UI" w:hint="eastAsia"/>
          <w:b/>
          <w:sz w:val="24"/>
          <w:szCs w:val="20"/>
        </w:rPr>
        <w:t>について</w:t>
      </w:r>
    </w:p>
    <w:p w14:paraId="5B0F7F50" w14:textId="77777777" w:rsidR="00F5050F" w:rsidRDefault="00F5050F" w:rsidP="00370C2B">
      <w:pPr>
        <w:ind w:left="440" w:hangingChars="200" w:hanging="440"/>
        <w:jc w:val="left"/>
        <w:rPr>
          <w:rFonts w:ascii="Meiryo UI" w:eastAsia="Meiryo UI" w:hAnsi="Meiryo UI" w:cs="Meiryo UI"/>
          <w:sz w:val="22"/>
          <w:szCs w:val="20"/>
        </w:rPr>
      </w:pPr>
    </w:p>
    <w:p w14:paraId="67A6416C" w14:textId="40C184C6" w:rsidR="00B22FFA" w:rsidRPr="00370C2B" w:rsidRDefault="003A1F14" w:rsidP="00370C2B">
      <w:pPr>
        <w:ind w:left="440" w:hangingChars="200" w:hanging="440"/>
        <w:jc w:val="left"/>
        <w:rPr>
          <w:rFonts w:ascii="Meiryo UI" w:eastAsia="Meiryo UI" w:hAnsi="Meiryo UI" w:cs="Meiryo UI"/>
          <w:sz w:val="22"/>
          <w:szCs w:val="20"/>
        </w:rPr>
      </w:pPr>
      <w:r w:rsidRPr="003A1F14">
        <w:rPr>
          <w:rFonts w:ascii="Meiryo UI" w:eastAsia="Meiryo UI" w:hAnsi="Meiryo UI" w:cs="Meiryo UI" w:hint="eastAsia"/>
          <w:sz w:val="22"/>
          <w:szCs w:val="20"/>
        </w:rPr>
        <w:t>(1) 小売電気事業者等の電力販売量・再エネ導入量等に関する新たな計画書・報告書制度の創設・運用について</w:t>
      </w:r>
    </w:p>
    <w:tbl>
      <w:tblPr>
        <w:tblStyle w:val="a4"/>
        <w:tblW w:w="0" w:type="auto"/>
        <w:tblLook w:val="04A0" w:firstRow="1" w:lastRow="0" w:firstColumn="1" w:lastColumn="0" w:noHBand="0" w:noVBand="1"/>
      </w:tblPr>
      <w:tblGrid>
        <w:gridCol w:w="4814"/>
        <w:gridCol w:w="4815"/>
      </w:tblGrid>
      <w:tr w:rsidR="00B22FFA" w14:paraId="42CB1BA5" w14:textId="77777777" w:rsidTr="00480FEA">
        <w:tc>
          <w:tcPr>
            <w:tcW w:w="4814" w:type="dxa"/>
          </w:tcPr>
          <w:p w14:paraId="7028B74E" w14:textId="77777777" w:rsidR="00B22FFA" w:rsidRDefault="00B22FFA" w:rsidP="00480FEA">
            <w:pPr>
              <w:jc w:val="center"/>
              <w:rPr>
                <w:rFonts w:ascii="Meiryo UI" w:eastAsia="Meiryo UI" w:hAnsi="Meiryo UI" w:cs="Meiryo UI"/>
                <w:sz w:val="20"/>
                <w:szCs w:val="20"/>
              </w:rPr>
            </w:pPr>
            <w:r>
              <w:rPr>
                <w:rFonts w:ascii="Meiryo UI" w:eastAsia="Meiryo UI" w:hAnsi="Meiryo UI" w:cs="Meiryo UI" w:hint="eastAsia"/>
                <w:sz w:val="20"/>
                <w:szCs w:val="20"/>
              </w:rPr>
              <w:t>主な指摘事項等</w:t>
            </w:r>
          </w:p>
        </w:tc>
        <w:tc>
          <w:tcPr>
            <w:tcW w:w="4815" w:type="dxa"/>
          </w:tcPr>
          <w:p w14:paraId="650D1AD4" w14:textId="4713094A" w:rsidR="00B22FFA" w:rsidRDefault="00632AE9" w:rsidP="00632AE9">
            <w:pPr>
              <w:jc w:val="center"/>
              <w:rPr>
                <w:rFonts w:ascii="Meiryo UI" w:eastAsia="Meiryo UI" w:hAnsi="Meiryo UI" w:cs="Meiryo UI"/>
                <w:sz w:val="20"/>
                <w:szCs w:val="20"/>
              </w:rPr>
            </w:pPr>
            <w:r>
              <w:rPr>
                <w:rFonts w:ascii="Meiryo UI" w:eastAsia="Meiryo UI" w:hAnsi="Meiryo UI" w:cs="Meiryo UI" w:hint="eastAsia"/>
                <w:sz w:val="20"/>
                <w:szCs w:val="20"/>
              </w:rPr>
              <w:t>対応案</w:t>
            </w:r>
          </w:p>
        </w:tc>
      </w:tr>
      <w:tr w:rsidR="00B22FFA" w:rsidRPr="005F6C3C" w14:paraId="4CBDC513" w14:textId="77777777" w:rsidTr="00480FEA">
        <w:tc>
          <w:tcPr>
            <w:tcW w:w="4814" w:type="dxa"/>
          </w:tcPr>
          <w:p w14:paraId="5C558CE9" w14:textId="56E2C009" w:rsidR="00B22FFA" w:rsidRDefault="00FC75A5" w:rsidP="00FC75A5">
            <w:pPr>
              <w:jc w:val="left"/>
              <w:rPr>
                <w:rFonts w:ascii="Meiryo UI" w:eastAsia="Meiryo UI" w:hAnsi="Meiryo UI" w:cs="Meiryo UI"/>
                <w:sz w:val="20"/>
                <w:szCs w:val="20"/>
              </w:rPr>
            </w:pPr>
            <w:r w:rsidRPr="00FC75A5">
              <w:rPr>
                <w:rFonts w:ascii="Meiryo UI" w:eastAsia="Meiryo UI" w:hAnsi="Meiryo UI" w:cs="Meiryo UI" w:hint="eastAsia"/>
                <w:sz w:val="20"/>
                <w:szCs w:val="20"/>
              </w:rPr>
              <w:t>小売</w:t>
            </w:r>
            <w:r>
              <w:rPr>
                <w:rFonts w:ascii="Meiryo UI" w:eastAsia="Meiryo UI" w:hAnsi="Meiryo UI" w:cs="Meiryo UI" w:hint="eastAsia"/>
                <w:sz w:val="20"/>
                <w:szCs w:val="20"/>
              </w:rPr>
              <w:t>電気</w:t>
            </w:r>
            <w:r w:rsidRPr="00FC75A5">
              <w:rPr>
                <w:rFonts w:ascii="Meiryo UI" w:eastAsia="Meiryo UI" w:hAnsi="Meiryo UI" w:cs="Meiryo UI" w:hint="eastAsia"/>
                <w:sz w:val="20"/>
                <w:szCs w:val="20"/>
              </w:rPr>
              <w:t>事業者は全国で700ぐらいある。</w:t>
            </w:r>
          </w:p>
          <w:p w14:paraId="06CBF745" w14:textId="77777777" w:rsidR="00015B65" w:rsidRDefault="00FC75A5" w:rsidP="00FC75A5">
            <w:pPr>
              <w:jc w:val="left"/>
              <w:rPr>
                <w:rFonts w:ascii="Meiryo UI" w:eastAsia="Meiryo UI" w:hAnsi="Meiryo UI" w:cs="Meiryo UI"/>
                <w:sz w:val="20"/>
                <w:szCs w:val="20"/>
              </w:rPr>
            </w:pPr>
            <w:r w:rsidRPr="00FC75A5">
              <w:rPr>
                <w:rFonts w:ascii="Meiryo UI" w:eastAsia="Meiryo UI" w:hAnsi="Meiryo UI" w:cs="Meiryo UI" w:hint="eastAsia"/>
                <w:sz w:val="20"/>
                <w:szCs w:val="20"/>
              </w:rPr>
              <w:t>エネルギー</w:t>
            </w:r>
            <w:r>
              <w:rPr>
                <w:rFonts w:ascii="Meiryo UI" w:eastAsia="Meiryo UI" w:hAnsi="Meiryo UI" w:cs="Meiryo UI" w:hint="eastAsia"/>
                <w:sz w:val="20"/>
                <w:szCs w:val="20"/>
              </w:rPr>
              <w:t>供給構造</w:t>
            </w:r>
            <w:r w:rsidRPr="00FC75A5">
              <w:rPr>
                <w:rFonts w:ascii="Meiryo UI" w:eastAsia="Meiryo UI" w:hAnsi="Meiryo UI" w:cs="Meiryo UI" w:hint="eastAsia"/>
                <w:sz w:val="20"/>
                <w:szCs w:val="20"/>
              </w:rPr>
              <w:t>高度化法で</w:t>
            </w:r>
            <w:r>
              <w:rPr>
                <w:rFonts w:ascii="Meiryo UI" w:eastAsia="Meiryo UI" w:hAnsi="Meiryo UI" w:cs="Meiryo UI" w:hint="eastAsia"/>
                <w:sz w:val="20"/>
                <w:szCs w:val="20"/>
              </w:rPr>
              <w:t>は、（</w:t>
            </w:r>
            <w:r w:rsidRPr="00FC75A5">
              <w:rPr>
                <w:rFonts w:ascii="Meiryo UI" w:eastAsia="Meiryo UI" w:hAnsi="Meiryo UI" w:cs="Meiryo UI" w:hint="eastAsia"/>
                <w:sz w:val="20"/>
                <w:szCs w:val="20"/>
              </w:rPr>
              <w:t>非化石エネルギー源の利用の促進を義務付け</w:t>
            </w:r>
            <w:r>
              <w:rPr>
                <w:rFonts w:ascii="Meiryo UI" w:eastAsia="Meiryo UI" w:hAnsi="Meiryo UI" w:cs="Meiryo UI" w:hint="eastAsia"/>
                <w:sz w:val="20"/>
                <w:szCs w:val="20"/>
              </w:rPr>
              <w:t>る対象として）年間販売電力量</w:t>
            </w:r>
            <w:r w:rsidRPr="00FC75A5">
              <w:rPr>
                <w:rFonts w:ascii="Meiryo UI" w:eastAsia="Meiryo UI" w:hAnsi="Meiryo UI" w:cs="Meiryo UI" w:hint="eastAsia"/>
                <w:sz w:val="20"/>
                <w:szCs w:val="20"/>
              </w:rPr>
              <w:t>5</w:t>
            </w:r>
            <w:r>
              <w:rPr>
                <w:rFonts w:ascii="Meiryo UI" w:eastAsia="Meiryo UI" w:hAnsi="Meiryo UI" w:cs="Meiryo UI" w:hint="eastAsia"/>
                <w:sz w:val="20"/>
                <w:szCs w:val="20"/>
              </w:rPr>
              <w:t>億</w:t>
            </w:r>
            <w:r w:rsidRPr="00FC75A5">
              <w:rPr>
                <w:rFonts w:ascii="Meiryo UI" w:eastAsia="Meiryo UI" w:hAnsi="Meiryo UI" w:cs="Meiryo UI" w:hint="eastAsia"/>
                <w:sz w:val="20"/>
                <w:szCs w:val="20"/>
              </w:rPr>
              <w:t>kwhで裾切りをしていて、</w:t>
            </w:r>
            <w:r>
              <w:rPr>
                <w:rFonts w:ascii="Meiryo UI" w:eastAsia="Meiryo UI" w:hAnsi="Meiryo UI" w:cs="Meiryo UI" w:hint="eastAsia"/>
                <w:sz w:val="20"/>
                <w:szCs w:val="20"/>
              </w:rPr>
              <w:t>約</w:t>
            </w:r>
            <w:r w:rsidRPr="00FC75A5">
              <w:rPr>
                <w:rFonts w:ascii="Meiryo UI" w:eastAsia="Meiryo UI" w:hAnsi="Meiryo UI" w:cs="Meiryo UI" w:hint="eastAsia"/>
                <w:sz w:val="20"/>
                <w:szCs w:val="20"/>
              </w:rPr>
              <w:t>50事業者</w:t>
            </w:r>
            <w:r>
              <w:rPr>
                <w:rFonts w:ascii="Meiryo UI" w:eastAsia="Meiryo UI" w:hAnsi="Meiryo UI" w:cs="Meiryo UI" w:hint="eastAsia"/>
                <w:sz w:val="20"/>
                <w:szCs w:val="20"/>
              </w:rPr>
              <w:t>を対象とし</w:t>
            </w:r>
            <w:r w:rsidR="00015B65">
              <w:rPr>
                <w:rFonts w:ascii="Meiryo UI" w:eastAsia="Meiryo UI" w:hAnsi="Meiryo UI" w:cs="Meiryo UI" w:hint="eastAsia"/>
                <w:sz w:val="20"/>
                <w:szCs w:val="20"/>
              </w:rPr>
              <w:t>、</w:t>
            </w:r>
            <w:r w:rsidRPr="00FC75A5">
              <w:rPr>
                <w:rFonts w:ascii="Meiryo UI" w:eastAsia="Meiryo UI" w:hAnsi="Meiryo UI" w:cs="Meiryo UI" w:hint="eastAsia"/>
                <w:sz w:val="20"/>
                <w:szCs w:val="20"/>
              </w:rPr>
              <w:t>98%ぐらい</w:t>
            </w:r>
            <w:r w:rsidR="00015B65">
              <w:rPr>
                <w:rFonts w:ascii="Meiryo UI" w:eastAsia="Meiryo UI" w:hAnsi="Meiryo UI" w:cs="Meiryo UI" w:hint="eastAsia"/>
                <w:sz w:val="20"/>
                <w:szCs w:val="20"/>
              </w:rPr>
              <w:t>のカバー率である。</w:t>
            </w:r>
          </w:p>
          <w:p w14:paraId="04F0609D" w14:textId="5DAFCF62" w:rsidR="00FC75A5" w:rsidRDefault="00015B65" w:rsidP="00FC75A5">
            <w:pPr>
              <w:jc w:val="left"/>
              <w:rPr>
                <w:rFonts w:ascii="Meiryo UI" w:eastAsia="Meiryo UI" w:hAnsi="Meiryo UI" w:cs="Meiryo UI"/>
                <w:sz w:val="20"/>
                <w:szCs w:val="20"/>
              </w:rPr>
            </w:pPr>
            <w:r>
              <w:rPr>
                <w:rFonts w:ascii="Meiryo UI" w:eastAsia="Meiryo UI" w:hAnsi="Meiryo UI" w:cs="Meiryo UI" w:hint="eastAsia"/>
                <w:sz w:val="20"/>
                <w:szCs w:val="20"/>
              </w:rPr>
              <w:t>約700者すべてを対象とするのではなく</w:t>
            </w:r>
            <w:r w:rsidR="00FC75A5" w:rsidRPr="00FC75A5">
              <w:rPr>
                <w:rFonts w:ascii="Meiryo UI" w:eastAsia="Meiryo UI" w:hAnsi="Meiryo UI" w:cs="Meiryo UI" w:hint="eastAsia"/>
                <w:sz w:val="20"/>
                <w:szCs w:val="20"/>
              </w:rPr>
              <w:t>、</w:t>
            </w:r>
            <w:r>
              <w:rPr>
                <w:rFonts w:ascii="Meiryo UI" w:eastAsia="Meiryo UI" w:hAnsi="Meiryo UI" w:cs="Meiryo UI" w:hint="eastAsia"/>
                <w:sz w:val="20"/>
                <w:szCs w:val="20"/>
              </w:rPr>
              <w:t>裾切り要件等についても考えた方が良いのではないか</w:t>
            </w:r>
            <w:r w:rsidR="00FC75A5" w:rsidRPr="00FC75A5">
              <w:rPr>
                <w:rFonts w:ascii="Meiryo UI" w:eastAsia="Meiryo UI" w:hAnsi="Meiryo UI" w:cs="Meiryo UI" w:hint="eastAsia"/>
                <w:sz w:val="20"/>
                <w:szCs w:val="20"/>
              </w:rPr>
              <w:t>。</w:t>
            </w:r>
          </w:p>
        </w:tc>
        <w:tc>
          <w:tcPr>
            <w:tcW w:w="4815" w:type="dxa"/>
          </w:tcPr>
          <w:p w14:paraId="7F0DBA29" w14:textId="77777777" w:rsidR="00B22FFA" w:rsidRDefault="000D7A10" w:rsidP="00FC75A5">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w:t>
            </w:r>
            <w:r w:rsidR="00015B65">
              <w:rPr>
                <w:rFonts w:ascii="Meiryo UI" w:eastAsia="Meiryo UI" w:hAnsi="Meiryo UI" w:cs="Meiryo UI" w:hint="eastAsia"/>
                <w:sz w:val="20"/>
                <w:szCs w:val="20"/>
              </w:rPr>
              <w:t>資料１</w:t>
            </w:r>
            <w:r w:rsidR="005F6C3C">
              <w:rPr>
                <w:rFonts w:ascii="Meiryo UI" w:eastAsia="Meiryo UI" w:hAnsi="Meiryo UI" w:cs="Meiryo UI" w:hint="eastAsia"/>
                <w:sz w:val="20"/>
                <w:szCs w:val="20"/>
              </w:rPr>
              <w:t>＜方策１＞①</w:t>
            </w:r>
            <w:r w:rsidR="004022B6">
              <w:rPr>
                <w:rFonts w:ascii="Meiryo UI" w:eastAsia="Meiryo UI" w:hAnsi="Meiryo UI" w:cs="Meiryo UI" w:hint="eastAsia"/>
                <w:sz w:val="20"/>
                <w:szCs w:val="20"/>
              </w:rPr>
              <w:t>において方向性を整理</w:t>
            </w:r>
          </w:p>
          <w:p w14:paraId="14B70815" w14:textId="19D42077" w:rsidR="005F6C3C" w:rsidRDefault="005F6C3C" w:rsidP="005F6C3C">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w:t>
            </w:r>
            <w:r w:rsidRPr="005F6C3C">
              <w:rPr>
                <w:rFonts w:ascii="Meiryo UI" w:eastAsia="Meiryo UI" w:hAnsi="Meiryo UI" w:cs="Meiryo UI" w:hint="eastAsia"/>
                <w:sz w:val="20"/>
                <w:szCs w:val="20"/>
              </w:rPr>
              <w:t>地域新電力など小規模で地域に根差した取組みを把握するため現在行っている任意アンケートの調査対象を引き継ぎ、府域で電力の小売供給を行う小売電気事業者等(</w:t>
            </w:r>
            <w:r w:rsidR="00353B12">
              <w:rPr>
                <w:rFonts w:ascii="Meiryo UI" w:eastAsia="Meiryo UI" w:hAnsi="Meiryo UI" w:cs="Meiryo UI" w:hint="eastAsia"/>
                <w:sz w:val="20"/>
                <w:szCs w:val="20"/>
              </w:rPr>
              <w:t>事業者の把握にあたっては</w:t>
            </w:r>
            <w:r w:rsidRPr="005F6C3C">
              <w:rPr>
                <w:rFonts w:ascii="Meiryo UI" w:eastAsia="Meiryo UI" w:hAnsi="Meiryo UI" w:cs="Meiryo UI" w:hint="eastAsia"/>
                <w:sz w:val="20"/>
                <w:szCs w:val="20"/>
              </w:rPr>
              <w:t>エネルギー供給構造高度化法の区分</w:t>
            </w:r>
            <w:r w:rsidR="007300F2">
              <w:rPr>
                <w:rFonts w:ascii="Meiryo UI" w:eastAsia="Meiryo UI" w:hAnsi="Meiryo UI" w:cs="Meiryo UI" w:hint="eastAsia"/>
                <w:sz w:val="20"/>
                <w:szCs w:val="20"/>
              </w:rPr>
              <w:t>を参考にしつつ、さらに</w:t>
            </w:r>
            <w:r w:rsidRPr="005F6C3C">
              <w:rPr>
                <w:rFonts w:ascii="Meiryo UI" w:eastAsia="Meiryo UI" w:hAnsi="Meiryo UI" w:cs="Meiryo UI" w:hint="eastAsia"/>
                <w:sz w:val="20"/>
                <w:szCs w:val="20"/>
              </w:rPr>
              <w:t>裾野を広げる。)</w:t>
            </w:r>
          </w:p>
        </w:tc>
      </w:tr>
      <w:tr w:rsidR="00FC75A5" w:rsidRPr="008332BF" w14:paraId="4584EBAB" w14:textId="77777777" w:rsidTr="00480FEA">
        <w:tc>
          <w:tcPr>
            <w:tcW w:w="4814" w:type="dxa"/>
          </w:tcPr>
          <w:p w14:paraId="55C16409" w14:textId="0FF55874" w:rsidR="00FC75A5" w:rsidRPr="00FC75A5" w:rsidRDefault="00AD4F1A" w:rsidP="00AD4F1A">
            <w:pPr>
              <w:jc w:val="left"/>
              <w:rPr>
                <w:rFonts w:ascii="Meiryo UI" w:eastAsia="Meiryo UI" w:hAnsi="Meiryo UI" w:cs="Meiryo UI"/>
                <w:sz w:val="20"/>
                <w:szCs w:val="20"/>
              </w:rPr>
            </w:pPr>
            <w:r>
              <w:rPr>
                <w:rFonts w:ascii="Meiryo UI" w:eastAsia="Meiryo UI" w:hAnsi="Meiryo UI" w:cs="Meiryo UI" w:hint="eastAsia"/>
                <w:sz w:val="20"/>
                <w:szCs w:val="20"/>
              </w:rPr>
              <w:t>電気の販売先データについて、</w:t>
            </w:r>
            <w:r w:rsidRPr="00AD4F1A">
              <w:rPr>
                <w:rFonts w:ascii="Meiryo UI" w:eastAsia="Meiryo UI" w:hAnsi="Meiryo UI" w:cs="Meiryo UI" w:hint="eastAsia"/>
                <w:sz w:val="20"/>
                <w:szCs w:val="20"/>
              </w:rPr>
              <w:t>家庭と業務</w:t>
            </w:r>
            <w:r>
              <w:rPr>
                <w:rFonts w:ascii="Meiryo UI" w:eastAsia="Meiryo UI" w:hAnsi="Meiryo UI" w:cs="Meiryo UI" w:hint="eastAsia"/>
                <w:sz w:val="20"/>
                <w:szCs w:val="20"/>
              </w:rPr>
              <w:t>などに分けられない</w:t>
            </w:r>
            <w:r w:rsidRPr="00AD4F1A">
              <w:rPr>
                <w:rFonts w:ascii="Meiryo UI" w:eastAsia="Meiryo UI" w:hAnsi="Meiryo UI" w:cs="Meiryo UI" w:hint="eastAsia"/>
                <w:sz w:val="20"/>
                <w:szCs w:val="20"/>
              </w:rPr>
              <w:t>か。</w:t>
            </w:r>
            <w:r>
              <w:rPr>
                <w:rFonts w:ascii="Meiryo UI" w:eastAsia="Meiryo UI" w:hAnsi="Meiryo UI" w:cs="Meiryo UI" w:hint="eastAsia"/>
                <w:sz w:val="20"/>
                <w:szCs w:val="20"/>
              </w:rPr>
              <w:t>また、販売に占める再エネの割合を把握するためには、メニューごとの販売量が必要であることから、メニュー別の報告をもらえない</w:t>
            </w:r>
            <w:r w:rsidRPr="00AD4F1A">
              <w:rPr>
                <w:rFonts w:ascii="Meiryo UI" w:eastAsia="Meiryo UI" w:hAnsi="Meiryo UI" w:cs="Meiryo UI" w:hint="eastAsia"/>
                <w:sz w:val="20"/>
                <w:szCs w:val="20"/>
              </w:rPr>
              <w:t>か。</w:t>
            </w:r>
          </w:p>
        </w:tc>
        <w:tc>
          <w:tcPr>
            <w:tcW w:w="4815" w:type="dxa"/>
          </w:tcPr>
          <w:p w14:paraId="725ABE72" w14:textId="209EB743" w:rsidR="00FC75A5" w:rsidRDefault="000D7A10" w:rsidP="00FC75A5">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w:t>
            </w:r>
            <w:r w:rsidR="004022B6">
              <w:rPr>
                <w:rFonts w:ascii="Meiryo UI" w:eastAsia="Meiryo UI" w:hAnsi="Meiryo UI" w:cs="Meiryo UI" w:hint="eastAsia"/>
                <w:sz w:val="20"/>
                <w:szCs w:val="20"/>
              </w:rPr>
              <w:t>資料１</w:t>
            </w:r>
            <w:r w:rsidR="005F6C3C">
              <w:rPr>
                <w:rFonts w:ascii="Meiryo UI" w:eastAsia="Meiryo UI" w:hAnsi="Meiryo UI" w:cs="Meiryo UI" w:hint="eastAsia"/>
                <w:sz w:val="20"/>
                <w:szCs w:val="20"/>
              </w:rPr>
              <w:t>＜方策１＞①</w:t>
            </w:r>
            <w:r w:rsidR="004022B6">
              <w:rPr>
                <w:rFonts w:ascii="Meiryo UI" w:eastAsia="Meiryo UI" w:hAnsi="Meiryo UI" w:cs="Meiryo UI" w:hint="eastAsia"/>
                <w:sz w:val="20"/>
                <w:szCs w:val="20"/>
              </w:rPr>
              <w:t>において方向性を整理</w:t>
            </w:r>
          </w:p>
          <w:p w14:paraId="77279B7C" w14:textId="79EE3FDB" w:rsidR="005F6C3C" w:rsidRDefault="005F6C3C" w:rsidP="00BE71DC">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w:t>
            </w:r>
            <w:r w:rsidR="007300F2">
              <w:rPr>
                <w:rFonts w:ascii="Meiryo UI" w:eastAsia="Meiryo UI" w:hAnsi="Meiryo UI" w:cs="Meiryo UI" w:hint="eastAsia"/>
                <w:sz w:val="20"/>
                <w:szCs w:val="20"/>
              </w:rPr>
              <w:t>事業者からは</w:t>
            </w:r>
            <w:r>
              <w:rPr>
                <w:rFonts w:ascii="Meiryo UI" w:eastAsia="Meiryo UI" w:hAnsi="Meiryo UI" w:cs="Meiryo UI" w:hint="eastAsia"/>
                <w:sz w:val="20"/>
                <w:szCs w:val="20"/>
              </w:rPr>
              <w:t>部門別に把握することは難しい</w:t>
            </w:r>
            <w:r w:rsidR="007300F2">
              <w:rPr>
                <w:rFonts w:ascii="Meiryo UI" w:eastAsia="Meiryo UI" w:hAnsi="Meiryo UI" w:cs="Meiryo UI" w:hint="eastAsia"/>
                <w:sz w:val="20"/>
                <w:szCs w:val="20"/>
              </w:rPr>
              <w:t>と聞いている</w:t>
            </w:r>
            <w:r>
              <w:rPr>
                <w:rFonts w:ascii="Meiryo UI" w:eastAsia="Meiryo UI" w:hAnsi="Meiryo UI" w:cs="Meiryo UI" w:hint="eastAsia"/>
                <w:sz w:val="20"/>
                <w:szCs w:val="20"/>
              </w:rPr>
              <w:t>。</w:t>
            </w:r>
            <w:r w:rsidRPr="005F6C3C">
              <w:rPr>
                <w:rFonts w:ascii="Meiryo UI" w:eastAsia="Meiryo UI" w:hAnsi="Meiryo UI" w:cs="Meiryo UI" w:hint="eastAsia"/>
                <w:sz w:val="20"/>
                <w:szCs w:val="20"/>
              </w:rPr>
              <w:t>府域内のメニュー別販売電力量・排出係数</w:t>
            </w:r>
            <w:r>
              <w:rPr>
                <w:rFonts w:ascii="Meiryo UI" w:eastAsia="Meiryo UI" w:hAnsi="Meiryo UI" w:cs="Meiryo UI" w:hint="eastAsia"/>
                <w:sz w:val="20"/>
                <w:szCs w:val="20"/>
              </w:rPr>
              <w:t>であれば把握が可能。</w:t>
            </w:r>
          </w:p>
        </w:tc>
      </w:tr>
      <w:tr w:rsidR="00AD4F1A" w:rsidRPr="008332BF" w14:paraId="28DD25DF" w14:textId="77777777" w:rsidTr="00480FEA">
        <w:tc>
          <w:tcPr>
            <w:tcW w:w="4814" w:type="dxa"/>
          </w:tcPr>
          <w:p w14:paraId="38D677B6" w14:textId="1D04CD13" w:rsidR="00AD4F1A" w:rsidRDefault="00AD4F1A" w:rsidP="00AD4F1A">
            <w:pPr>
              <w:jc w:val="left"/>
              <w:rPr>
                <w:rFonts w:ascii="Meiryo UI" w:eastAsia="Meiryo UI" w:hAnsi="Meiryo UI" w:cs="Meiryo UI"/>
                <w:sz w:val="20"/>
                <w:szCs w:val="20"/>
              </w:rPr>
            </w:pPr>
            <w:r>
              <w:rPr>
                <w:rFonts w:ascii="Meiryo UI" w:eastAsia="Meiryo UI" w:hAnsi="Meiryo UI" w:cs="Meiryo UI" w:hint="eastAsia"/>
                <w:sz w:val="20"/>
                <w:szCs w:val="20"/>
              </w:rPr>
              <w:t>基礎自治体においても、このような（販売電力量等）数字が欲しいと思うが、何か対応ができないか。</w:t>
            </w:r>
          </w:p>
        </w:tc>
        <w:tc>
          <w:tcPr>
            <w:tcW w:w="4815" w:type="dxa"/>
          </w:tcPr>
          <w:p w14:paraId="1CD71AEC" w14:textId="52D27D45" w:rsidR="007F3F52" w:rsidRDefault="000D7A10" w:rsidP="007F3F52">
            <w:pPr>
              <w:jc w:val="left"/>
              <w:rPr>
                <w:rFonts w:ascii="Meiryo UI" w:eastAsia="Meiryo UI" w:hAnsi="Meiryo UI" w:cs="Meiryo UI"/>
                <w:sz w:val="20"/>
                <w:szCs w:val="20"/>
              </w:rPr>
            </w:pPr>
            <w:r>
              <w:rPr>
                <w:rFonts w:ascii="Meiryo UI" w:eastAsia="Meiryo UI" w:hAnsi="Meiryo UI" w:cs="Meiryo UI" w:hint="eastAsia"/>
                <w:sz w:val="20"/>
                <w:szCs w:val="20"/>
              </w:rPr>
              <w:t>・</w:t>
            </w:r>
            <w:r w:rsidR="00AD4F1A">
              <w:rPr>
                <w:rFonts w:ascii="Meiryo UI" w:eastAsia="Meiryo UI" w:hAnsi="Meiryo UI" w:cs="Meiryo UI" w:hint="eastAsia"/>
                <w:sz w:val="20"/>
                <w:szCs w:val="20"/>
              </w:rPr>
              <w:t>現状</w:t>
            </w:r>
            <w:r w:rsidR="007F3F52">
              <w:rPr>
                <w:rFonts w:ascii="Meiryo UI" w:eastAsia="Meiryo UI" w:hAnsi="Meiryo UI" w:cs="Meiryo UI" w:hint="eastAsia"/>
                <w:sz w:val="20"/>
                <w:szCs w:val="20"/>
              </w:rPr>
              <w:t>において</w:t>
            </w:r>
            <w:r w:rsidR="00AD4F1A">
              <w:rPr>
                <w:rFonts w:ascii="Meiryo UI" w:eastAsia="Meiryo UI" w:hAnsi="Meiryo UI" w:cs="Meiryo UI" w:hint="eastAsia"/>
                <w:sz w:val="20"/>
                <w:szCs w:val="20"/>
              </w:rPr>
              <w:t>、基礎自治体</w:t>
            </w:r>
            <w:r w:rsidR="007F3F52">
              <w:rPr>
                <w:rFonts w:ascii="Meiryo UI" w:eastAsia="Meiryo UI" w:hAnsi="Meiryo UI" w:cs="Meiryo UI" w:hint="eastAsia"/>
                <w:sz w:val="20"/>
                <w:szCs w:val="20"/>
              </w:rPr>
              <w:t>では、</w:t>
            </w:r>
            <w:r w:rsidR="00AD4F1A">
              <w:rPr>
                <w:rFonts w:ascii="Meiryo UI" w:eastAsia="Meiryo UI" w:hAnsi="Meiryo UI" w:cs="Meiryo UI" w:hint="eastAsia"/>
                <w:sz w:val="20"/>
                <w:szCs w:val="20"/>
              </w:rPr>
              <w:t>都道府県別エネルギー消費統計</w:t>
            </w:r>
            <w:r w:rsidR="007F3F52">
              <w:rPr>
                <w:rFonts w:ascii="Meiryo UI" w:eastAsia="Meiryo UI" w:hAnsi="Meiryo UI" w:cs="Meiryo UI" w:hint="eastAsia"/>
                <w:sz w:val="20"/>
                <w:szCs w:val="20"/>
              </w:rPr>
              <w:t>の</w:t>
            </w:r>
            <w:r w:rsidR="00AD4F1A">
              <w:rPr>
                <w:rFonts w:ascii="Meiryo UI" w:eastAsia="Meiryo UI" w:hAnsi="Meiryo UI" w:cs="Meiryo UI" w:hint="eastAsia"/>
                <w:sz w:val="20"/>
                <w:szCs w:val="20"/>
              </w:rPr>
              <w:t>人口按分など</w:t>
            </w:r>
            <w:r w:rsidR="007F3F52">
              <w:rPr>
                <w:rFonts w:ascii="Meiryo UI" w:eastAsia="Meiryo UI" w:hAnsi="Meiryo UI" w:cs="Meiryo UI" w:hint="eastAsia"/>
                <w:sz w:val="20"/>
                <w:szCs w:val="20"/>
              </w:rPr>
              <w:t>により、エリアの販売電力量等を把握するしかない状況であることは認識している。</w:t>
            </w:r>
          </w:p>
          <w:p w14:paraId="701CAF7B" w14:textId="5E9D50F0" w:rsidR="00637591" w:rsidRDefault="00637591" w:rsidP="007F3F52">
            <w:pPr>
              <w:jc w:val="left"/>
              <w:rPr>
                <w:rFonts w:ascii="Meiryo UI" w:eastAsia="Meiryo UI" w:hAnsi="Meiryo UI" w:cs="Meiryo UI"/>
                <w:sz w:val="20"/>
                <w:szCs w:val="20"/>
              </w:rPr>
            </w:pPr>
            <w:r>
              <w:rPr>
                <w:rFonts w:ascii="Meiryo UI" w:eastAsia="Meiryo UI" w:hAnsi="Meiryo UI" w:cs="Meiryo UI" w:hint="eastAsia"/>
                <w:sz w:val="20"/>
                <w:szCs w:val="20"/>
              </w:rPr>
              <w:t>・事業者に確認したところ、基礎自治体毎の販売電力量等を提供することはシステム上困難であり、また、手作業で行うにしても事務負担が大きいと聞いている。</w:t>
            </w:r>
          </w:p>
          <w:p w14:paraId="16BB41EF" w14:textId="00CDBE8E" w:rsidR="00AD4F1A" w:rsidRPr="00AD4F1A" w:rsidRDefault="000D7A10" w:rsidP="007F3F52">
            <w:pPr>
              <w:jc w:val="left"/>
              <w:rPr>
                <w:rFonts w:ascii="Meiryo UI" w:eastAsia="Meiryo UI" w:hAnsi="Meiryo UI" w:cs="Meiryo UI"/>
                <w:sz w:val="20"/>
                <w:szCs w:val="20"/>
              </w:rPr>
            </w:pPr>
            <w:r>
              <w:rPr>
                <w:rFonts w:ascii="Meiryo UI" w:eastAsia="Meiryo UI" w:hAnsi="Meiryo UI" w:cs="Meiryo UI" w:hint="eastAsia"/>
                <w:sz w:val="20"/>
                <w:szCs w:val="20"/>
              </w:rPr>
              <w:t>・</w:t>
            </w:r>
            <w:r w:rsidR="007F3F52">
              <w:rPr>
                <w:rFonts w:ascii="Meiryo UI" w:eastAsia="Meiryo UI" w:hAnsi="Meiryo UI" w:cs="Meiryo UI" w:hint="eastAsia"/>
                <w:sz w:val="20"/>
                <w:szCs w:val="20"/>
              </w:rPr>
              <w:t>市町村域での販売電力量等について、府を介して提供できるものもあると考えられるため、事業者とも相談しながら、必要なデータを提供できるよう、運用面で検討したい。</w:t>
            </w:r>
          </w:p>
        </w:tc>
      </w:tr>
    </w:tbl>
    <w:p w14:paraId="429D0CB1" w14:textId="77777777" w:rsidR="00B22FFA" w:rsidRPr="008821D0" w:rsidRDefault="00B22FFA" w:rsidP="00D87825">
      <w:pPr>
        <w:jc w:val="left"/>
        <w:rPr>
          <w:rFonts w:ascii="Meiryo UI" w:eastAsia="Meiryo UI" w:hAnsi="Meiryo UI" w:cs="Meiryo UI"/>
          <w:sz w:val="20"/>
          <w:szCs w:val="20"/>
        </w:rPr>
      </w:pPr>
    </w:p>
    <w:p w14:paraId="3FDDBEEA" w14:textId="448723A4" w:rsidR="00D87825" w:rsidRPr="00370C2B" w:rsidRDefault="00370C2B" w:rsidP="00D87825">
      <w:pPr>
        <w:jc w:val="left"/>
        <w:rPr>
          <w:rFonts w:ascii="Meiryo UI" w:eastAsia="Meiryo UI" w:hAnsi="Meiryo UI" w:cs="Meiryo UI"/>
          <w:sz w:val="22"/>
          <w:szCs w:val="20"/>
        </w:rPr>
      </w:pPr>
      <w:r>
        <w:rPr>
          <w:rFonts w:ascii="Meiryo UI" w:eastAsia="Meiryo UI" w:hAnsi="Meiryo UI" w:cs="Meiryo UI" w:hint="eastAsia"/>
          <w:sz w:val="22"/>
          <w:szCs w:val="20"/>
        </w:rPr>
        <w:t>(2</w:t>
      </w:r>
      <w:r w:rsidRPr="003A1F14">
        <w:rPr>
          <w:rFonts w:ascii="Meiryo UI" w:eastAsia="Meiryo UI" w:hAnsi="Meiryo UI" w:cs="Meiryo UI" w:hint="eastAsia"/>
          <w:sz w:val="22"/>
          <w:szCs w:val="20"/>
        </w:rPr>
        <w:t>)</w:t>
      </w:r>
      <w:r>
        <w:rPr>
          <w:rFonts w:ascii="Meiryo UI" w:eastAsia="Meiryo UI" w:hAnsi="Meiryo UI" w:cs="Meiryo UI"/>
          <w:sz w:val="22"/>
          <w:szCs w:val="20"/>
        </w:rPr>
        <w:t xml:space="preserve"> </w:t>
      </w:r>
      <w:r w:rsidRPr="00370C2B">
        <w:rPr>
          <w:rFonts w:ascii="Meiryo UI" w:eastAsia="Meiryo UI" w:hAnsi="Meiryo UI" w:cs="Meiryo UI" w:hint="eastAsia"/>
          <w:sz w:val="22"/>
          <w:szCs w:val="20"/>
        </w:rPr>
        <w:t>温暖化防止条例に基づく特定事業者に対する届出制度の強化によるCO2削減の推進</w:t>
      </w:r>
    </w:p>
    <w:tbl>
      <w:tblPr>
        <w:tblStyle w:val="a4"/>
        <w:tblW w:w="0" w:type="auto"/>
        <w:tblLook w:val="04A0" w:firstRow="1" w:lastRow="0" w:firstColumn="1" w:lastColumn="0" w:noHBand="0" w:noVBand="1"/>
      </w:tblPr>
      <w:tblGrid>
        <w:gridCol w:w="4814"/>
        <w:gridCol w:w="4815"/>
      </w:tblGrid>
      <w:tr w:rsidR="00D87825" w14:paraId="4636DC6D" w14:textId="77777777" w:rsidTr="00D87825">
        <w:tc>
          <w:tcPr>
            <w:tcW w:w="4814" w:type="dxa"/>
          </w:tcPr>
          <w:p w14:paraId="1C024EF8" w14:textId="2FC851D7" w:rsidR="00D87825" w:rsidRDefault="00D87825" w:rsidP="00D87825">
            <w:pPr>
              <w:jc w:val="center"/>
              <w:rPr>
                <w:rFonts w:ascii="Meiryo UI" w:eastAsia="Meiryo UI" w:hAnsi="Meiryo UI" w:cs="Meiryo UI"/>
                <w:sz w:val="20"/>
                <w:szCs w:val="20"/>
              </w:rPr>
            </w:pPr>
            <w:r>
              <w:rPr>
                <w:rFonts w:ascii="Meiryo UI" w:eastAsia="Meiryo UI" w:hAnsi="Meiryo UI" w:cs="Meiryo UI" w:hint="eastAsia"/>
                <w:sz w:val="20"/>
                <w:szCs w:val="20"/>
              </w:rPr>
              <w:t>主な指摘事項等</w:t>
            </w:r>
          </w:p>
        </w:tc>
        <w:tc>
          <w:tcPr>
            <w:tcW w:w="4815" w:type="dxa"/>
          </w:tcPr>
          <w:p w14:paraId="1F9C3200" w14:textId="70799648" w:rsidR="00D87825" w:rsidRDefault="00632AE9" w:rsidP="00D87825">
            <w:pPr>
              <w:jc w:val="center"/>
              <w:rPr>
                <w:rFonts w:ascii="Meiryo UI" w:eastAsia="Meiryo UI" w:hAnsi="Meiryo UI" w:cs="Meiryo UI"/>
                <w:sz w:val="20"/>
                <w:szCs w:val="20"/>
              </w:rPr>
            </w:pPr>
            <w:r>
              <w:rPr>
                <w:rFonts w:ascii="Meiryo UI" w:eastAsia="Meiryo UI" w:hAnsi="Meiryo UI" w:cs="Meiryo UI" w:hint="eastAsia"/>
                <w:sz w:val="20"/>
                <w:szCs w:val="20"/>
              </w:rPr>
              <w:t>対応案</w:t>
            </w:r>
          </w:p>
        </w:tc>
      </w:tr>
      <w:tr w:rsidR="00427E25" w14:paraId="7A21FD99" w14:textId="77777777" w:rsidTr="00D87825">
        <w:tc>
          <w:tcPr>
            <w:tcW w:w="4814" w:type="dxa"/>
          </w:tcPr>
          <w:p w14:paraId="32DBE9DF" w14:textId="7DA28AAD" w:rsidR="00427E25" w:rsidRPr="00D87825" w:rsidRDefault="00A07E75" w:rsidP="00B22FFA">
            <w:pPr>
              <w:jc w:val="left"/>
              <w:rPr>
                <w:rFonts w:ascii="Meiryo UI" w:eastAsia="Meiryo UI" w:hAnsi="Meiryo UI" w:cs="Meiryo UI"/>
                <w:sz w:val="20"/>
                <w:szCs w:val="20"/>
              </w:rPr>
            </w:pPr>
            <w:r>
              <w:rPr>
                <w:rFonts w:ascii="Meiryo UI" w:eastAsia="Meiryo UI" w:hAnsi="Meiryo UI" w:cs="Meiryo UI" w:hint="eastAsia"/>
                <w:sz w:val="20"/>
                <w:szCs w:val="20"/>
              </w:rPr>
              <w:t>コロナの影響もあるため、</w:t>
            </w:r>
            <w:r w:rsidR="00427E25" w:rsidRPr="003A1F14">
              <w:rPr>
                <w:rFonts w:ascii="Meiryo UI" w:eastAsia="Meiryo UI" w:hAnsi="Meiryo UI" w:cs="Meiryo UI" w:hint="eastAsia"/>
                <w:sz w:val="20"/>
                <w:szCs w:val="20"/>
              </w:rPr>
              <w:t>スタートラインをどうするかは課題。</w:t>
            </w:r>
          </w:p>
        </w:tc>
        <w:tc>
          <w:tcPr>
            <w:tcW w:w="4815" w:type="dxa"/>
            <w:vMerge w:val="restart"/>
          </w:tcPr>
          <w:p w14:paraId="0D62A84E" w14:textId="4AFBB5CC" w:rsidR="00427E25" w:rsidRDefault="004022B6" w:rsidP="00632AE9">
            <w:pPr>
              <w:jc w:val="left"/>
              <w:rPr>
                <w:rFonts w:ascii="Meiryo UI" w:eastAsia="Meiryo UI" w:hAnsi="Meiryo UI" w:cs="Meiryo UI"/>
                <w:sz w:val="20"/>
                <w:szCs w:val="20"/>
              </w:rPr>
            </w:pPr>
            <w:r>
              <w:rPr>
                <w:rFonts w:ascii="Meiryo UI" w:eastAsia="Meiryo UI" w:hAnsi="Meiryo UI" w:cs="Meiryo UI" w:hint="eastAsia"/>
                <w:sz w:val="20"/>
                <w:szCs w:val="20"/>
              </w:rPr>
              <w:t>・資料１</w:t>
            </w:r>
            <w:r w:rsidR="005F6C3C">
              <w:rPr>
                <w:rFonts w:ascii="Meiryo UI" w:eastAsia="Meiryo UI" w:hAnsi="Meiryo UI" w:cs="Meiryo UI" w:hint="eastAsia"/>
                <w:sz w:val="20"/>
                <w:szCs w:val="20"/>
              </w:rPr>
              <w:t>＜方策２＞①</w:t>
            </w:r>
            <w:r>
              <w:rPr>
                <w:rFonts w:ascii="Meiryo UI" w:eastAsia="Meiryo UI" w:hAnsi="Meiryo UI" w:cs="Meiryo UI" w:hint="eastAsia"/>
                <w:sz w:val="20"/>
                <w:szCs w:val="20"/>
              </w:rPr>
              <w:t>において方向性を整理</w:t>
            </w:r>
          </w:p>
          <w:p w14:paraId="39A7EC53" w14:textId="7F4A7518" w:rsidR="004022B6" w:rsidRDefault="004022B6" w:rsidP="004022B6">
            <w:pPr>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⇒基準年度の設定、達成状況の評価について、コロナの影響を可能な限り除外し、事業者による取組状況とその効果を反映できるような設定を検討する。</w:t>
            </w:r>
          </w:p>
        </w:tc>
      </w:tr>
      <w:tr w:rsidR="00427E25" w:rsidRPr="003A1F14" w14:paraId="301EE6C4" w14:textId="77777777" w:rsidTr="00D87825">
        <w:tc>
          <w:tcPr>
            <w:tcW w:w="4814" w:type="dxa"/>
          </w:tcPr>
          <w:p w14:paraId="79650E6E" w14:textId="4E5CFAF1" w:rsidR="00427E25" w:rsidRPr="003A1F14" w:rsidRDefault="00427E25" w:rsidP="003A1F14">
            <w:pPr>
              <w:jc w:val="left"/>
              <w:rPr>
                <w:rFonts w:ascii="Meiryo UI" w:eastAsia="Meiryo UI" w:hAnsi="Meiryo UI" w:cs="Meiryo UI"/>
                <w:sz w:val="20"/>
                <w:szCs w:val="20"/>
              </w:rPr>
            </w:pPr>
            <w:r w:rsidRPr="003A1F14">
              <w:rPr>
                <w:rFonts w:ascii="Meiryo UI" w:eastAsia="Meiryo UI" w:hAnsi="Meiryo UI" w:cs="Meiryo UI" w:hint="eastAsia"/>
                <w:sz w:val="20"/>
                <w:szCs w:val="20"/>
              </w:rPr>
              <w:t>3</w:t>
            </w:r>
            <w:r>
              <w:rPr>
                <w:rFonts w:ascii="Meiryo UI" w:eastAsia="Meiryo UI" w:hAnsi="Meiryo UI" w:cs="Meiryo UI" w:hint="eastAsia"/>
                <w:sz w:val="20"/>
                <w:szCs w:val="20"/>
              </w:rPr>
              <w:t>年と区切ると、コロナ禍の異常なデータも入ってくるので、そうした</w:t>
            </w:r>
            <w:r w:rsidRPr="003A1F14">
              <w:rPr>
                <w:rFonts w:ascii="Meiryo UI" w:eastAsia="Meiryo UI" w:hAnsi="Meiryo UI" w:cs="Meiryo UI" w:hint="eastAsia"/>
                <w:sz w:val="20"/>
                <w:szCs w:val="20"/>
              </w:rPr>
              <w:t>取り扱いを考えておく必要がある。</w:t>
            </w:r>
            <w:r w:rsidR="007157B0">
              <w:rPr>
                <w:rFonts w:ascii="Meiryo UI" w:eastAsia="Meiryo UI" w:hAnsi="Meiryo UI" w:cs="Meiryo UI" w:hint="eastAsia"/>
                <w:sz w:val="20"/>
                <w:szCs w:val="20"/>
              </w:rPr>
              <w:t>削減した量として扱うには慎重に議論すべきである。</w:t>
            </w:r>
          </w:p>
        </w:tc>
        <w:tc>
          <w:tcPr>
            <w:tcW w:w="4815" w:type="dxa"/>
            <w:vMerge/>
          </w:tcPr>
          <w:p w14:paraId="34E77FCF" w14:textId="77777777" w:rsidR="00427E25" w:rsidRDefault="00427E25" w:rsidP="00632AE9">
            <w:pPr>
              <w:jc w:val="left"/>
              <w:rPr>
                <w:rFonts w:ascii="Meiryo UI" w:eastAsia="Meiryo UI" w:hAnsi="Meiryo UI" w:cs="Meiryo UI"/>
                <w:sz w:val="20"/>
                <w:szCs w:val="20"/>
              </w:rPr>
            </w:pPr>
          </w:p>
        </w:tc>
      </w:tr>
      <w:tr w:rsidR="00D97DB7" w:rsidRPr="003A1F14" w14:paraId="5B5E595C" w14:textId="77777777" w:rsidTr="00D87825">
        <w:tc>
          <w:tcPr>
            <w:tcW w:w="4814" w:type="dxa"/>
          </w:tcPr>
          <w:p w14:paraId="1ABB14C9" w14:textId="0AB178E4" w:rsidR="00D97DB7" w:rsidRDefault="007607FE" w:rsidP="007157B0">
            <w:pPr>
              <w:jc w:val="left"/>
              <w:rPr>
                <w:rFonts w:ascii="Meiryo UI" w:eastAsia="Meiryo UI" w:hAnsi="Meiryo UI" w:cs="Meiryo UI"/>
                <w:sz w:val="20"/>
                <w:szCs w:val="20"/>
              </w:rPr>
            </w:pPr>
            <w:r>
              <w:rPr>
                <w:rFonts w:ascii="Meiryo UI" w:eastAsia="Meiryo UI" w:hAnsi="Meiryo UI" w:cs="Meiryo UI" w:hint="eastAsia"/>
                <w:sz w:val="20"/>
                <w:szCs w:val="20"/>
              </w:rPr>
              <w:t>大阪府は東京都と比べると、製造業が多く状況が異なる。</w:t>
            </w:r>
            <w:r w:rsidR="00D97DB7">
              <w:rPr>
                <w:rFonts w:ascii="Meiryo UI" w:eastAsia="Meiryo UI" w:hAnsi="Meiryo UI" w:cs="Meiryo UI" w:hint="eastAsia"/>
                <w:sz w:val="20"/>
                <w:szCs w:val="20"/>
              </w:rPr>
              <w:t>東京都のような排出量取引制度</w:t>
            </w:r>
            <w:r w:rsidR="007157B0">
              <w:rPr>
                <w:rFonts w:ascii="Meiryo UI" w:eastAsia="Meiryo UI" w:hAnsi="Meiryo UI" w:cs="Meiryo UI" w:hint="eastAsia"/>
                <w:sz w:val="20"/>
                <w:szCs w:val="20"/>
              </w:rPr>
              <w:t>のようなものを</w:t>
            </w:r>
            <w:r w:rsidR="00D97DB7" w:rsidRPr="003A1F14">
              <w:rPr>
                <w:rFonts w:ascii="Meiryo UI" w:eastAsia="Meiryo UI" w:hAnsi="Meiryo UI" w:cs="Meiryo UI" w:hint="eastAsia"/>
                <w:sz w:val="20"/>
                <w:szCs w:val="20"/>
              </w:rPr>
              <w:t>導入しようとすると、</w:t>
            </w:r>
            <w:r w:rsidR="00D97DB7">
              <w:rPr>
                <w:rFonts w:ascii="Meiryo UI" w:eastAsia="Meiryo UI" w:hAnsi="Meiryo UI" w:cs="Meiryo UI" w:hint="eastAsia"/>
                <w:sz w:val="20"/>
                <w:szCs w:val="20"/>
              </w:rPr>
              <w:t>制度設計のためのコストも相当かかってくるうえに、グランドファザリング方式</w:t>
            </w:r>
            <w:r w:rsidR="007157B0">
              <w:rPr>
                <w:rFonts w:ascii="Meiryo UI" w:eastAsia="Meiryo UI" w:hAnsi="Meiryo UI" w:cs="Meiryo UI" w:hint="eastAsia"/>
                <w:sz w:val="20"/>
                <w:szCs w:val="20"/>
              </w:rPr>
              <w:t>（※</w:t>
            </w:r>
            <w:r w:rsidR="00E74F95">
              <w:rPr>
                <w:rFonts w:ascii="Meiryo UI" w:eastAsia="Meiryo UI" w:hAnsi="Meiryo UI" w:cs="Meiryo UI" w:hint="eastAsia"/>
                <w:sz w:val="20"/>
                <w:szCs w:val="20"/>
              </w:rPr>
              <w:t>特定の期間における</w:t>
            </w:r>
            <w:r w:rsidR="00E74F95" w:rsidRPr="00D97DB7">
              <w:rPr>
                <w:rFonts w:ascii="Meiryo UI" w:eastAsia="Meiryo UI" w:hAnsi="Meiryo UI" w:cs="Meiryo UI" w:hint="eastAsia"/>
                <w:sz w:val="20"/>
                <w:szCs w:val="20"/>
              </w:rPr>
              <w:t>温室効果ガス</w:t>
            </w:r>
            <w:r w:rsidR="00E74F95">
              <w:rPr>
                <w:rFonts w:ascii="Meiryo UI" w:eastAsia="Meiryo UI" w:hAnsi="Meiryo UI" w:cs="Meiryo UI" w:hint="eastAsia"/>
                <w:sz w:val="20"/>
                <w:szCs w:val="20"/>
              </w:rPr>
              <w:t>の排出実績に応じて</w:t>
            </w:r>
            <w:r w:rsidR="00E74F95" w:rsidRPr="00D97DB7">
              <w:rPr>
                <w:rFonts w:ascii="Meiryo UI" w:eastAsia="Meiryo UI" w:hAnsi="Meiryo UI" w:cs="Meiryo UI" w:hint="eastAsia"/>
                <w:sz w:val="20"/>
                <w:szCs w:val="20"/>
              </w:rPr>
              <w:t>、</w:t>
            </w:r>
            <w:r w:rsidR="00E74F95">
              <w:rPr>
                <w:rFonts w:ascii="Meiryo UI" w:eastAsia="Meiryo UI" w:hAnsi="Meiryo UI" w:cs="Meiryo UI" w:hint="eastAsia"/>
                <w:sz w:val="20"/>
                <w:szCs w:val="20"/>
              </w:rPr>
              <w:t>各企業の排出枠を提供する方式</w:t>
            </w:r>
            <w:r w:rsidR="007157B0">
              <w:rPr>
                <w:rFonts w:ascii="Meiryo UI" w:eastAsia="Meiryo UI" w:hAnsi="Meiryo UI" w:cs="Meiryo UI" w:hint="eastAsia"/>
                <w:sz w:val="20"/>
                <w:szCs w:val="20"/>
              </w:rPr>
              <w:t>）</w:t>
            </w:r>
            <w:r w:rsidR="00D97DB7">
              <w:rPr>
                <w:rFonts w:ascii="Meiryo UI" w:eastAsia="Meiryo UI" w:hAnsi="Meiryo UI" w:cs="Meiryo UI" w:hint="eastAsia"/>
                <w:sz w:val="20"/>
                <w:szCs w:val="20"/>
              </w:rPr>
              <w:t>の場合、</w:t>
            </w:r>
            <w:r w:rsidR="00D97DB7" w:rsidRPr="005D3F98">
              <w:rPr>
                <w:rFonts w:ascii="Meiryo UI" w:eastAsia="Meiryo UI" w:hAnsi="Meiryo UI" w:cs="Meiryo UI" w:hint="eastAsia"/>
                <w:sz w:val="20"/>
                <w:szCs w:val="20"/>
              </w:rPr>
              <w:t>基準年</w:t>
            </w:r>
            <w:r w:rsidR="00D97DB7">
              <w:rPr>
                <w:rFonts w:ascii="Meiryo UI" w:eastAsia="Meiryo UI" w:hAnsi="Meiryo UI" w:cs="Meiryo UI" w:hint="eastAsia"/>
                <w:sz w:val="20"/>
                <w:szCs w:val="20"/>
              </w:rPr>
              <w:t>度からの初期配分をどうするか</w:t>
            </w:r>
            <w:r w:rsidR="007157B0">
              <w:rPr>
                <w:rFonts w:ascii="Meiryo UI" w:eastAsia="Meiryo UI" w:hAnsi="Meiryo UI" w:cs="Meiryo UI" w:hint="eastAsia"/>
                <w:sz w:val="20"/>
                <w:szCs w:val="20"/>
              </w:rPr>
              <w:t>が</w:t>
            </w:r>
            <w:r>
              <w:rPr>
                <w:rFonts w:ascii="Meiryo UI" w:eastAsia="Meiryo UI" w:hAnsi="Meiryo UI" w:cs="Meiryo UI" w:hint="eastAsia"/>
                <w:sz w:val="20"/>
                <w:szCs w:val="20"/>
              </w:rPr>
              <w:lastRenderedPageBreak/>
              <w:t>大きな課題と</w:t>
            </w:r>
            <w:r w:rsidR="007157B0">
              <w:rPr>
                <w:rFonts w:ascii="Meiryo UI" w:eastAsia="Meiryo UI" w:hAnsi="Meiryo UI" w:cs="Meiryo UI" w:hint="eastAsia"/>
                <w:sz w:val="20"/>
                <w:szCs w:val="20"/>
              </w:rPr>
              <w:t>なる。過去に取り組んで省エネ余地がなくなったところが基準年度になると、損をしてしまうことに</w:t>
            </w:r>
            <w:r>
              <w:rPr>
                <w:rFonts w:ascii="Meiryo UI" w:eastAsia="Meiryo UI" w:hAnsi="Meiryo UI" w:cs="Meiryo UI" w:hint="eastAsia"/>
                <w:sz w:val="20"/>
                <w:szCs w:val="20"/>
              </w:rPr>
              <w:t>な</w:t>
            </w:r>
            <w:r w:rsidR="00D97DB7">
              <w:rPr>
                <w:rFonts w:ascii="Meiryo UI" w:eastAsia="Meiryo UI" w:hAnsi="Meiryo UI" w:cs="Meiryo UI" w:hint="eastAsia"/>
                <w:sz w:val="20"/>
                <w:szCs w:val="20"/>
              </w:rPr>
              <w:t>る。</w:t>
            </w:r>
            <w:r>
              <w:rPr>
                <w:rFonts w:ascii="Meiryo UI" w:eastAsia="Meiryo UI" w:hAnsi="Meiryo UI" w:cs="Meiryo UI" w:hint="eastAsia"/>
                <w:sz w:val="20"/>
                <w:szCs w:val="20"/>
              </w:rPr>
              <w:t>特に</w:t>
            </w:r>
            <w:r w:rsidR="007157B0">
              <w:rPr>
                <w:rFonts w:ascii="Meiryo UI" w:eastAsia="Meiryo UI" w:hAnsi="Meiryo UI" w:cs="Meiryo UI" w:hint="eastAsia"/>
                <w:sz w:val="20"/>
                <w:szCs w:val="20"/>
              </w:rPr>
              <w:t>製造業</w:t>
            </w:r>
            <w:r>
              <w:rPr>
                <w:rFonts w:ascii="Meiryo UI" w:eastAsia="Meiryo UI" w:hAnsi="Meiryo UI" w:cs="Meiryo UI" w:hint="eastAsia"/>
                <w:sz w:val="20"/>
                <w:szCs w:val="20"/>
              </w:rPr>
              <w:t>で</w:t>
            </w:r>
            <w:r w:rsidR="007157B0">
              <w:rPr>
                <w:rFonts w:ascii="Meiryo UI" w:eastAsia="Meiryo UI" w:hAnsi="Meiryo UI" w:cs="Meiryo UI" w:hint="eastAsia"/>
                <w:sz w:val="20"/>
                <w:szCs w:val="20"/>
              </w:rPr>
              <w:t>は、</w:t>
            </w:r>
            <w:r>
              <w:rPr>
                <w:rFonts w:ascii="Meiryo UI" w:eastAsia="Meiryo UI" w:hAnsi="Meiryo UI" w:cs="Meiryo UI" w:hint="eastAsia"/>
                <w:sz w:val="20"/>
                <w:szCs w:val="20"/>
              </w:rPr>
              <w:t>過去から省エネ等に取り組まれてきたことから、</w:t>
            </w:r>
            <w:r w:rsidR="007157B0">
              <w:rPr>
                <w:rFonts w:ascii="Meiryo UI" w:eastAsia="Meiryo UI" w:hAnsi="Meiryo UI" w:cs="Meiryo UI" w:hint="eastAsia"/>
                <w:sz w:val="20"/>
                <w:szCs w:val="20"/>
              </w:rPr>
              <w:t>注意しないと、</w:t>
            </w:r>
            <w:r w:rsidR="00D97DB7">
              <w:rPr>
                <w:rFonts w:ascii="Meiryo UI" w:eastAsia="Meiryo UI" w:hAnsi="Meiryo UI" w:cs="Meiryo UI" w:hint="eastAsia"/>
                <w:sz w:val="20"/>
                <w:szCs w:val="20"/>
              </w:rPr>
              <w:t>逆インセンティブとして働きかねないため、相当慎重な議論が必要。</w:t>
            </w:r>
          </w:p>
        </w:tc>
        <w:tc>
          <w:tcPr>
            <w:tcW w:w="4815" w:type="dxa"/>
          </w:tcPr>
          <w:p w14:paraId="752D51C1" w14:textId="4CD52518" w:rsidR="007157B0" w:rsidRDefault="007157B0" w:rsidP="007157B0">
            <w:pPr>
              <w:jc w:val="left"/>
              <w:rPr>
                <w:rFonts w:ascii="Meiryo UI" w:eastAsia="Meiryo UI" w:hAnsi="Meiryo UI" w:cs="Meiryo UI"/>
                <w:sz w:val="20"/>
                <w:szCs w:val="20"/>
              </w:rPr>
            </w:pPr>
            <w:r>
              <w:rPr>
                <w:rFonts w:ascii="Meiryo UI" w:eastAsia="Meiryo UI" w:hAnsi="Meiryo UI" w:cs="Meiryo UI" w:hint="eastAsia"/>
                <w:sz w:val="20"/>
                <w:szCs w:val="20"/>
              </w:rPr>
              <w:lastRenderedPageBreak/>
              <w:t>・資料１</w:t>
            </w:r>
            <w:r w:rsidR="005F6C3C">
              <w:rPr>
                <w:rFonts w:ascii="Meiryo UI" w:eastAsia="Meiryo UI" w:hAnsi="Meiryo UI" w:cs="Meiryo UI" w:hint="eastAsia"/>
                <w:sz w:val="20"/>
                <w:szCs w:val="20"/>
              </w:rPr>
              <w:t>＜方策２＞①</w:t>
            </w:r>
            <w:r w:rsidR="00E74F95">
              <w:rPr>
                <w:rFonts w:ascii="Meiryo UI" w:eastAsia="Meiryo UI" w:hAnsi="Meiryo UI" w:cs="Meiryo UI" w:hint="eastAsia"/>
                <w:sz w:val="20"/>
                <w:szCs w:val="20"/>
              </w:rPr>
              <w:t>～③</w:t>
            </w:r>
            <w:r>
              <w:rPr>
                <w:rFonts w:ascii="Meiryo UI" w:eastAsia="Meiryo UI" w:hAnsi="Meiryo UI" w:cs="Meiryo UI" w:hint="eastAsia"/>
                <w:sz w:val="20"/>
                <w:szCs w:val="20"/>
              </w:rPr>
              <w:t>において方向性を整理</w:t>
            </w:r>
          </w:p>
          <w:p w14:paraId="16191599" w14:textId="3036166D" w:rsidR="007607FE" w:rsidRDefault="007157B0" w:rsidP="00E74F95">
            <w:pPr>
              <w:ind w:left="184" w:hangingChars="92" w:hanging="184"/>
              <w:jc w:val="left"/>
              <w:rPr>
                <w:rFonts w:ascii="Meiryo UI" w:eastAsia="Meiryo UI" w:hAnsi="Meiryo UI" w:cs="Meiryo UI"/>
                <w:sz w:val="20"/>
                <w:szCs w:val="20"/>
              </w:rPr>
            </w:pPr>
            <w:r>
              <w:rPr>
                <w:rFonts w:ascii="Meiryo UI" w:eastAsia="Meiryo UI" w:hAnsi="Meiryo UI" w:cs="Meiryo UI" w:hint="eastAsia"/>
                <w:sz w:val="20"/>
                <w:szCs w:val="20"/>
              </w:rPr>
              <w:t>⇒</w:t>
            </w:r>
            <w:r w:rsidR="005F6C3C">
              <w:rPr>
                <w:rFonts w:ascii="Meiryo UI" w:eastAsia="Meiryo UI" w:hAnsi="Meiryo UI" w:cs="Meiryo UI" w:hint="eastAsia"/>
                <w:sz w:val="20"/>
                <w:szCs w:val="20"/>
              </w:rPr>
              <w:t>基準年度の設定を</w:t>
            </w:r>
            <w:r w:rsidR="00E74F95">
              <w:rPr>
                <w:rFonts w:ascii="Meiryo UI" w:eastAsia="Meiryo UI" w:hAnsi="Meiryo UI" w:cs="Meiryo UI" w:hint="eastAsia"/>
                <w:sz w:val="20"/>
                <w:szCs w:val="20"/>
              </w:rPr>
              <w:t>はじめ</w:t>
            </w:r>
            <w:r w:rsidR="005F6C3C">
              <w:rPr>
                <w:rFonts w:ascii="Meiryo UI" w:eastAsia="Meiryo UI" w:hAnsi="Meiryo UI" w:cs="Meiryo UI" w:hint="eastAsia"/>
                <w:sz w:val="20"/>
                <w:szCs w:val="20"/>
              </w:rPr>
              <w:t>、</w:t>
            </w:r>
            <w:r w:rsidR="00E74F95">
              <w:rPr>
                <w:rFonts w:ascii="Meiryo UI" w:eastAsia="Meiryo UI" w:hAnsi="Meiryo UI" w:cs="Meiryo UI" w:hint="eastAsia"/>
                <w:sz w:val="20"/>
                <w:szCs w:val="20"/>
              </w:rPr>
              <w:t>バンキング制度といった計画的な設備更新等を後押しする仕組みや顕彰制度などの組み合わせにより、事業者にとって達成可能でかつ意欲的な取組みを誘導するような方策を検討する。</w:t>
            </w:r>
          </w:p>
        </w:tc>
      </w:tr>
      <w:tr w:rsidR="005D3F98" w:rsidRPr="0031003C" w14:paraId="5AC72B3B" w14:textId="77777777" w:rsidTr="00D87825">
        <w:tc>
          <w:tcPr>
            <w:tcW w:w="4814" w:type="dxa"/>
          </w:tcPr>
          <w:p w14:paraId="0C108A6A" w14:textId="44F9E65C" w:rsidR="005D3F98" w:rsidRDefault="005D3F98" w:rsidP="005D3F98">
            <w:pPr>
              <w:jc w:val="left"/>
              <w:rPr>
                <w:rFonts w:ascii="Meiryo UI" w:eastAsia="Meiryo UI" w:hAnsi="Meiryo UI" w:cs="Meiryo UI"/>
                <w:sz w:val="20"/>
                <w:szCs w:val="20"/>
              </w:rPr>
            </w:pPr>
            <w:r w:rsidRPr="003A1F14">
              <w:rPr>
                <w:rFonts w:ascii="Meiryo UI" w:eastAsia="Meiryo UI" w:hAnsi="Meiryo UI" w:cs="Meiryo UI" w:hint="eastAsia"/>
                <w:sz w:val="20"/>
                <w:szCs w:val="20"/>
              </w:rPr>
              <w:t>大阪府だけ厳しいことをすると近隣府県に逃げていく、</w:t>
            </w:r>
            <w:r>
              <w:rPr>
                <w:rFonts w:ascii="Meiryo UI" w:eastAsia="Meiryo UI" w:hAnsi="Meiryo UI" w:cs="Meiryo UI" w:hint="eastAsia"/>
                <w:sz w:val="20"/>
                <w:szCs w:val="20"/>
              </w:rPr>
              <w:t>いわゆる</w:t>
            </w:r>
            <w:r w:rsidRPr="003A1F14">
              <w:rPr>
                <w:rFonts w:ascii="Meiryo UI" w:eastAsia="Meiryo UI" w:hAnsi="Meiryo UI" w:cs="Meiryo UI" w:hint="eastAsia"/>
                <w:sz w:val="20"/>
                <w:szCs w:val="20"/>
              </w:rPr>
              <w:t>カーボンリーケージ</w:t>
            </w:r>
            <w:r w:rsidR="007157B0">
              <w:rPr>
                <w:rFonts w:ascii="Meiryo UI" w:eastAsia="Meiryo UI" w:hAnsi="Meiryo UI" w:cs="Meiryo UI" w:hint="eastAsia"/>
                <w:sz w:val="20"/>
                <w:szCs w:val="20"/>
              </w:rPr>
              <w:t>が顕著に表れる可能性があり、東京都でも、データセンターが他府県に出て行っている事例もある。</w:t>
            </w:r>
            <w:r w:rsidR="00072218">
              <w:rPr>
                <w:rFonts w:ascii="Meiryo UI" w:eastAsia="Meiryo UI" w:hAnsi="Meiryo UI" w:cs="Meiryo UI" w:hint="eastAsia"/>
                <w:sz w:val="20"/>
                <w:szCs w:val="20"/>
              </w:rPr>
              <w:t>制度の検討にあたっては、</w:t>
            </w:r>
            <w:r>
              <w:rPr>
                <w:rFonts w:ascii="Meiryo UI" w:eastAsia="Meiryo UI" w:hAnsi="Meiryo UI" w:cs="Meiryo UI" w:hint="eastAsia"/>
                <w:sz w:val="20"/>
                <w:szCs w:val="20"/>
              </w:rPr>
              <w:t>周辺の府県と協調しておく</w:t>
            </w:r>
            <w:r w:rsidRPr="003A1F14">
              <w:rPr>
                <w:rFonts w:ascii="Meiryo UI" w:eastAsia="Meiryo UI" w:hAnsi="Meiryo UI" w:cs="Meiryo UI" w:hint="eastAsia"/>
                <w:sz w:val="20"/>
                <w:szCs w:val="20"/>
              </w:rPr>
              <w:t>必要がある。</w:t>
            </w:r>
          </w:p>
        </w:tc>
        <w:tc>
          <w:tcPr>
            <w:tcW w:w="4815" w:type="dxa"/>
          </w:tcPr>
          <w:p w14:paraId="41612D64" w14:textId="1249C5BF" w:rsidR="005D3F98" w:rsidRDefault="004022B6" w:rsidP="00632AE9">
            <w:pPr>
              <w:jc w:val="left"/>
              <w:rPr>
                <w:rFonts w:ascii="Meiryo UI" w:eastAsia="Meiryo UI" w:hAnsi="Meiryo UI" w:cs="Meiryo UI"/>
                <w:sz w:val="20"/>
                <w:szCs w:val="20"/>
              </w:rPr>
            </w:pPr>
            <w:r>
              <w:rPr>
                <w:rFonts w:ascii="Meiryo UI" w:eastAsia="Meiryo UI" w:hAnsi="Meiryo UI" w:cs="Meiryo UI" w:hint="eastAsia"/>
                <w:sz w:val="20"/>
                <w:szCs w:val="20"/>
              </w:rPr>
              <w:t>・資料１</w:t>
            </w:r>
            <w:r w:rsidR="00E74F95">
              <w:rPr>
                <w:rFonts w:ascii="Meiryo UI" w:eastAsia="Meiryo UI" w:hAnsi="Meiryo UI" w:cs="Meiryo UI" w:hint="eastAsia"/>
                <w:sz w:val="20"/>
                <w:szCs w:val="20"/>
              </w:rPr>
              <w:t>＜方策２＞</w:t>
            </w:r>
            <w:r w:rsidR="0031003C">
              <w:rPr>
                <w:rFonts w:ascii="Meiryo UI" w:eastAsia="Meiryo UI" w:hAnsi="Meiryo UI" w:cs="Meiryo UI" w:hint="eastAsia"/>
                <w:sz w:val="20"/>
                <w:szCs w:val="20"/>
              </w:rPr>
              <w:t>①、</w:t>
            </w:r>
            <w:r w:rsidR="00E74F95">
              <w:rPr>
                <w:rFonts w:ascii="Meiryo UI" w:eastAsia="Meiryo UI" w:hAnsi="Meiryo UI" w:cs="Meiryo UI" w:hint="eastAsia"/>
                <w:sz w:val="20"/>
                <w:szCs w:val="20"/>
              </w:rPr>
              <w:t>③</w:t>
            </w:r>
            <w:r>
              <w:rPr>
                <w:rFonts w:ascii="Meiryo UI" w:eastAsia="Meiryo UI" w:hAnsi="Meiryo UI" w:cs="Meiryo UI" w:hint="eastAsia"/>
                <w:sz w:val="20"/>
                <w:szCs w:val="20"/>
              </w:rPr>
              <w:t>において方向性を整理</w:t>
            </w:r>
          </w:p>
          <w:p w14:paraId="719ACD69" w14:textId="44EBDAF0" w:rsidR="000D7A10" w:rsidRDefault="000D7A10" w:rsidP="00E74F95">
            <w:pPr>
              <w:ind w:left="184" w:hangingChars="92" w:hanging="184"/>
              <w:jc w:val="left"/>
              <w:rPr>
                <w:rFonts w:ascii="Meiryo UI" w:eastAsia="Meiryo UI" w:hAnsi="Meiryo UI" w:cs="Meiryo UI"/>
                <w:sz w:val="20"/>
                <w:szCs w:val="20"/>
              </w:rPr>
            </w:pPr>
            <w:r>
              <w:rPr>
                <w:rFonts w:ascii="Meiryo UI" w:eastAsia="Meiryo UI" w:hAnsi="Meiryo UI" w:cs="Meiryo UI" w:hint="eastAsia"/>
                <w:sz w:val="20"/>
                <w:szCs w:val="20"/>
              </w:rPr>
              <w:t>⇒</w:t>
            </w:r>
            <w:r w:rsidR="0031003C">
              <w:rPr>
                <w:rFonts w:ascii="Meiryo UI" w:eastAsia="Meiryo UI" w:hAnsi="Meiryo UI" w:cs="Meiryo UI" w:hint="eastAsia"/>
                <w:sz w:val="20"/>
                <w:szCs w:val="20"/>
              </w:rPr>
              <w:t>また、</w:t>
            </w:r>
            <w:r>
              <w:rPr>
                <w:rFonts w:ascii="Meiryo UI" w:eastAsia="Meiryo UI" w:hAnsi="Meiryo UI" w:cs="Meiryo UI" w:hint="eastAsia"/>
                <w:sz w:val="20"/>
                <w:szCs w:val="20"/>
              </w:rPr>
              <w:t>近隣</w:t>
            </w:r>
            <w:r w:rsidR="00072218">
              <w:rPr>
                <w:rFonts w:ascii="Meiryo UI" w:eastAsia="Meiryo UI" w:hAnsi="Meiryo UI" w:cs="Meiryo UI" w:hint="eastAsia"/>
                <w:sz w:val="20"/>
                <w:szCs w:val="20"/>
              </w:rPr>
              <w:t>他府県の状況</w:t>
            </w:r>
            <w:r>
              <w:rPr>
                <w:rFonts w:ascii="Meiryo UI" w:eastAsia="Meiryo UI" w:hAnsi="Meiryo UI" w:cs="Meiryo UI" w:hint="eastAsia"/>
                <w:sz w:val="20"/>
                <w:szCs w:val="20"/>
              </w:rPr>
              <w:t>を</w:t>
            </w:r>
            <w:r w:rsidR="00072218">
              <w:rPr>
                <w:rFonts w:ascii="Meiryo UI" w:eastAsia="Meiryo UI" w:hAnsi="Meiryo UI" w:cs="Meiryo UI" w:hint="eastAsia"/>
                <w:sz w:val="20"/>
                <w:szCs w:val="20"/>
              </w:rPr>
              <w:t>調査</w:t>
            </w:r>
            <w:r>
              <w:rPr>
                <w:rFonts w:ascii="Meiryo UI" w:eastAsia="Meiryo UI" w:hAnsi="Meiryo UI" w:cs="Meiryo UI" w:hint="eastAsia"/>
                <w:sz w:val="20"/>
                <w:szCs w:val="20"/>
              </w:rPr>
              <w:t>した結果、</w:t>
            </w:r>
            <w:r w:rsidR="0031003C">
              <w:rPr>
                <w:rFonts w:ascii="Meiryo UI" w:eastAsia="Meiryo UI" w:hAnsi="Meiryo UI" w:cs="Meiryo UI" w:hint="eastAsia"/>
                <w:sz w:val="20"/>
                <w:szCs w:val="20"/>
              </w:rPr>
              <w:t>京都府の削減目標の設定、兵庫県の規模要件については、特徴的な制度となっている。京都府では、産業・業務・運輸部門で、個別の削減目標を設定している。また、兵庫県では、産業部門の排出量が大きい（全体の約2/3）という地域の特徴に応じて、工場等において大気汚染防止法に基づくばい煙発生施設が設置されている場合、対象としている。いずれも、大阪府の届出によるデータや地域的な特徴を考慮した場合、積極的に採用することは困難であると考える。</w:t>
            </w:r>
          </w:p>
        </w:tc>
      </w:tr>
      <w:tr w:rsidR="000D7A10" w:rsidRPr="003A1F14" w14:paraId="3704F424" w14:textId="77777777" w:rsidTr="00D87825">
        <w:tc>
          <w:tcPr>
            <w:tcW w:w="4814" w:type="dxa"/>
          </w:tcPr>
          <w:p w14:paraId="56D06943" w14:textId="7C0D35EB" w:rsidR="000D7A10" w:rsidRPr="003A1F14" w:rsidRDefault="000D7A10" w:rsidP="00370C2B">
            <w:pPr>
              <w:jc w:val="left"/>
              <w:rPr>
                <w:rFonts w:ascii="Meiryo UI" w:eastAsia="Meiryo UI" w:hAnsi="Meiryo UI" w:cs="Meiryo UI"/>
                <w:sz w:val="20"/>
                <w:szCs w:val="20"/>
              </w:rPr>
            </w:pPr>
            <w:r w:rsidRPr="00370C2B">
              <w:rPr>
                <w:rFonts w:ascii="Meiryo UI" w:eastAsia="Meiryo UI" w:hAnsi="Meiryo UI" w:cs="Meiryo UI" w:hint="eastAsia"/>
                <w:sz w:val="20"/>
                <w:szCs w:val="20"/>
              </w:rPr>
              <w:t>目標は2013年度比で40%削減していくならば、3年3%では困難とのことだが、5%</w:t>
            </w:r>
            <w:r>
              <w:rPr>
                <w:rFonts w:ascii="Meiryo UI" w:eastAsia="Meiryo UI" w:hAnsi="Meiryo UI" w:cs="Meiryo UI" w:hint="eastAsia"/>
                <w:sz w:val="20"/>
                <w:szCs w:val="20"/>
              </w:rPr>
              <w:t>にすれば達成できるのか。</w:t>
            </w:r>
            <w:r w:rsidR="00072218">
              <w:rPr>
                <w:rFonts w:ascii="Meiryo UI" w:eastAsia="Meiryo UI" w:hAnsi="Meiryo UI" w:cs="Meiryo UI" w:hint="eastAsia"/>
                <w:sz w:val="20"/>
                <w:szCs w:val="20"/>
              </w:rPr>
              <w:t>全体の目標達成に向けて、適切な設定が必要。</w:t>
            </w:r>
          </w:p>
        </w:tc>
        <w:tc>
          <w:tcPr>
            <w:tcW w:w="4815" w:type="dxa"/>
            <w:vMerge w:val="restart"/>
          </w:tcPr>
          <w:p w14:paraId="13DB7B1B" w14:textId="26F04125" w:rsidR="000D7A10" w:rsidRDefault="000D7A10" w:rsidP="00632AE9">
            <w:pPr>
              <w:jc w:val="left"/>
              <w:rPr>
                <w:rFonts w:ascii="Meiryo UI" w:eastAsia="Meiryo UI" w:hAnsi="Meiryo UI" w:cs="Meiryo UI"/>
                <w:sz w:val="20"/>
                <w:szCs w:val="20"/>
              </w:rPr>
            </w:pPr>
            <w:r>
              <w:rPr>
                <w:rFonts w:ascii="Meiryo UI" w:eastAsia="Meiryo UI" w:hAnsi="Meiryo UI" w:cs="Meiryo UI" w:hint="eastAsia"/>
                <w:sz w:val="20"/>
                <w:szCs w:val="20"/>
              </w:rPr>
              <w:t>・資料１</w:t>
            </w:r>
            <w:r w:rsidR="00E74F95">
              <w:rPr>
                <w:rFonts w:ascii="Meiryo UI" w:eastAsia="Meiryo UI" w:hAnsi="Meiryo UI" w:cs="Meiryo UI" w:hint="eastAsia"/>
                <w:sz w:val="20"/>
                <w:szCs w:val="20"/>
              </w:rPr>
              <w:t>＜方策２＞①</w:t>
            </w:r>
            <w:r>
              <w:rPr>
                <w:rFonts w:ascii="Meiryo UI" w:eastAsia="Meiryo UI" w:hAnsi="Meiryo UI" w:cs="Meiryo UI" w:hint="eastAsia"/>
                <w:sz w:val="20"/>
                <w:szCs w:val="20"/>
              </w:rPr>
              <w:t>において方向性を整理</w:t>
            </w:r>
          </w:p>
          <w:p w14:paraId="14630D61" w14:textId="25A5FEF9" w:rsidR="000D7A10" w:rsidRDefault="000D7A10" w:rsidP="007300F2">
            <w:pPr>
              <w:ind w:left="184" w:hangingChars="92" w:hanging="184"/>
              <w:jc w:val="left"/>
              <w:rPr>
                <w:rFonts w:ascii="Meiryo UI" w:eastAsia="Meiryo UI" w:hAnsi="Meiryo UI" w:cs="Meiryo UI"/>
                <w:sz w:val="20"/>
                <w:szCs w:val="20"/>
              </w:rPr>
            </w:pPr>
            <w:r>
              <w:rPr>
                <w:rFonts w:ascii="Meiryo UI" w:eastAsia="Meiryo UI" w:hAnsi="Meiryo UI" w:cs="Meiryo UI" w:hint="eastAsia"/>
                <w:sz w:val="20"/>
                <w:szCs w:val="20"/>
              </w:rPr>
              <w:t>⇒</w:t>
            </w:r>
            <w:r w:rsidR="00961DF6">
              <w:rPr>
                <w:rFonts w:ascii="Meiryo UI" w:eastAsia="Meiryo UI" w:hAnsi="Meiryo UI" w:cs="Meiryo UI" w:hint="eastAsia"/>
                <w:sz w:val="20"/>
                <w:szCs w:val="20"/>
              </w:rPr>
              <w:t>実行計画における削減目標を算定した</w:t>
            </w:r>
            <w:r w:rsidR="0031003C">
              <w:rPr>
                <w:rFonts w:ascii="Meiryo UI" w:eastAsia="Meiryo UI" w:hAnsi="Meiryo UI" w:cs="Meiryo UI" w:hint="eastAsia"/>
                <w:sz w:val="20"/>
                <w:szCs w:val="20"/>
              </w:rPr>
              <w:t>際には、</w:t>
            </w:r>
            <w:r w:rsidR="00D51F7D">
              <w:rPr>
                <w:rFonts w:ascii="Meiryo UI" w:eastAsia="Meiryo UI" w:hAnsi="Meiryo UI" w:cs="Meiryo UI" w:hint="eastAsia"/>
                <w:sz w:val="20"/>
                <w:szCs w:val="20"/>
              </w:rPr>
              <w:t>特定事業者による削減量については、</w:t>
            </w:r>
            <w:r w:rsidR="00961DF6">
              <w:rPr>
                <w:rFonts w:ascii="Meiryo UI" w:eastAsia="Meiryo UI" w:hAnsi="Meiryo UI" w:cs="Meiryo UI" w:hint="eastAsia"/>
                <w:sz w:val="20"/>
                <w:szCs w:val="20"/>
              </w:rPr>
              <w:t>年率1.5%の削減率に加え、</w:t>
            </w:r>
            <w:r w:rsidR="0031003C">
              <w:rPr>
                <w:rFonts w:ascii="Meiryo UI" w:eastAsia="Meiryo UI" w:hAnsi="Meiryo UI" w:cs="Meiryo UI" w:hint="eastAsia"/>
                <w:sz w:val="20"/>
                <w:szCs w:val="20"/>
              </w:rPr>
              <w:t>評</w:t>
            </w:r>
            <w:r w:rsidR="00961DF6">
              <w:rPr>
                <w:rFonts w:ascii="Meiryo UI" w:eastAsia="Meiryo UI" w:hAnsi="Meiryo UI" w:cs="Meiryo UI" w:hint="eastAsia"/>
                <w:sz w:val="20"/>
                <w:szCs w:val="20"/>
              </w:rPr>
              <w:t>価制度の充実による自主的な取組促進や排出係数の低減による効果などを複合的に考慮して計算を行った。そのため、当該年率前後であれば、実行計画の削減目標に概ね整合するものと考える。</w:t>
            </w:r>
            <w:r w:rsidR="0062770D">
              <w:rPr>
                <w:rFonts w:ascii="Meiryo UI" w:eastAsia="Meiryo UI" w:hAnsi="Meiryo UI" w:cs="Meiryo UI" w:hint="eastAsia"/>
                <w:sz w:val="20"/>
                <w:szCs w:val="20"/>
              </w:rPr>
              <w:t>今後</w:t>
            </w:r>
            <w:r w:rsidR="007300F2">
              <w:rPr>
                <w:rFonts w:ascii="Meiryo UI" w:eastAsia="Meiryo UI" w:hAnsi="Meiryo UI" w:cs="Meiryo UI" w:hint="eastAsia"/>
                <w:sz w:val="20"/>
                <w:szCs w:val="20"/>
              </w:rPr>
              <w:t>、</w:t>
            </w:r>
            <w:r w:rsidR="0062770D">
              <w:rPr>
                <w:rFonts w:ascii="Meiryo UI" w:eastAsia="Meiryo UI" w:hAnsi="Meiryo UI" w:cs="Meiryo UI" w:hint="eastAsia"/>
                <w:sz w:val="20"/>
                <w:szCs w:val="20"/>
              </w:rPr>
              <w:t>事業者に対するヒアリングを実施し</w:t>
            </w:r>
            <w:r w:rsidR="007300F2">
              <w:rPr>
                <w:rFonts w:ascii="Meiryo UI" w:eastAsia="Meiryo UI" w:hAnsi="Meiryo UI" w:cs="Meiryo UI" w:hint="eastAsia"/>
                <w:sz w:val="20"/>
                <w:szCs w:val="20"/>
              </w:rPr>
              <w:t>、事業者での受け止めを確認していく。</w:t>
            </w:r>
          </w:p>
        </w:tc>
      </w:tr>
      <w:tr w:rsidR="000D7A10" w:rsidRPr="003A1F14" w14:paraId="14CA6EA2" w14:textId="77777777" w:rsidTr="00D87825">
        <w:tc>
          <w:tcPr>
            <w:tcW w:w="4814" w:type="dxa"/>
          </w:tcPr>
          <w:p w14:paraId="20A83A06" w14:textId="5E41BFE9" w:rsidR="000D7A10" w:rsidRPr="003A1F14" w:rsidRDefault="00072218" w:rsidP="00370C2B">
            <w:pPr>
              <w:jc w:val="left"/>
              <w:rPr>
                <w:rFonts w:ascii="Meiryo UI" w:eastAsia="Meiryo UI" w:hAnsi="Meiryo UI" w:cs="Meiryo UI"/>
                <w:sz w:val="20"/>
                <w:szCs w:val="20"/>
              </w:rPr>
            </w:pPr>
            <w:r>
              <w:rPr>
                <w:rFonts w:ascii="Meiryo UI" w:eastAsia="Meiryo UI" w:hAnsi="Meiryo UI" w:cs="Meiryo UI" w:hint="eastAsia"/>
                <w:sz w:val="20"/>
                <w:szCs w:val="20"/>
              </w:rPr>
              <w:t>大阪府では、スマートエネルギーセンターにおいて、</w:t>
            </w:r>
            <w:r w:rsidR="000D7A10">
              <w:rPr>
                <w:rFonts w:ascii="Meiryo UI" w:eastAsia="Meiryo UI" w:hAnsi="Meiryo UI" w:cs="Meiryo UI" w:hint="eastAsia"/>
                <w:sz w:val="20"/>
                <w:szCs w:val="20"/>
              </w:rPr>
              <w:t>産業部門</w:t>
            </w:r>
            <w:r>
              <w:rPr>
                <w:rFonts w:ascii="Meiryo UI" w:eastAsia="Meiryo UI" w:hAnsi="Meiryo UI" w:cs="Meiryo UI" w:hint="eastAsia"/>
                <w:sz w:val="20"/>
                <w:szCs w:val="20"/>
              </w:rPr>
              <w:t>へ</w:t>
            </w:r>
            <w:r w:rsidR="007607FE">
              <w:rPr>
                <w:rFonts w:ascii="Meiryo UI" w:eastAsia="Meiryo UI" w:hAnsi="Meiryo UI" w:cs="Meiryo UI" w:hint="eastAsia"/>
                <w:sz w:val="20"/>
                <w:szCs w:val="20"/>
              </w:rPr>
              <w:t>の</w:t>
            </w:r>
            <w:r w:rsidR="000D7A10" w:rsidRPr="003A1F14">
              <w:rPr>
                <w:rFonts w:ascii="Meiryo UI" w:eastAsia="Meiryo UI" w:hAnsi="Meiryo UI" w:cs="Meiryo UI" w:hint="eastAsia"/>
                <w:sz w:val="20"/>
                <w:szCs w:val="20"/>
              </w:rPr>
              <w:t>省エネ</w:t>
            </w:r>
            <w:r w:rsidR="007607FE">
              <w:rPr>
                <w:rFonts w:ascii="Meiryo UI" w:eastAsia="Meiryo UI" w:hAnsi="Meiryo UI" w:cs="Meiryo UI" w:hint="eastAsia"/>
                <w:sz w:val="20"/>
                <w:szCs w:val="20"/>
              </w:rPr>
              <w:t>アドバイスなど</w:t>
            </w:r>
            <w:r>
              <w:rPr>
                <w:rFonts w:ascii="Meiryo UI" w:eastAsia="Meiryo UI" w:hAnsi="Meiryo UI" w:cs="Meiryo UI" w:hint="eastAsia"/>
                <w:sz w:val="20"/>
                <w:szCs w:val="20"/>
              </w:rPr>
              <w:t>の取組みを実施して</w:t>
            </w:r>
            <w:r w:rsidR="007607FE">
              <w:rPr>
                <w:rFonts w:ascii="Meiryo UI" w:eastAsia="Meiryo UI" w:hAnsi="Meiryo UI" w:cs="Meiryo UI" w:hint="eastAsia"/>
                <w:sz w:val="20"/>
                <w:szCs w:val="20"/>
              </w:rPr>
              <w:t>いる</w:t>
            </w:r>
            <w:r w:rsidR="000D7A10">
              <w:rPr>
                <w:rFonts w:ascii="Meiryo UI" w:eastAsia="Meiryo UI" w:hAnsi="Meiryo UI" w:cs="Meiryo UI" w:hint="eastAsia"/>
                <w:sz w:val="20"/>
                <w:szCs w:val="20"/>
              </w:rPr>
              <w:t>。</w:t>
            </w:r>
            <w:r>
              <w:rPr>
                <w:rFonts w:ascii="Meiryo UI" w:eastAsia="Meiryo UI" w:hAnsi="Meiryo UI" w:cs="Meiryo UI" w:hint="eastAsia"/>
                <w:sz w:val="20"/>
                <w:szCs w:val="20"/>
              </w:rPr>
              <w:t>こうした業務のやり取りにおいて、</w:t>
            </w:r>
            <w:r w:rsidR="000D7A10">
              <w:rPr>
                <w:rFonts w:ascii="Meiryo UI" w:eastAsia="Meiryo UI" w:hAnsi="Meiryo UI" w:cs="Meiryo UI" w:hint="eastAsia"/>
                <w:sz w:val="20"/>
                <w:szCs w:val="20"/>
              </w:rPr>
              <w:t>感覚的にどの程度の規制であれば事業者が対応して</w:t>
            </w:r>
            <w:r w:rsidR="000D7A10" w:rsidRPr="003A1F14">
              <w:rPr>
                <w:rFonts w:ascii="Meiryo UI" w:eastAsia="Meiryo UI" w:hAnsi="Meiryo UI" w:cs="Meiryo UI" w:hint="eastAsia"/>
                <w:sz w:val="20"/>
                <w:szCs w:val="20"/>
              </w:rPr>
              <w:t>いけるのか</w:t>
            </w:r>
            <w:r w:rsidR="000D7A10">
              <w:rPr>
                <w:rFonts w:ascii="Meiryo UI" w:eastAsia="Meiryo UI" w:hAnsi="Meiryo UI" w:cs="Meiryo UI" w:hint="eastAsia"/>
                <w:sz w:val="20"/>
                <w:szCs w:val="20"/>
              </w:rPr>
              <w:t>、</w:t>
            </w:r>
            <w:r w:rsidR="000D7A10" w:rsidRPr="003A1F14">
              <w:rPr>
                <w:rFonts w:ascii="Meiryo UI" w:eastAsia="Meiryo UI" w:hAnsi="Meiryo UI" w:cs="Meiryo UI" w:hint="eastAsia"/>
                <w:sz w:val="20"/>
                <w:szCs w:val="20"/>
              </w:rPr>
              <w:t>確認してほしい。</w:t>
            </w:r>
          </w:p>
        </w:tc>
        <w:tc>
          <w:tcPr>
            <w:tcW w:w="4815" w:type="dxa"/>
            <w:vMerge/>
          </w:tcPr>
          <w:p w14:paraId="70C6C6ED" w14:textId="47BD0425" w:rsidR="000D7A10" w:rsidRDefault="000D7A10" w:rsidP="00632AE9">
            <w:pPr>
              <w:jc w:val="left"/>
              <w:rPr>
                <w:rFonts w:ascii="Meiryo UI" w:eastAsia="Meiryo UI" w:hAnsi="Meiryo UI" w:cs="Meiryo UI"/>
                <w:sz w:val="20"/>
                <w:szCs w:val="20"/>
              </w:rPr>
            </w:pPr>
          </w:p>
        </w:tc>
      </w:tr>
      <w:tr w:rsidR="00072218" w:rsidRPr="003A1F14" w14:paraId="73558C3E" w14:textId="77777777" w:rsidTr="00D87825">
        <w:tc>
          <w:tcPr>
            <w:tcW w:w="4814" w:type="dxa"/>
          </w:tcPr>
          <w:p w14:paraId="0FDC3D2E" w14:textId="77777777" w:rsidR="00072218" w:rsidRPr="003A1F14" w:rsidRDefault="00072218" w:rsidP="00072218">
            <w:pPr>
              <w:jc w:val="left"/>
              <w:rPr>
                <w:rFonts w:ascii="Meiryo UI" w:eastAsia="Meiryo UI" w:hAnsi="Meiryo UI" w:cs="Meiryo UI"/>
                <w:sz w:val="20"/>
                <w:szCs w:val="20"/>
              </w:rPr>
            </w:pPr>
            <w:r>
              <w:rPr>
                <w:rFonts w:ascii="Meiryo UI" w:eastAsia="Meiryo UI" w:hAnsi="Meiryo UI" w:cs="Meiryo UI" w:hint="eastAsia"/>
                <w:sz w:val="20"/>
                <w:szCs w:val="20"/>
              </w:rPr>
              <w:t>特定事業者の</w:t>
            </w:r>
            <w:r w:rsidRPr="003A1F14">
              <w:rPr>
                <w:rFonts w:ascii="Meiryo UI" w:eastAsia="Meiryo UI" w:hAnsi="Meiryo UI" w:cs="Meiryo UI" w:hint="eastAsia"/>
                <w:sz w:val="20"/>
                <w:szCs w:val="20"/>
              </w:rPr>
              <w:t>達成率が思ったよりも低い。達成されなかった場合、そのあと</w:t>
            </w:r>
            <w:r>
              <w:rPr>
                <w:rFonts w:ascii="Meiryo UI" w:eastAsia="Meiryo UI" w:hAnsi="Meiryo UI" w:cs="Meiryo UI" w:hint="eastAsia"/>
                <w:sz w:val="20"/>
                <w:szCs w:val="20"/>
              </w:rPr>
              <w:t>どうなるの</w:t>
            </w:r>
            <w:r w:rsidRPr="003A1F14">
              <w:rPr>
                <w:rFonts w:ascii="Meiryo UI" w:eastAsia="Meiryo UI" w:hAnsi="Meiryo UI" w:cs="Meiryo UI" w:hint="eastAsia"/>
                <w:sz w:val="20"/>
                <w:szCs w:val="20"/>
              </w:rPr>
              <w:t>か。達成されて</w:t>
            </w:r>
            <w:r>
              <w:rPr>
                <w:rFonts w:ascii="Meiryo UI" w:eastAsia="Meiryo UI" w:hAnsi="Meiryo UI" w:cs="Meiryo UI" w:hint="eastAsia"/>
                <w:sz w:val="20"/>
                <w:szCs w:val="20"/>
              </w:rPr>
              <w:t>い</w:t>
            </w:r>
            <w:r w:rsidRPr="003A1F14">
              <w:rPr>
                <w:rFonts w:ascii="Meiryo UI" w:eastAsia="Meiryo UI" w:hAnsi="Meiryo UI" w:cs="Meiryo UI" w:hint="eastAsia"/>
                <w:sz w:val="20"/>
                <w:szCs w:val="20"/>
              </w:rPr>
              <w:t>なかったところ</w:t>
            </w:r>
            <w:r>
              <w:rPr>
                <w:rFonts w:ascii="Meiryo UI" w:eastAsia="Meiryo UI" w:hAnsi="Meiryo UI" w:cs="Meiryo UI" w:hint="eastAsia"/>
                <w:sz w:val="20"/>
                <w:szCs w:val="20"/>
              </w:rPr>
              <w:t>を基準として、また</w:t>
            </w:r>
            <w:r w:rsidRPr="003A1F14">
              <w:rPr>
                <w:rFonts w:ascii="Meiryo UI" w:eastAsia="Meiryo UI" w:hAnsi="Meiryo UI" w:cs="Meiryo UI" w:hint="eastAsia"/>
                <w:sz w:val="20"/>
                <w:szCs w:val="20"/>
              </w:rPr>
              <w:t>３％</w:t>
            </w:r>
            <w:r>
              <w:rPr>
                <w:rFonts w:ascii="Meiryo UI" w:eastAsia="Meiryo UI" w:hAnsi="Meiryo UI" w:cs="Meiryo UI" w:hint="eastAsia"/>
                <w:sz w:val="20"/>
                <w:szCs w:val="20"/>
              </w:rPr>
              <w:t>の削減をめざすこと</w:t>
            </w:r>
            <w:r w:rsidRPr="003A1F14">
              <w:rPr>
                <w:rFonts w:ascii="Meiryo UI" w:eastAsia="Meiryo UI" w:hAnsi="Meiryo UI" w:cs="Meiryo UI" w:hint="eastAsia"/>
                <w:sz w:val="20"/>
                <w:szCs w:val="20"/>
              </w:rPr>
              <w:t>になるのか。</w:t>
            </w:r>
          </w:p>
          <w:p w14:paraId="67A7434D" w14:textId="0F23B520" w:rsidR="00072218" w:rsidRDefault="00072218" w:rsidP="00072218">
            <w:pPr>
              <w:jc w:val="left"/>
              <w:rPr>
                <w:rFonts w:ascii="Meiryo UI" w:eastAsia="Meiryo UI" w:hAnsi="Meiryo UI" w:cs="Meiryo UI"/>
                <w:sz w:val="20"/>
                <w:szCs w:val="20"/>
              </w:rPr>
            </w:pPr>
            <w:r>
              <w:rPr>
                <w:rFonts w:ascii="Meiryo UI" w:eastAsia="Meiryo UI" w:hAnsi="Meiryo UI" w:cs="Meiryo UI" w:hint="eastAsia"/>
                <w:sz w:val="20"/>
                <w:szCs w:val="20"/>
              </w:rPr>
              <w:t>全体の目標達成に向けて、どのように扱うの</w:t>
            </w:r>
            <w:r w:rsidRPr="003A1F14">
              <w:rPr>
                <w:rFonts w:ascii="Meiryo UI" w:eastAsia="Meiryo UI" w:hAnsi="Meiryo UI" w:cs="Meiryo UI" w:hint="eastAsia"/>
                <w:sz w:val="20"/>
                <w:szCs w:val="20"/>
              </w:rPr>
              <w:t>か</w:t>
            </w:r>
            <w:r>
              <w:rPr>
                <w:rFonts w:ascii="Meiryo UI" w:eastAsia="Meiryo UI" w:hAnsi="Meiryo UI" w:cs="Meiryo UI" w:hint="eastAsia"/>
                <w:sz w:val="20"/>
                <w:szCs w:val="20"/>
              </w:rPr>
              <w:t>を検討すべき</w:t>
            </w:r>
            <w:r w:rsidRPr="003A1F14">
              <w:rPr>
                <w:rFonts w:ascii="Meiryo UI" w:eastAsia="Meiryo UI" w:hAnsi="Meiryo UI" w:cs="Meiryo UI" w:hint="eastAsia"/>
                <w:sz w:val="20"/>
                <w:szCs w:val="20"/>
              </w:rPr>
              <w:t>。</w:t>
            </w:r>
          </w:p>
        </w:tc>
        <w:tc>
          <w:tcPr>
            <w:tcW w:w="4815" w:type="dxa"/>
          </w:tcPr>
          <w:p w14:paraId="207046DB" w14:textId="7358A242" w:rsidR="00841DA2" w:rsidRDefault="00841DA2" w:rsidP="00841DA2">
            <w:pPr>
              <w:jc w:val="left"/>
              <w:rPr>
                <w:rFonts w:ascii="Meiryo UI" w:eastAsia="Meiryo UI" w:hAnsi="Meiryo UI" w:cs="Meiryo UI"/>
                <w:sz w:val="20"/>
                <w:szCs w:val="20"/>
              </w:rPr>
            </w:pPr>
            <w:r>
              <w:rPr>
                <w:rFonts w:ascii="Meiryo UI" w:eastAsia="Meiryo UI" w:hAnsi="Meiryo UI" w:cs="Meiryo UI" w:hint="eastAsia"/>
                <w:sz w:val="20"/>
                <w:szCs w:val="20"/>
              </w:rPr>
              <w:t>・資料１</w:t>
            </w:r>
            <w:r w:rsidR="00E74F95">
              <w:rPr>
                <w:rFonts w:ascii="Meiryo UI" w:eastAsia="Meiryo UI" w:hAnsi="Meiryo UI" w:cs="Meiryo UI" w:hint="eastAsia"/>
                <w:sz w:val="20"/>
                <w:szCs w:val="20"/>
              </w:rPr>
              <w:t>＜方策２＞①</w:t>
            </w:r>
            <w:r w:rsidR="00961DF6">
              <w:rPr>
                <w:rFonts w:ascii="Meiryo UI" w:eastAsia="Meiryo UI" w:hAnsi="Meiryo UI" w:cs="Meiryo UI" w:hint="eastAsia"/>
                <w:sz w:val="20"/>
                <w:szCs w:val="20"/>
              </w:rPr>
              <w:t>、③</w:t>
            </w:r>
            <w:r>
              <w:rPr>
                <w:rFonts w:ascii="Meiryo UI" w:eastAsia="Meiryo UI" w:hAnsi="Meiryo UI" w:cs="Meiryo UI" w:hint="eastAsia"/>
                <w:sz w:val="20"/>
                <w:szCs w:val="20"/>
              </w:rPr>
              <w:t>において方向性を整理</w:t>
            </w:r>
          </w:p>
          <w:p w14:paraId="16CDE1A1" w14:textId="2C41FF02" w:rsidR="00072218" w:rsidRPr="00841DA2" w:rsidRDefault="00841DA2" w:rsidP="00BC7948">
            <w:pPr>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w:t>
            </w:r>
            <w:r w:rsidR="00961DF6">
              <w:rPr>
                <w:rFonts w:ascii="Meiryo UI" w:eastAsia="Meiryo UI" w:hAnsi="Meiryo UI" w:cs="Meiryo UI" w:hint="eastAsia"/>
                <w:sz w:val="20"/>
                <w:szCs w:val="20"/>
              </w:rPr>
              <w:t>現状においては、原則として計画期間の前年度が基準年度となり、前計画期間の達成・未達成の状況は影響しない。今回の見直しにあたっては、大幅に超過削減できた事業者へのインセンティブや、未達成事業者の意欲を向上する方策についても、</w:t>
            </w:r>
            <w:r w:rsidR="00BC7948">
              <w:rPr>
                <w:rFonts w:ascii="Meiryo UI" w:eastAsia="Meiryo UI" w:hAnsi="Meiryo UI" w:cs="Meiryo UI" w:hint="eastAsia"/>
                <w:sz w:val="20"/>
                <w:szCs w:val="20"/>
              </w:rPr>
              <w:t>委員の皆様から御意見をいただき検討を深めていきたいと考える。</w:t>
            </w:r>
          </w:p>
        </w:tc>
      </w:tr>
      <w:tr w:rsidR="00072218" w:rsidRPr="003A1F14" w14:paraId="325ABA7B" w14:textId="77777777" w:rsidTr="00D87825">
        <w:tc>
          <w:tcPr>
            <w:tcW w:w="4814" w:type="dxa"/>
          </w:tcPr>
          <w:p w14:paraId="5C2034ED" w14:textId="77777777" w:rsidR="00072218" w:rsidRDefault="00072218" w:rsidP="00072218">
            <w:pPr>
              <w:jc w:val="left"/>
              <w:rPr>
                <w:rFonts w:ascii="Meiryo UI" w:eastAsia="Meiryo UI" w:hAnsi="Meiryo UI" w:cs="Meiryo UI"/>
                <w:sz w:val="20"/>
                <w:szCs w:val="20"/>
              </w:rPr>
            </w:pPr>
            <w:r>
              <w:rPr>
                <w:rFonts w:ascii="Meiryo UI" w:eastAsia="Meiryo UI" w:hAnsi="Meiryo UI" w:cs="Meiryo UI" w:hint="eastAsia"/>
                <w:sz w:val="20"/>
                <w:szCs w:val="20"/>
              </w:rPr>
              <w:t>業務部門は省エネが行き届いていなかったこともあり、省エネ目標を立てれば下がっていく可能性もあると考える。</w:t>
            </w:r>
          </w:p>
          <w:p w14:paraId="78A6EBB4" w14:textId="154A596F" w:rsidR="00072218" w:rsidRDefault="00072218" w:rsidP="00072218">
            <w:pPr>
              <w:jc w:val="left"/>
              <w:rPr>
                <w:rFonts w:ascii="Meiryo UI" w:eastAsia="Meiryo UI" w:hAnsi="Meiryo UI" w:cs="Meiryo UI"/>
                <w:sz w:val="20"/>
                <w:szCs w:val="20"/>
              </w:rPr>
            </w:pPr>
            <w:r>
              <w:rPr>
                <w:rFonts w:ascii="Meiryo UI" w:eastAsia="Meiryo UI" w:hAnsi="Meiryo UI" w:cs="Meiryo UI" w:hint="eastAsia"/>
                <w:sz w:val="20"/>
                <w:szCs w:val="20"/>
              </w:rPr>
              <w:t>ただ、大阪府で省エネビルを建てると損をするから他府県に建てる、というようなことがないよう、府独自の工夫を検討すべき。</w:t>
            </w:r>
          </w:p>
        </w:tc>
        <w:tc>
          <w:tcPr>
            <w:tcW w:w="4815" w:type="dxa"/>
          </w:tcPr>
          <w:p w14:paraId="0EDBA201" w14:textId="77777777" w:rsidR="00072218" w:rsidRDefault="00BC7948" w:rsidP="00072218">
            <w:pPr>
              <w:jc w:val="left"/>
              <w:rPr>
                <w:rFonts w:ascii="Meiryo UI" w:eastAsia="Meiryo UI" w:hAnsi="Meiryo UI" w:cs="Meiryo UI"/>
                <w:sz w:val="20"/>
                <w:szCs w:val="20"/>
              </w:rPr>
            </w:pPr>
            <w:r>
              <w:rPr>
                <w:rFonts w:ascii="Meiryo UI" w:eastAsia="Meiryo UI" w:hAnsi="Meiryo UI" w:cs="Meiryo UI" w:hint="eastAsia"/>
                <w:sz w:val="20"/>
                <w:szCs w:val="20"/>
              </w:rPr>
              <w:t>・資料１＜方策２＞①、③において方向性を整理</w:t>
            </w:r>
          </w:p>
          <w:p w14:paraId="36AD5320" w14:textId="0E3A44A2" w:rsidR="00BC7948" w:rsidRDefault="00BC7948" w:rsidP="00BC7948">
            <w:pPr>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過去の特定事業者の削減状況からは、業務部門において、他部門との優位な差は見られなかった。しかしながら、排出量の大きい業務部門の削減を進めることは非常に重要であるため、業種分類別の分析などを踏まえ、地域の特徴を捉えた有効な対策が必要と考える。</w:t>
            </w:r>
          </w:p>
        </w:tc>
      </w:tr>
    </w:tbl>
    <w:p w14:paraId="5F511CC0" w14:textId="59FE4532" w:rsidR="00D87825" w:rsidRPr="00D87825" w:rsidRDefault="00D87825" w:rsidP="00F5050F">
      <w:pPr>
        <w:spacing w:line="120" w:lineRule="exact"/>
        <w:jc w:val="left"/>
        <w:rPr>
          <w:rFonts w:ascii="Meiryo UI" w:eastAsia="Meiryo UI" w:hAnsi="Meiryo UI" w:cs="Meiryo UI"/>
          <w:sz w:val="20"/>
          <w:szCs w:val="20"/>
        </w:rPr>
      </w:pPr>
    </w:p>
    <w:sectPr w:rsidR="00D87825" w:rsidRPr="00D87825" w:rsidSect="00A24AF6">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851" w:footer="340" w:gutter="0"/>
      <w:pgNumType w:fmt="numberInDash"/>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E77EE" w14:textId="77777777" w:rsidR="00D300D0" w:rsidRDefault="00D300D0" w:rsidP="00DD3190">
      <w:r>
        <w:separator/>
      </w:r>
    </w:p>
  </w:endnote>
  <w:endnote w:type="continuationSeparator" w:id="0">
    <w:p w14:paraId="388FDAA3" w14:textId="77777777" w:rsidR="00D300D0" w:rsidRDefault="00D300D0" w:rsidP="00DD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D24D" w14:textId="77777777" w:rsidR="00F62929" w:rsidRDefault="00F6292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8EB3" w14:textId="77777777" w:rsidR="00BE2700" w:rsidRPr="00F62929" w:rsidRDefault="00BE2700" w:rsidP="00F6292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5B14B" w14:textId="77777777" w:rsidR="00F62929" w:rsidRDefault="00F629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F6B8" w14:textId="77777777" w:rsidR="00D300D0" w:rsidRDefault="00D300D0" w:rsidP="00DD3190">
      <w:r>
        <w:separator/>
      </w:r>
    </w:p>
  </w:footnote>
  <w:footnote w:type="continuationSeparator" w:id="0">
    <w:p w14:paraId="4B81C986" w14:textId="77777777" w:rsidR="00D300D0" w:rsidRDefault="00D300D0" w:rsidP="00DD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91EB" w14:textId="77777777" w:rsidR="00F62929" w:rsidRDefault="00F6292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6126" w14:textId="77777777" w:rsidR="00F62929" w:rsidRDefault="00F6292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455E" w14:textId="77777777" w:rsidR="00F62929" w:rsidRDefault="00F629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31F"/>
    <w:multiLevelType w:val="hybridMultilevel"/>
    <w:tmpl w:val="5422EE32"/>
    <w:lvl w:ilvl="0" w:tplc="E27E8AB2">
      <w:start w:val="2"/>
      <w:numFmt w:val="bullet"/>
      <w:lvlText w:val="・"/>
      <w:lvlJc w:val="left"/>
      <w:pPr>
        <w:ind w:left="1155" w:hanging="360"/>
      </w:pPr>
      <w:rPr>
        <w:rFonts w:ascii="Meiryo UI" w:eastAsia="Meiryo UI" w:hAnsi="Meiryo UI"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07916F08"/>
    <w:multiLevelType w:val="hybridMultilevel"/>
    <w:tmpl w:val="A74205B4"/>
    <w:lvl w:ilvl="0" w:tplc="960273BE">
      <w:start w:val="3"/>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19B03680"/>
    <w:multiLevelType w:val="hybridMultilevel"/>
    <w:tmpl w:val="C0D8917A"/>
    <w:lvl w:ilvl="0" w:tplc="1EA85E2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24301122"/>
    <w:multiLevelType w:val="hybridMultilevel"/>
    <w:tmpl w:val="29BEE888"/>
    <w:lvl w:ilvl="0" w:tplc="66986062">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2DC945EA"/>
    <w:multiLevelType w:val="hybridMultilevel"/>
    <w:tmpl w:val="EA90351C"/>
    <w:lvl w:ilvl="0" w:tplc="CAEE9EEA">
      <w:start w:val="1"/>
      <w:numFmt w:val="decimalFullWidth"/>
      <w:lvlText w:val="%1）"/>
      <w:lvlJc w:val="left"/>
      <w:pPr>
        <w:ind w:left="1215" w:hanging="39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F9239D2"/>
    <w:multiLevelType w:val="hybridMultilevel"/>
    <w:tmpl w:val="26F84244"/>
    <w:lvl w:ilvl="0" w:tplc="B932215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53EB3"/>
    <w:multiLevelType w:val="hybridMultilevel"/>
    <w:tmpl w:val="332216BC"/>
    <w:lvl w:ilvl="0" w:tplc="C92AE9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F41F8"/>
    <w:multiLevelType w:val="hybridMultilevel"/>
    <w:tmpl w:val="148456DC"/>
    <w:lvl w:ilvl="0" w:tplc="32369A54">
      <w:start w:val="3"/>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3CD50282"/>
    <w:multiLevelType w:val="hybridMultilevel"/>
    <w:tmpl w:val="7634029E"/>
    <w:lvl w:ilvl="0" w:tplc="9BEC4F94">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46381A26"/>
    <w:multiLevelType w:val="hybridMultilevel"/>
    <w:tmpl w:val="08CCEA76"/>
    <w:lvl w:ilvl="0" w:tplc="B2AE604E">
      <w:start w:val="1"/>
      <w:numFmt w:val="decimalEnclosedCircle"/>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6AA7052"/>
    <w:multiLevelType w:val="hybridMultilevel"/>
    <w:tmpl w:val="C460309E"/>
    <w:lvl w:ilvl="0" w:tplc="14962C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67BEB"/>
    <w:multiLevelType w:val="hybridMultilevel"/>
    <w:tmpl w:val="2D22CDD8"/>
    <w:lvl w:ilvl="0" w:tplc="67BE7B72">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F132CC"/>
    <w:multiLevelType w:val="hybridMultilevel"/>
    <w:tmpl w:val="A880DE94"/>
    <w:lvl w:ilvl="0" w:tplc="2DA0CD68">
      <w:start w:val="1"/>
      <w:numFmt w:val="decimalFullWidth"/>
      <w:lvlText w:val="（%1）"/>
      <w:lvlJc w:val="left"/>
      <w:pPr>
        <w:ind w:left="870" w:hanging="7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4" w15:restartNumberingAfterBreak="0">
    <w:nsid w:val="769B6009"/>
    <w:multiLevelType w:val="hybridMultilevel"/>
    <w:tmpl w:val="9E0CD19E"/>
    <w:lvl w:ilvl="0" w:tplc="7A4E7C6C">
      <w:start w:val="1"/>
      <w:numFmt w:val="decimalFullWidth"/>
      <w:lvlText w:val="（%1）"/>
      <w:lvlJc w:val="left"/>
      <w:pPr>
        <w:ind w:left="825" w:hanging="7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97964DC"/>
    <w:multiLevelType w:val="hybridMultilevel"/>
    <w:tmpl w:val="2890A714"/>
    <w:lvl w:ilvl="0" w:tplc="D7A2F2B8">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2"/>
  </w:num>
  <w:num w:numId="2">
    <w:abstractNumId w:val="15"/>
  </w:num>
  <w:num w:numId="3">
    <w:abstractNumId w:val="1"/>
  </w:num>
  <w:num w:numId="4">
    <w:abstractNumId w:val="14"/>
  </w:num>
  <w:num w:numId="5">
    <w:abstractNumId w:val="13"/>
  </w:num>
  <w:num w:numId="6">
    <w:abstractNumId w:val="6"/>
  </w:num>
  <w:num w:numId="7">
    <w:abstractNumId w:val="5"/>
  </w:num>
  <w:num w:numId="8">
    <w:abstractNumId w:val="3"/>
  </w:num>
  <w:num w:numId="9">
    <w:abstractNumId w:val="0"/>
  </w:num>
  <w:num w:numId="10">
    <w:abstractNumId w:val="9"/>
  </w:num>
  <w:num w:numId="11">
    <w:abstractNumId w:val="11"/>
  </w:num>
  <w:num w:numId="12">
    <w:abstractNumId w:val="7"/>
  </w:num>
  <w:num w:numId="13">
    <w:abstractNumId w:val="4"/>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8C"/>
    <w:rsid w:val="00007EE0"/>
    <w:rsid w:val="00013EB6"/>
    <w:rsid w:val="00015B65"/>
    <w:rsid w:val="00016CC4"/>
    <w:rsid w:val="00017DFA"/>
    <w:rsid w:val="0002643E"/>
    <w:rsid w:val="00031626"/>
    <w:rsid w:val="00031C5E"/>
    <w:rsid w:val="000367EC"/>
    <w:rsid w:val="00036B00"/>
    <w:rsid w:val="0004130A"/>
    <w:rsid w:val="000418AB"/>
    <w:rsid w:val="0004221A"/>
    <w:rsid w:val="000436D9"/>
    <w:rsid w:val="00047474"/>
    <w:rsid w:val="000475C0"/>
    <w:rsid w:val="00072218"/>
    <w:rsid w:val="00074C40"/>
    <w:rsid w:val="00083365"/>
    <w:rsid w:val="00087F44"/>
    <w:rsid w:val="00090EE3"/>
    <w:rsid w:val="0009252E"/>
    <w:rsid w:val="000979EF"/>
    <w:rsid w:val="000A010F"/>
    <w:rsid w:val="000A0743"/>
    <w:rsid w:val="000A25AE"/>
    <w:rsid w:val="000A3A09"/>
    <w:rsid w:val="000A3E01"/>
    <w:rsid w:val="000C314F"/>
    <w:rsid w:val="000C5868"/>
    <w:rsid w:val="000D103C"/>
    <w:rsid w:val="000D1CBE"/>
    <w:rsid w:val="000D5E69"/>
    <w:rsid w:val="000D7A10"/>
    <w:rsid w:val="000E58B0"/>
    <w:rsid w:val="000F4C7D"/>
    <w:rsid w:val="00102C0B"/>
    <w:rsid w:val="00103FDF"/>
    <w:rsid w:val="001171ED"/>
    <w:rsid w:val="001224F3"/>
    <w:rsid w:val="00122DEA"/>
    <w:rsid w:val="0012522F"/>
    <w:rsid w:val="00127685"/>
    <w:rsid w:val="00131CF4"/>
    <w:rsid w:val="00137F0D"/>
    <w:rsid w:val="00156A3B"/>
    <w:rsid w:val="00175549"/>
    <w:rsid w:val="001772C0"/>
    <w:rsid w:val="00181E5F"/>
    <w:rsid w:val="00191C10"/>
    <w:rsid w:val="001921D1"/>
    <w:rsid w:val="00192AE7"/>
    <w:rsid w:val="00193B8A"/>
    <w:rsid w:val="001A1786"/>
    <w:rsid w:val="001A25AF"/>
    <w:rsid w:val="001A3371"/>
    <w:rsid w:val="001A620A"/>
    <w:rsid w:val="001B37B2"/>
    <w:rsid w:val="001B574F"/>
    <w:rsid w:val="001B5C9C"/>
    <w:rsid w:val="001C0A5B"/>
    <w:rsid w:val="001C5045"/>
    <w:rsid w:val="001C60EC"/>
    <w:rsid w:val="001C6A11"/>
    <w:rsid w:val="001D2810"/>
    <w:rsid w:val="001D44E2"/>
    <w:rsid w:val="001D487A"/>
    <w:rsid w:val="001D676A"/>
    <w:rsid w:val="001E38E9"/>
    <w:rsid w:val="001E3DCA"/>
    <w:rsid w:val="001E70FC"/>
    <w:rsid w:val="001F0B80"/>
    <w:rsid w:val="001F547B"/>
    <w:rsid w:val="001F6EB8"/>
    <w:rsid w:val="001F76BE"/>
    <w:rsid w:val="00202014"/>
    <w:rsid w:val="00207FF2"/>
    <w:rsid w:val="00213227"/>
    <w:rsid w:val="00223A26"/>
    <w:rsid w:val="00231628"/>
    <w:rsid w:val="00241C63"/>
    <w:rsid w:val="002420B2"/>
    <w:rsid w:val="00246F1A"/>
    <w:rsid w:val="00247507"/>
    <w:rsid w:val="00251FD6"/>
    <w:rsid w:val="0025722F"/>
    <w:rsid w:val="00270A01"/>
    <w:rsid w:val="00271378"/>
    <w:rsid w:val="002749C5"/>
    <w:rsid w:val="00284D74"/>
    <w:rsid w:val="002851C6"/>
    <w:rsid w:val="00285CFC"/>
    <w:rsid w:val="002861EC"/>
    <w:rsid w:val="0029228C"/>
    <w:rsid w:val="0029253B"/>
    <w:rsid w:val="002961D2"/>
    <w:rsid w:val="0029647B"/>
    <w:rsid w:val="002976DA"/>
    <w:rsid w:val="00297B0B"/>
    <w:rsid w:val="002A0069"/>
    <w:rsid w:val="002A0E89"/>
    <w:rsid w:val="002A4318"/>
    <w:rsid w:val="002A4D1F"/>
    <w:rsid w:val="002B0532"/>
    <w:rsid w:val="002B36A3"/>
    <w:rsid w:val="002B38B7"/>
    <w:rsid w:val="002C3570"/>
    <w:rsid w:val="002D194B"/>
    <w:rsid w:val="002D479E"/>
    <w:rsid w:val="002E01A3"/>
    <w:rsid w:val="002E0B61"/>
    <w:rsid w:val="002E59E2"/>
    <w:rsid w:val="002F748F"/>
    <w:rsid w:val="003036AD"/>
    <w:rsid w:val="00304028"/>
    <w:rsid w:val="00306FC4"/>
    <w:rsid w:val="0031003C"/>
    <w:rsid w:val="00313CA2"/>
    <w:rsid w:val="00317ABF"/>
    <w:rsid w:val="00322AF9"/>
    <w:rsid w:val="00323D8A"/>
    <w:rsid w:val="00327481"/>
    <w:rsid w:val="003338D2"/>
    <w:rsid w:val="00334278"/>
    <w:rsid w:val="003363F6"/>
    <w:rsid w:val="003368FD"/>
    <w:rsid w:val="00337465"/>
    <w:rsid w:val="00342FD5"/>
    <w:rsid w:val="00343713"/>
    <w:rsid w:val="00343F9A"/>
    <w:rsid w:val="00353B12"/>
    <w:rsid w:val="003651A6"/>
    <w:rsid w:val="00370C2B"/>
    <w:rsid w:val="00372C03"/>
    <w:rsid w:val="0037445B"/>
    <w:rsid w:val="00376B12"/>
    <w:rsid w:val="00383428"/>
    <w:rsid w:val="003869B2"/>
    <w:rsid w:val="0039156F"/>
    <w:rsid w:val="003A1F14"/>
    <w:rsid w:val="003A6958"/>
    <w:rsid w:val="003A7142"/>
    <w:rsid w:val="003A76DA"/>
    <w:rsid w:val="003B16EB"/>
    <w:rsid w:val="003B2731"/>
    <w:rsid w:val="003B5985"/>
    <w:rsid w:val="003C1E68"/>
    <w:rsid w:val="003C23E6"/>
    <w:rsid w:val="003C68F4"/>
    <w:rsid w:val="003D050B"/>
    <w:rsid w:val="003D06B6"/>
    <w:rsid w:val="003D2B33"/>
    <w:rsid w:val="003D2D07"/>
    <w:rsid w:val="003D4708"/>
    <w:rsid w:val="003D4BAB"/>
    <w:rsid w:val="003D70BD"/>
    <w:rsid w:val="003E4E6D"/>
    <w:rsid w:val="003E556D"/>
    <w:rsid w:val="003F172C"/>
    <w:rsid w:val="00401665"/>
    <w:rsid w:val="004022B6"/>
    <w:rsid w:val="004030A8"/>
    <w:rsid w:val="00404DB5"/>
    <w:rsid w:val="00410501"/>
    <w:rsid w:val="00415587"/>
    <w:rsid w:val="00415CCD"/>
    <w:rsid w:val="004172C1"/>
    <w:rsid w:val="00421C85"/>
    <w:rsid w:val="00422C9E"/>
    <w:rsid w:val="0042372D"/>
    <w:rsid w:val="00426D3D"/>
    <w:rsid w:val="00427E25"/>
    <w:rsid w:val="00430807"/>
    <w:rsid w:val="00430B58"/>
    <w:rsid w:val="00433C04"/>
    <w:rsid w:val="0044182C"/>
    <w:rsid w:val="004447C1"/>
    <w:rsid w:val="00445517"/>
    <w:rsid w:val="004458F6"/>
    <w:rsid w:val="00445EB1"/>
    <w:rsid w:val="004531A6"/>
    <w:rsid w:val="00453771"/>
    <w:rsid w:val="00456177"/>
    <w:rsid w:val="0046049B"/>
    <w:rsid w:val="00461984"/>
    <w:rsid w:val="00461D0D"/>
    <w:rsid w:val="0047066A"/>
    <w:rsid w:val="00471526"/>
    <w:rsid w:val="0047372E"/>
    <w:rsid w:val="00483B94"/>
    <w:rsid w:val="0049241D"/>
    <w:rsid w:val="004B49F1"/>
    <w:rsid w:val="004B5134"/>
    <w:rsid w:val="004C4097"/>
    <w:rsid w:val="004C4863"/>
    <w:rsid w:val="004D1513"/>
    <w:rsid w:val="004D6693"/>
    <w:rsid w:val="004E0AE2"/>
    <w:rsid w:val="004E5CE5"/>
    <w:rsid w:val="004E7846"/>
    <w:rsid w:val="004F21A8"/>
    <w:rsid w:val="004F3A8B"/>
    <w:rsid w:val="004F5337"/>
    <w:rsid w:val="00500DCB"/>
    <w:rsid w:val="00501811"/>
    <w:rsid w:val="005042C3"/>
    <w:rsid w:val="00510694"/>
    <w:rsid w:val="00511773"/>
    <w:rsid w:val="00513814"/>
    <w:rsid w:val="00515913"/>
    <w:rsid w:val="0051727C"/>
    <w:rsid w:val="005218ED"/>
    <w:rsid w:val="00522C05"/>
    <w:rsid w:val="00524356"/>
    <w:rsid w:val="005263FF"/>
    <w:rsid w:val="00526E2F"/>
    <w:rsid w:val="00526FC0"/>
    <w:rsid w:val="005270E3"/>
    <w:rsid w:val="00530BB3"/>
    <w:rsid w:val="0053100F"/>
    <w:rsid w:val="00533424"/>
    <w:rsid w:val="005358EE"/>
    <w:rsid w:val="00536115"/>
    <w:rsid w:val="005366D6"/>
    <w:rsid w:val="00536BD0"/>
    <w:rsid w:val="00541513"/>
    <w:rsid w:val="005416A6"/>
    <w:rsid w:val="005454FE"/>
    <w:rsid w:val="00547E63"/>
    <w:rsid w:val="005514C7"/>
    <w:rsid w:val="00552CBA"/>
    <w:rsid w:val="00561DE8"/>
    <w:rsid w:val="00564A62"/>
    <w:rsid w:val="00570619"/>
    <w:rsid w:val="00571C91"/>
    <w:rsid w:val="005739AD"/>
    <w:rsid w:val="00573BC8"/>
    <w:rsid w:val="00573E5C"/>
    <w:rsid w:val="00573F4E"/>
    <w:rsid w:val="005759FD"/>
    <w:rsid w:val="00575C97"/>
    <w:rsid w:val="00576DCB"/>
    <w:rsid w:val="00583061"/>
    <w:rsid w:val="00584D31"/>
    <w:rsid w:val="00586E97"/>
    <w:rsid w:val="00586F38"/>
    <w:rsid w:val="005909E7"/>
    <w:rsid w:val="005929CA"/>
    <w:rsid w:val="00593F30"/>
    <w:rsid w:val="005A3C2F"/>
    <w:rsid w:val="005A4746"/>
    <w:rsid w:val="005D180A"/>
    <w:rsid w:val="005D3F98"/>
    <w:rsid w:val="005D72A6"/>
    <w:rsid w:val="005F6725"/>
    <w:rsid w:val="005F6C3C"/>
    <w:rsid w:val="005F7C86"/>
    <w:rsid w:val="005F7E04"/>
    <w:rsid w:val="00601678"/>
    <w:rsid w:val="00603C2B"/>
    <w:rsid w:val="00605BB7"/>
    <w:rsid w:val="006124BE"/>
    <w:rsid w:val="006139E1"/>
    <w:rsid w:val="00617BBC"/>
    <w:rsid w:val="00627339"/>
    <w:rsid w:val="0062770D"/>
    <w:rsid w:val="006312FA"/>
    <w:rsid w:val="00632AE9"/>
    <w:rsid w:val="00637591"/>
    <w:rsid w:val="00641BA8"/>
    <w:rsid w:val="00642472"/>
    <w:rsid w:val="0064565F"/>
    <w:rsid w:val="00655515"/>
    <w:rsid w:val="00656B36"/>
    <w:rsid w:val="00657AAA"/>
    <w:rsid w:val="0066413B"/>
    <w:rsid w:val="00665EC7"/>
    <w:rsid w:val="006701ED"/>
    <w:rsid w:val="00670454"/>
    <w:rsid w:val="006710EB"/>
    <w:rsid w:val="00672301"/>
    <w:rsid w:val="00673668"/>
    <w:rsid w:val="006740F6"/>
    <w:rsid w:val="0067687F"/>
    <w:rsid w:val="00677FEB"/>
    <w:rsid w:val="00696963"/>
    <w:rsid w:val="006A35A8"/>
    <w:rsid w:val="006A63C0"/>
    <w:rsid w:val="006B03B3"/>
    <w:rsid w:val="006B03C6"/>
    <w:rsid w:val="006B0D6F"/>
    <w:rsid w:val="006B2670"/>
    <w:rsid w:val="006B2B49"/>
    <w:rsid w:val="006B323E"/>
    <w:rsid w:val="006B468B"/>
    <w:rsid w:val="006B581B"/>
    <w:rsid w:val="006B5DB1"/>
    <w:rsid w:val="006C1015"/>
    <w:rsid w:val="006C781C"/>
    <w:rsid w:val="006D0B96"/>
    <w:rsid w:val="006E28D3"/>
    <w:rsid w:val="006E321F"/>
    <w:rsid w:val="006E3937"/>
    <w:rsid w:val="006E4660"/>
    <w:rsid w:val="006E74E6"/>
    <w:rsid w:val="006F0BD3"/>
    <w:rsid w:val="006F311E"/>
    <w:rsid w:val="006F3161"/>
    <w:rsid w:val="006F3548"/>
    <w:rsid w:val="006F395F"/>
    <w:rsid w:val="006F58E8"/>
    <w:rsid w:val="006F592A"/>
    <w:rsid w:val="006F6D89"/>
    <w:rsid w:val="006F7313"/>
    <w:rsid w:val="006F79CC"/>
    <w:rsid w:val="00700FE4"/>
    <w:rsid w:val="007031FA"/>
    <w:rsid w:val="007051CF"/>
    <w:rsid w:val="00710E95"/>
    <w:rsid w:val="00711165"/>
    <w:rsid w:val="007126FB"/>
    <w:rsid w:val="00712ADE"/>
    <w:rsid w:val="00713C1D"/>
    <w:rsid w:val="0071483C"/>
    <w:rsid w:val="007157B0"/>
    <w:rsid w:val="007162D9"/>
    <w:rsid w:val="0071754B"/>
    <w:rsid w:val="0071781E"/>
    <w:rsid w:val="00721889"/>
    <w:rsid w:val="007220DB"/>
    <w:rsid w:val="00722A24"/>
    <w:rsid w:val="0072385A"/>
    <w:rsid w:val="0072561C"/>
    <w:rsid w:val="007259D4"/>
    <w:rsid w:val="007300F2"/>
    <w:rsid w:val="00731EBD"/>
    <w:rsid w:val="00733530"/>
    <w:rsid w:val="00740E3A"/>
    <w:rsid w:val="00750EC6"/>
    <w:rsid w:val="00752603"/>
    <w:rsid w:val="007554BA"/>
    <w:rsid w:val="00756110"/>
    <w:rsid w:val="007607FE"/>
    <w:rsid w:val="007617A3"/>
    <w:rsid w:val="0076254A"/>
    <w:rsid w:val="007640DF"/>
    <w:rsid w:val="00767557"/>
    <w:rsid w:val="0077382A"/>
    <w:rsid w:val="00775707"/>
    <w:rsid w:val="00777E9E"/>
    <w:rsid w:val="00782564"/>
    <w:rsid w:val="00786691"/>
    <w:rsid w:val="00793FA3"/>
    <w:rsid w:val="007A2643"/>
    <w:rsid w:val="007A44E3"/>
    <w:rsid w:val="007A659A"/>
    <w:rsid w:val="007B04A0"/>
    <w:rsid w:val="007B13ED"/>
    <w:rsid w:val="007B7DBA"/>
    <w:rsid w:val="007C0C0C"/>
    <w:rsid w:val="007C14C8"/>
    <w:rsid w:val="007D1071"/>
    <w:rsid w:val="007D1401"/>
    <w:rsid w:val="007E134C"/>
    <w:rsid w:val="007E1EF3"/>
    <w:rsid w:val="007E4A9E"/>
    <w:rsid w:val="007E6EA9"/>
    <w:rsid w:val="007F3F52"/>
    <w:rsid w:val="007F4144"/>
    <w:rsid w:val="007F6175"/>
    <w:rsid w:val="007F619D"/>
    <w:rsid w:val="0081058B"/>
    <w:rsid w:val="00811B41"/>
    <w:rsid w:val="008138F1"/>
    <w:rsid w:val="008212B0"/>
    <w:rsid w:val="008250AC"/>
    <w:rsid w:val="00826B1A"/>
    <w:rsid w:val="00826C8E"/>
    <w:rsid w:val="008332BF"/>
    <w:rsid w:val="008349D5"/>
    <w:rsid w:val="00834D0B"/>
    <w:rsid w:val="0083522C"/>
    <w:rsid w:val="008402C2"/>
    <w:rsid w:val="00841DA2"/>
    <w:rsid w:val="008430A5"/>
    <w:rsid w:val="00843653"/>
    <w:rsid w:val="00843CE6"/>
    <w:rsid w:val="0084599C"/>
    <w:rsid w:val="00847271"/>
    <w:rsid w:val="00852148"/>
    <w:rsid w:val="0085484D"/>
    <w:rsid w:val="008632D2"/>
    <w:rsid w:val="0086792F"/>
    <w:rsid w:val="00870E22"/>
    <w:rsid w:val="0087185A"/>
    <w:rsid w:val="00877698"/>
    <w:rsid w:val="00877C1E"/>
    <w:rsid w:val="008821D0"/>
    <w:rsid w:val="00886172"/>
    <w:rsid w:val="008877AC"/>
    <w:rsid w:val="008900BE"/>
    <w:rsid w:val="00890BA0"/>
    <w:rsid w:val="00890DC2"/>
    <w:rsid w:val="00891A37"/>
    <w:rsid w:val="008922D9"/>
    <w:rsid w:val="008944B6"/>
    <w:rsid w:val="008969ED"/>
    <w:rsid w:val="008A1EFF"/>
    <w:rsid w:val="008A4E10"/>
    <w:rsid w:val="008A5483"/>
    <w:rsid w:val="008A5F43"/>
    <w:rsid w:val="008A69F8"/>
    <w:rsid w:val="008A780C"/>
    <w:rsid w:val="008B3797"/>
    <w:rsid w:val="008B3BD8"/>
    <w:rsid w:val="008C3E3B"/>
    <w:rsid w:val="008C4711"/>
    <w:rsid w:val="008D1BE9"/>
    <w:rsid w:val="008D2EE9"/>
    <w:rsid w:val="008D3384"/>
    <w:rsid w:val="008D33A1"/>
    <w:rsid w:val="008D64DF"/>
    <w:rsid w:val="008E1A73"/>
    <w:rsid w:val="008E6B85"/>
    <w:rsid w:val="008F1288"/>
    <w:rsid w:val="008F19F2"/>
    <w:rsid w:val="009105E8"/>
    <w:rsid w:val="00910614"/>
    <w:rsid w:val="00912B02"/>
    <w:rsid w:val="00920DBC"/>
    <w:rsid w:val="009237A9"/>
    <w:rsid w:val="0092603C"/>
    <w:rsid w:val="00926B41"/>
    <w:rsid w:val="00927938"/>
    <w:rsid w:val="009300FB"/>
    <w:rsid w:val="00931B6D"/>
    <w:rsid w:val="009435ED"/>
    <w:rsid w:val="009530BD"/>
    <w:rsid w:val="00955581"/>
    <w:rsid w:val="00957CA1"/>
    <w:rsid w:val="00961DF6"/>
    <w:rsid w:val="009630A1"/>
    <w:rsid w:val="00977F4F"/>
    <w:rsid w:val="00980C04"/>
    <w:rsid w:val="009822AD"/>
    <w:rsid w:val="00985DC0"/>
    <w:rsid w:val="00990F9E"/>
    <w:rsid w:val="0099540E"/>
    <w:rsid w:val="009972A0"/>
    <w:rsid w:val="009974DC"/>
    <w:rsid w:val="009A17B2"/>
    <w:rsid w:val="009A2DB6"/>
    <w:rsid w:val="009A6822"/>
    <w:rsid w:val="009B0695"/>
    <w:rsid w:val="009B0F7D"/>
    <w:rsid w:val="009B14D4"/>
    <w:rsid w:val="009B5607"/>
    <w:rsid w:val="009B6C70"/>
    <w:rsid w:val="009C0AB0"/>
    <w:rsid w:val="009C1278"/>
    <w:rsid w:val="009C1BF3"/>
    <w:rsid w:val="009C584B"/>
    <w:rsid w:val="009D0738"/>
    <w:rsid w:val="009D0AB1"/>
    <w:rsid w:val="009D20A9"/>
    <w:rsid w:val="009D4DA1"/>
    <w:rsid w:val="009D52CB"/>
    <w:rsid w:val="009E1191"/>
    <w:rsid w:val="009E2C44"/>
    <w:rsid w:val="009E4CBA"/>
    <w:rsid w:val="009E5505"/>
    <w:rsid w:val="009E73B8"/>
    <w:rsid w:val="009E7699"/>
    <w:rsid w:val="009F1647"/>
    <w:rsid w:val="009F2FF9"/>
    <w:rsid w:val="00A02603"/>
    <w:rsid w:val="00A02B19"/>
    <w:rsid w:val="00A032F0"/>
    <w:rsid w:val="00A07E75"/>
    <w:rsid w:val="00A137C2"/>
    <w:rsid w:val="00A142E5"/>
    <w:rsid w:val="00A23689"/>
    <w:rsid w:val="00A24AF6"/>
    <w:rsid w:val="00A27312"/>
    <w:rsid w:val="00A316F8"/>
    <w:rsid w:val="00A31CCF"/>
    <w:rsid w:val="00A32AF6"/>
    <w:rsid w:val="00A4422E"/>
    <w:rsid w:val="00A45837"/>
    <w:rsid w:val="00A45C41"/>
    <w:rsid w:val="00A45C8C"/>
    <w:rsid w:val="00A50EC8"/>
    <w:rsid w:val="00A51C2F"/>
    <w:rsid w:val="00A51EC6"/>
    <w:rsid w:val="00A54211"/>
    <w:rsid w:val="00A550C7"/>
    <w:rsid w:val="00A56A93"/>
    <w:rsid w:val="00A65458"/>
    <w:rsid w:val="00A65832"/>
    <w:rsid w:val="00A7052F"/>
    <w:rsid w:val="00A72ED2"/>
    <w:rsid w:val="00A73D3D"/>
    <w:rsid w:val="00A75522"/>
    <w:rsid w:val="00A7711C"/>
    <w:rsid w:val="00A819F7"/>
    <w:rsid w:val="00A81CD9"/>
    <w:rsid w:val="00A838A8"/>
    <w:rsid w:val="00A85F78"/>
    <w:rsid w:val="00A86EA0"/>
    <w:rsid w:val="00A875B4"/>
    <w:rsid w:val="00A9415F"/>
    <w:rsid w:val="00A959F1"/>
    <w:rsid w:val="00A960D1"/>
    <w:rsid w:val="00AA0690"/>
    <w:rsid w:val="00AA78CC"/>
    <w:rsid w:val="00AB1284"/>
    <w:rsid w:val="00AB356D"/>
    <w:rsid w:val="00AC0F02"/>
    <w:rsid w:val="00AC1B46"/>
    <w:rsid w:val="00AC2F83"/>
    <w:rsid w:val="00AC7E3B"/>
    <w:rsid w:val="00AD2E48"/>
    <w:rsid w:val="00AD4F1A"/>
    <w:rsid w:val="00AD54F5"/>
    <w:rsid w:val="00AD684B"/>
    <w:rsid w:val="00AE206E"/>
    <w:rsid w:val="00AE5C2D"/>
    <w:rsid w:val="00AE6A31"/>
    <w:rsid w:val="00AF061D"/>
    <w:rsid w:val="00B123F6"/>
    <w:rsid w:val="00B156EE"/>
    <w:rsid w:val="00B17B03"/>
    <w:rsid w:val="00B22C8D"/>
    <w:rsid w:val="00B22FFA"/>
    <w:rsid w:val="00B234DC"/>
    <w:rsid w:val="00B26EF4"/>
    <w:rsid w:val="00B310BE"/>
    <w:rsid w:val="00B324D3"/>
    <w:rsid w:val="00B32590"/>
    <w:rsid w:val="00B40FC7"/>
    <w:rsid w:val="00B43134"/>
    <w:rsid w:val="00B45B7D"/>
    <w:rsid w:val="00B6444F"/>
    <w:rsid w:val="00B64BE4"/>
    <w:rsid w:val="00B6507C"/>
    <w:rsid w:val="00B7070D"/>
    <w:rsid w:val="00B70930"/>
    <w:rsid w:val="00B81522"/>
    <w:rsid w:val="00B8283D"/>
    <w:rsid w:val="00B90013"/>
    <w:rsid w:val="00B90C0E"/>
    <w:rsid w:val="00BA01DA"/>
    <w:rsid w:val="00BA1C56"/>
    <w:rsid w:val="00BA2D09"/>
    <w:rsid w:val="00BA608C"/>
    <w:rsid w:val="00BB1FD0"/>
    <w:rsid w:val="00BB76DB"/>
    <w:rsid w:val="00BC2C2F"/>
    <w:rsid w:val="00BC3183"/>
    <w:rsid w:val="00BC56F4"/>
    <w:rsid w:val="00BC7948"/>
    <w:rsid w:val="00BD020B"/>
    <w:rsid w:val="00BE2547"/>
    <w:rsid w:val="00BE2700"/>
    <w:rsid w:val="00BE71DC"/>
    <w:rsid w:val="00BE770B"/>
    <w:rsid w:val="00BF01CD"/>
    <w:rsid w:val="00BF18E7"/>
    <w:rsid w:val="00BF24B1"/>
    <w:rsid w:val="00BF5202"/>
    <w:rsid w:val="00BF703E"/>
    <w:rsid w:val="00C00B52"/>
    <w:rsid w:val="00C0454C"/>
    <w:rsid w:val="00C102FF"/>
    <w:rsid w:val="00C16917"/>
    <w:rsid w:val="00C20A69"/>
    <w:rsid w:val="00C27D16"/>
    <w:rsid w:val="00C30159"/>
    <w:rsid w:val="00C341B3"/>
    <w:rsid w:val="00C377EE"/>
    <w:rsid w:val="00C4047F"/>
    <w:rsid w:val="00C41D6C"/>
    <w:rsid w:val="00C42B6E"/>
    <w:rsid w:val="00C43241"/>
    <w:rsid w:val="00C454BB"/>
    <w:rsid w:val="00C4633F"/>
    <w:rsid w:val="00C466E9"/>
    <w:rsid w:val="00C52F78"/>
    <w:rsid w:val="00C53749"/>
    <w:rsid w:val="00C5381B"/>
    <w:rsid w:val="00C6265A"/>
    <w:rsid w:val="00C63314"/>
    <w:rsid w:val="00C65E3F"/>
    <w:rsid w:val="00C66392"/>
    <w:rsid w:val="00C70727"/>
    <w:rsid w:val="00C7229F"/>
    <w:rsid w:val="00C75F08"/>
    <w:rsid w:val="00C93F9A"/>
    <w:rsid w:val="00CA0022"/>
    <w:rsid w:val="00CA0201"/>
    <w:rsid w:val="00CA267D"/>
    <w:rsid w:val="00CA63C7"/>
    <w:rsid w:val="00CB1C49"/>
    <w:rsid w:val="00CB2092"/>
    <w:rsid w:val="00CC505B"/>
    <w:rsid w:val="00CC7BE9"/>
    <w:rsid w:val="00CE4720"/>
    <w:rsid w:val="00CF46E4"/>
    <w:rsid w:val="00CF4C5D"/>
    <w:rsid w:val="00D01CC8"/>
    <w:rsid w:val="00D0315C"/>
    <w:rsid w:val="00D0346B"/>
    <w:rsid w:val="00D05D35"/>
    <w:rsid w:val="00D10BC5"/>
    <w:rsid w:val="00D10DA8"/>
    <w:rsid w:val="00D12C73"/>
    <w:rsid w:val="00D14967"/>
    <w:rsid w:val="00D23F6F"/>
    <w:rsid w:val="00D300D0"/>
    <w:rsid w:val="00D31363"/>
    <w:rsid w:val="00D323EE"/>
    <w:rsid w:val="00D34A2B"/>
    <w:rsid w:val="00D3699D"/>
    <w:rsid w:val="00D369C2"/>
    <w:rsid w:val="00D36F82"/>
    <w:rsid w:val="00D461A8"/>
    <w:rsid w:val="00D478FD"/>
    <w:rsid w:val="00D51F7D"/>
    <w:rsid w:val="00D54AB3"/>
    <w:rsid w:val="00D5558F"/>
    <w:rsid w:val="00D5735B"/>
    <w:rsid w:val="00D57B29"/>
    <w:rsid w:val="00D6302C"/>
    <w:rsid w:val="00D64D21"/>
    <w:rsid w:val="00D6576A"/>
    <w:rsid w:val="00D667A7"/>
    <w:rsid w:val="00D76291"/>
    <w:rsid w:val="00D772AF"/>
    <w:rsid w:val="00D85221"/>
    <w:rsid w:val="00D87825"/>
    <w:rsid w:val="00D97DB7"/>
    <w:rsid w:val="00DA0F28"/>
    <w:rsid w:val="00DA5BF4"/>
    <w:rsid w:val="00DB2AA5"/>
    <w:rsid w:val="00DC4B84"/>
    <w:rsid w:val="00DD031A"/>
    <w:rsid w:val="00DD2B01"/>
    <w:rsid w:val="00DD3190"/>
    <w:rsid w:val="00DD3EAA"/>
    <w:rsid w:val="00DD40B4"/>
    <w:rsid w:val="00DE094C"/>
    <w:rsid w:val="00DE6B84"/>
    <w:rsid w:val="00DF143F"/>
    <w:rsid w:val="00DF197C"/>
    <w:rsid w:val="00DF656A"/>
    <w:rsid w:val="00E01E52"/>
    <w:rsid w:val="00E02615"/>
    <w:rsid w:val="00E10CD2"/>
    <w:rsid w:val="00E10FA1"/>
    <w:rsid w:val="00E2346E"/>
    <w:rsid w:val="00E23D27"/>
    <w:rsid w:val="00E327DE"/>
    <w:rsid w:val="00E3409C"/>
    <w:rsid w:val="00E367AF"/>
    <w:rsid w:val="00E4090F"/>
    <w:rsid w:val="00E4319E"/>
    <w:rsid w:val="00E564A1"/>
    <w:rsid w:val="00E56A82"/>
    <w:rsid w:val="00E6593B"/>
    <w:rsid w:val="00E659F9"/>
    <w:rsid w:val="00E66AAE"/>
    <w:rsid w:val="00E67FA7"/>
    <w:rsid w:val="00E70CD8"/>
    <w:rsid w:val="00E714F5"/>
    <w:rsid w:val="00E71542"/>
    <w:rsid w:val="00E7158D"/>
    <w:rsid w:val="00E74B03"/>
    <w:rsid w:val="00E74F95"/>
    <w:rsid w:val="00E7566F"/>
    <w:rsid w:val="00E81601"/>
    <w:rsid w:val="00E854B9"/>
    <w:rsid w:val="00E864FE"/>
    <w:rsid w:val="00E87210"/>
    <w:rsid w:val="00E9382C"/>
    <w:rsid w:val="00E954CE"/>
    <w:rsid w:val="00EA0D45"/>
    <w:rsid w:val="00EA6EEC"/>
    <w:rsid w:val="00EA71A0"/>
    <w:rsid w:val="00EA71A5"/>
    <w:rsid w:val="00EA730A"/>
    <w:rsid w:val="00EA769F"/>
    <w:rsid w:val="00EB21C4"/>
    <w:rsid w:val="00EB70C8"/>
    <w:rsid w:val="00EC2872"/>
    <w:rsid w:val="00EC5831"/>
    <w:rsid w:val="00ED3917"/>
    <w:rsid w:val="00ED4995"/>
    <w:rsid w:val="00ED55D0"/>
    <w:rsid w:val="00ED57A4"/>
    <w:rsid w:val="00ED57DD"/>
    <w:rsid w:val="00EE64F1"/>
    <w:rsid w:val="00EF1FCD"/>
    <w:rsid w:val="00EF6B20"/>
    <w:rsid w:val="00EF79BE"/>
    <w:rsid w:val="00F01641"/>
    <w:rsid w:val="00F026B0"/>
    <w:rsid w:val="00F02943"/>
    <w:rsid w:val="00F04B67"/>
    <w:rsid w:val="00F105CF"/>
    <w:rsid w:val="00F12767"/>
    <w:rsid w:val="00F12F9E"/>
    <w:rsid w:val="00F25269"/>
    <w:rsid w:val="00F26C70"/>
    <w:rsid w:val="00F271B3"/>
    <w:rsid w:val="00F361A1"/>
    <w:rsid w:val="00F370F6"/>
    <w:rsid w:val="00F4318D"/>
    <w:rsid w:val="00F465D7"/>
    <w:rsid w:val="00F5050F"/>
    <w:rsid w:val="00F5246D"/>
    <w:rsid w:val="00F53B3C"/>
    <w:rsid w:val="00F54985"/>
    <w:rsid w:val="00F61EE2"/>
    <w:rsid w:val="00F62929"/>
    <w:rsid w:val="00F7273F"/>
    <w:rsid w:val="00F72B87"/>
    <w:rsid w:val="00F768B5"/>
    <w:rsid w:val="00F76BB4"/>
    <w:rsid w:val="00F7781B"/>
    <w:rsid w:val="00F80B70"/>
    <w:rsid w:val="00F83392"/>
    <w:rsid w:val="00F83A0A"/>
    <w:rsid w:val="00F924F6"/>
    <w:rsid w:val="00F94C1E"/>
    <w:rsid w:val="00F9783D"/>
    <w:rsid w:val="00FA5186"/>
    <w:rsid w:val="00FA6264"/>
    <w:rsid w:val="00FA7388"/>
    <w:rsid w:val="00FB283B"/>
    <w:rsid w:val="00FB2A7B"/>
    <w:rsid w:val="00FB39E3"/>
    <w:rsid w:val="00FB6525"/>
    <w:rsid w:val="00FB788F"/>
    <w:rsid w:val="00FC2E15"/>
    <w:rsid w:val="00FC75A5"/>
    <w:rsid w:val="00FD292E"/>
    <w:rsid w:val="00FD3D34"/>
    <w:rsid w:val="00FD4BE6"/>
    <w:rsid w:val="00FD66BD"/>
    <w:rsid w:val="00FE0A5E"/>
    <w:rsid w:val="00FE1EC2"/>
    <w:rsid w:val="00FE22E6"/>
    <w:rsid w:val="00FE25E7"/>
    <w:rsid w:val="00FE5304"/>
    <w:rsid w:val="00FF1C6F"/>
    <w:rsid w:val="00FF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19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28C"/>
    <w:pPr>
      <w:ind w:leftChars="400" w:left="840"/>
    </w:pPr>
  </w:style>
  <w:style w:type="table" w:styleId="a4">
    <w:name w:val="Table Grid"/>
    <w:basedOn w:val="a1"/>
    <w:uiPriority w:val="39"/>
    <w:rsid w:val="0067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74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7474"/>
    <w:rPr>
      <w:rFonts w:asciiTheme="majorHAnsi" w:eastAsiaTheme="majorEastAsia" w:hAnsiTheme="majorHAnsi" w:cstheme="majorBidi"/>
      <w:sz w:val="18"/>
      <w:szCs w:val="18"/>
    </w:rPr>
  </w:style>
  <w:style w:type="paragraph" w:styleId="a7">
    <w:name w:val="header"/>
    <w:basedOn w:val="a"/>
    <w:link w:val="a8"/>
    <w:uiPriority w:val="99"/>
    <w:unhideWhenUsed/>
    <w:rsid w:val="00DD3190"/>
    <w:pPr>
      <w:tabs>
        <w:tab w:val="center" w:pos="4252"/>
        <w:tab w:val="right" w:pos="8504"/>
      </w:tabs>
      <w:snapToGrid w:val="0"/>
    </w:pPr>
  </w:style>
  <w:style w:type="character" w:customStyle="1" w:styleId="a8">
    <w:name w:val="ヘッダー (文字)"/>
    <w:basedOn w:val="a0"/>
    <w:link w:val="a7"/>
    <w:uiPriority w:val="99"/>
    <w:rsid w:val="00DD3190"/>
  </w:style>
  <w:style w:type="paragraph" w:styleId="a9">
    <w:name w:val="footer"/>
    <w:basedOn w:val="a"/>
    <w:link w:val="aa"/>
    <w:uiPriority w:val="99"/>
    <w:unhideWhenUsed/>
    <w:rsid w:val="00DD3190"/>
    <w:pPr>
      <w:tabs>
        <w:tab w:val="center" w:pos="4252"/>
        <w:tab w:val="right" w:pos="8504"/>
      </w:tabs>
      <w:snapToGrid w:val="0"/>
    </w:pPr>
  </w:style>
  <w:style w:type="character" w:customStyle="1" w:styleId="aa">
    <w:name w:val="フッター (文字)"/>
    <w:basedOn w:val="a0"/>
    <w:link w:val="a9"/>
    <w:uiPriority w:val="99"/>
    <w:rsid w:val="00DD3190"/>
  </w:style>
  <w:style w:type="paragraph" w:styleId="Web">
    <w:name w:val="Normal (Web)"/>
    <w:basedOn w:val="a"/>
    <w:uiPriority w:val="99"/>
    <w:unhideWhenUsed/>
    <w:rsid w:val="00A442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0096">
      <w:bodyDiv w:val="1"/>
      <w:marLeft w:val="0"/>
      <w:marRight w:val="0"/>
      <w:marTop w:val="0"/>
      <w:marBottom w:val="0"/>
      <w:divBdr>
        <w:top w:val="none" w:sz="0" w:space="0" w:color="auto"/>
        <w:left w:val="none" w:sz="0" w:space="0" w:color="auto"/>
        <w:bottom w:val="none" w:sz="0" w:space="0" w:color="auto"/>
        <w:right w:val="none" w:sz="0" w:space="0" w:color="auto"/>
      </w:divBdr>
    </w:div>
    <w:div w:id="350570691">
      <w:bodyDiv w:val="1"/>
      <w:marLeft w:val="0"/>
      <w:marRight w:val="0"/>
      <w:marTop w:val="0"/>
      <w:marBottom w:val="0"/>
      <w:divBdr>
        <w:top w:val="none" w:sz="0" w:space="0" w:color="auto"/>
        <w:left w:val="none" w:sz="0" w:space="0" w:color="auto"/>
        <w:bottom w:val="none" w:sz="0" w:space="0" w:color="auto"/>
        <w:right w:val="none" w:sz="0" w:space="0" w:color="auto"/>
      </w:divBdr>
    </w:div>
    <w:div w:id="585459411">
      <w:bodyDiv w:val="1"/>
      <w:marLeft w:val="0"/>
      <w:marRight w:val="0"/>
      <w:marTop w:val="0"/>
      <w:marBottom w:val="0"/>
      <w:divBdr>
        <w:top w:val="none" w:sz="0" w:space="0" w:color="auto"/>
        <w:left w:val="none" w:sz="0" w:space="0" w:color="auto"/>
        <w:bottom w:val="none" w:sz="0" w:space="0" w:color="auto"/>
        <w:right w:val="none" w:sz="0" w:space="0" w:color="auto"/>
      </w:divBdr>
    </w:div>
    <w:div w:id="618076243">
      <w:bodyDiv w:val="1"/>
      <w:marLeft w:val="0"/>
      <w:marRight w:val="0"/>
      <w:marTop w:val="0"/>
      <w:marBottom w:val="0"/>
      <w:divBdr>
        <w:top w:val="none" w:sz="0" w:space="0" w:color="auto"/>
        <w:left w:val="none" w:sz="0" w:space="0" w:color="auto"/>
        <w:bottom w:val="none" w:sz="0" w:space="0" w:color="auto"/>
        <w:right w:val="none" w:sz="0" w:space="0" w:color="auto"/>
      </w:divBdr>
    </w:div>
    <w:div w:id="708992026">
      <w:bodyDiv w:val="1"/>
      <w:marLeft w:val="0"/>
      <w:marRight w:val="0"/>
      <w:marTop w:val="0"/>
      <w:marBottom w:val="0"/>
      <w:divBdr>
        <w:top w:val="none" w:sz="0" w:space="0" w:color="auto"/>
        <w:left w:val="none" w:sz="0" w:space="0" w:color="auto"/>
        <w:bottom w:val="none" w:sz="0" w:space="0" w:color="auto"/>
        <w:right w:val="none" w:sz="0" w:space="0" w:color="auto"/>
      </w:divBdr>
    </w:div>
    <w:div w:id="738283057">
      <w:bodyDiv w:val="1"/>
      <w:marLeft w:val="0"/>
      <w:marRight w:val="0"/>
      <w:marTop w:val="0"/>
      <w:marBottom w:val="0"/>
      <w:divBdr>
        <w:top w:val="none" w:sz="0" w:space="0" w:color="auto"/>
        <w:left w:val="none" w:sz="0" w:space="0" w:color="auto"/>
        <w:bottom w:val="none" w:sz="0" w:space="0" w:color="auto"/>
        <w:right w:val="none" w:sz="0" w:space="0" w:color="auto"/>
      </w:divBdr>
    </w:div>
    <w:div w:id="812792833">
      <w:bodyDiv w:val="1"/>
      <w:marLeft w:val="0"/>
      <w:marRight w:val="0"/>
      <w:marTop w:val="0"/>
      <w:marBottom w:val="0"/>
      <w:divBdr>
        <w:top w:val="none" w:sz="0" w:space="0" w:color="auto"/>
        <w:left w:val="none" w:sz="0" w:space="0" w:color="auto"/>
        <w:bottom w:val="none" w:sz="0" w:space="0" w:color="auto"/>
        <w:right w:val="none" w:sz="0" w:space="0" w:color="auto"/>
      </w:divBdr>
    </w:div>
    <w:div w:id="1018506635">
      <w:bodyDiv w:val="1"/>
      <w:marLeft w:val="0"/>
      <w:marRight w:val="0"/>
      <w:marTop w:val="0"/>
      <w:marBottom w:val="0"/>
      <w:divBdr>
        <w:top w:val="none" w:sz="0" w:space="0" w:color="auto"/>
        <w:left w:val="none" w:sz="0" w:space="0" w:color="auto"/>
        <w:bottom w:val="none" w:sz="0" w:space="0" w:color="auto"/>
        <w:right w:val="none" w:sz="0" w:space="0" w:color="auto"/>
      </w:divBdr>
    </w:div>
    <w:div w:id="1531643152">
      <w:bodyDiv w:val="1"/>
      <w:marLeft w:val="0"/>
      <w:marRight w:val="0"/>
      <w:marTop w:val="0"/>
      <w:marBottom w:val="0"/>
      <w:divBdr>
        <w:top w:val="none" w:sz="0" w:space="0" w:color="auto"/>
        <w:left w:val="none" w:sz="0" w:space="0" w:color="auto"/>
        <w:bottom w:val="none" w:sz="0" w:space="0" w:color="auto"/>
        <w:right w:val="none" w:sz="0" w:space="0" w:color="auto"/>
      </w:divBdr>
    </w:div>
    <w:div w:id="1866168652">
      <w:bodyDiv w:val="1"/>
      <w:marLeft w:val="0"/>
      <w:marRight w:val="0"/>
      <w:marTop w:val="0"/>
      <w:marBottom w:val="0"/>
      <w:divBdr>
        <w:top w:val="none" w:sz="0" w:space="0" w:color="auto"/>
        <w:left w:val="none" w:sz="0" w:space="0" w:color="auto"/>
        <w:bottom w:val="none" w:sz="0" w:space="0" w:color="auto"/>
        <w:right w:val="none" w:sz="0" w:space="0" w:color="auto"/>
      </w:divBdr>
    </w:div>
    <w:div w:id="20061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2021-08-17T04:57:00Z</dcterms:created>
  <dcterms:modified xsi:type="dcterms:W3CDTF">2021-08-24T10:04:00Z</dcterms:modified>
</cp:coreProperties>
</file>