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35" w:rsidRPr="00E679FC" w:rsidRDefault="00E20635" w:rsidP="00E679FC">
      <w:pPr>
        <w:ind w:firstLineChars="600" w:firstLine="1928"/>
        <w:jc w:val="left"/>
        <w:rPr>
          <w:rFonts w:ascii="ＭＳ ゴシック" w:eastAsia="ＭＳ ゴシック" w:hAnsi="ＭＳ ゴシック"/>
          <w:b/>
          <w:sz w:val="32"/>
          <w:szCs w:val="32"/>
        </w:rPr>
      </w:pPr>
      <w:r w:rsidRPr="00E679FC">
        <w:rPr>
          <w:rFonts w:ascii="ＭＳ ゴシック" w:eastAsia="ＭＳ ゴシック" w:hAnsi="ＭＳ ゴシック" w:hint="eastAsia"/>
          <w:b/>
          <w:sz w:val="32"/>
          <w:szCs w:val="32"/>
        </w:rPr>
        <w:t>数値目標</w:t>
      </w:r>
      <w:r w:rsidR="00B07541" w:rsidRPr="00E679FC">
        <w:rPr>
          <w:rFonts w:ascii="ＭＳ ゴシック" w:eastAsia="ＭＳ ゴシック" w:hAnsi="ＭＳ ゴシック" w:hint="eastAsia"/>
          <w:b/>
          <w:sz w:val="32"/>
          <w:szCs w:val="32"/>
        </w:rPr>
        <w:t>設定に向けた</w:t>
      </w:r>
      <w:r w:rsidRPr="00E679FC">
        <w:rPr>
          <w:rFonts w:ascii="ＭＳ ゴシック" w:eastAsia="ＭＳ ゴシック" w:hAnsi="ＭＳ ゴシック" w:hint="eastAsia"/>
          <w:b/>
          <w:sz w:val="32"/>
          <w:szCs w:val="32"/>
        </w:rPr>
        <w:t>考え方</w:t>
      </w:r>
      <w:r w:rsidR="005F06F1" w:rsidRPr="00E679FC">
        <w:rPr>
          <w:rFonts w:ascii="ＭＳ ゴシック" w:eastAsia="ＭＳ ゴシック" w:hAnsi="ＭＳ ゴシック" w:hint="eastAsia"/>
          <w:b/>
          <w:sz w:val="32"/>
          <w:szCs w:val="32"/>
        </w:rPr>
        <w:t>（案）</w:t>
      </w:r>
      <w:r w:rsidR="00311F54">
        <w:rPr>
          <w:rFonts w:ascii="ＭＳ ゴシック" w:eastAsia="ＭＳ ゴシック" w:hAnsi="ＭＳ ゴシック" w:hint="eastAsia"/>
          <w:b/>
          <w:sz w:val="32"/>
          <w:szCs w:val="32"/>
        </w:rPr>
        <w:t xml:space="preserve">　　　　</w:t>
      </w:r>
    </w:p>
    <w:p w:rsidR="00F27A03" w:rsidRDefault="00F27A03" w:rsidP="00E20635">
      <w:pPr>
        <w:rPr>
          <w:rFonts w:ascii="ＭＳ ゴシック" w:eastAsia="ＭＳ ゴシック" w:hAnsi="ＭＳ ゴシック"/>
          <w:b/>
          <w:sz w:val="22"/>
          <w:shd w:val="pct15" w:color="auto" w:fill="FFFFFF"/>
        </w:rPr>
      </w:pPr>
    </w:p>
    <w:p w:rsidR="00DD698A" w:rsidRPr="00655B63" w:rsidRDefault="00DD698A" w:rsidP="00E20635">
      <w:pPr>
        <w:rPr>
          <w:rFonts w:ascii="ＭＳ ゴシック" w:eastAsia="ＭＳ ゴシック" w:hAnsi="ＭＳ ゴシック"/>
          <w:b/>
          <w:sz w:val="22"/>
          <w:shd w:val="pct15" w:color="auto" w:fill="FFFFFF"/>
        </w:rPr>
      </w:pPr>
      <w:r w:rsidRPr="00655B63">
        <w:rPr>
          <w:rFonts w:ascii="ＭＳ ゴシック" w:eastAsia="ＭＳ ゴシック" w:hAnsi="ＭＳ ゴシック" w:hint="eastAsia"/>
          <w:b/>
          <w:sz w:val="22"/>
          <w:shd w:val="pct15" w:color="auto" w:fill="FFFFFF"/>
        </w:rPr>
        <w:t xml:space="preserve">１　</w:t>
      </w:r>
      <w:r w:rsidR="00F25B3C" w:rsidRPr="00655B63">
        <w:rPr>
          <w:rFonts w:ascii="ＭＳ ゴシック" w:eastAsia="ＭＳ ゴシック" w:hAnsi="ＭＳ ゴシック" w:hint="eastAsia"/>
          <w:b/>
          <w:sz w:val="22"/>
          <w:shd w:val="pct15" w:color="auto" w:fill="FFFFFF"/>
        </w:rPr>
        <w:t>数値目標設定に係る</w:t>
      </w:r>
      <w:r w:rsidRPr="00655B63">
        <w:rPr>
          <w:rFonts w:ascii="ＭＳ ゴシック" w:eastAsia="ＭＳ ゴシック" w:hAnsi="ＭＳ ゴシック" w:hint="eastAsia"/>
          <w:b/>
          <w:sz w:val="22"/>
          <w:shd w:val="pct15" w:color="auto" w:fill="FFFFFF"/>
        </w:rPr>
        <w:t>審議会委員の意見</w:t>
      </w:r>
    </w:p>
    <w:p w:rsidR="00DD698A" w:rsidRDefault="009079F5" w:rsidP="00E20635">
      <w:pPr>
        <w:rPr>
          <w:rFonts w:ascii="ＭＳ ゴシック" w:eastAsia="ＭＳ ゴシック" w:hAnsi="ＭＳ ゴシック"/>
        </w:rPr>
      </w:pPr>
      <w:r>
        <w:rPr>
          <w:rFonts w:ascii="ＭＳ ゴシック" w:eastAsia="ＭＳ ゴシック" w:hAnsi="ＭＳ ゴシック" w:hint="eastAsia"/>
        </w:rPr>
        <w:t xml:space="preserve">　・計画には検証が必要。具体的な数値目標を設定し毎年度ごとの検証をすべき</w:t>
      </w:r>
      <w:r w:rsidR="00153B1C">
        <w:rPr>
          <w:rFonts w:ascii="ＭＳ ゴシック" w:eastAsia="ＭＳ ゴシック" w:hAnsi="ＭＳ ゴシック" w:hint="eastAsia"/>
        </w:rPr>
        <w:t>。</w:t>
      </w:r>
    </w:p>
    <w:p w:rsidR="009079F5" w:rsidRDefault="009079F5" w:rsidP="009079F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・５年間を見通した重点課題と目標を設定し、そのチェックと見直しをしていくことで、計画的に施策を推進できる計画にすべき。</w:t>
      </w:r>
    </w:p>
    <w:p w:rsidR="00DD698A" w:rsidRDefault="009079F5" w:rsidP="009079F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・府の状況を踏まえて、具体的なめざす状況、数値目標などを設定することが最重要でこれを計画期間中に達成するために施策がある。</w:t>
      </w:r>
    </w:p>
    <w:p w:rsidR="009079F5" w:rsidRDefault="009079F5" w:rsidP="009079F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・「重要目標達成指標（ＫＧＩ</w:t>
      </w:r>
      <w:r w:rsidR="00C01034">
        <w:rPr>
          <w:rFonts w:ascii="ＭＳ ゴシック" w:eastAsia="ＭＳ ゴシック" w:hAnsi="ＭＳ ゴシック" w:hint="eastAsia"/>
        </w:rPr>
        <w:t>※</w:t>
      </w:r>
      <w:r w:rsidR="00C01034" w:rsidRPr="00C01034">
        <w:rPr>
          <w:rFonts w:ascii="ＭＳ ゴシック" w:eastAsia="ＭＳ ゴシック" w:hAnsi="ＭＳ ゴシック" w:hint="eastAsia"/>
          <w:vertAlign w:val="subscript"/>
        </w:rPr>
        <w:t>１</w:t>
      </w:r>
      <w:r>
        <w:rPr>
          <w:rFonts w:ascii="ＭＳ ゴシック" w:eastAsia="ＭＳ ゴシック" w:hAnsi="ＭＳ ゴシック" w:hint="eastAsia"/>
        </w:rPr>
        <w:t>）</w:t>
      </w:r>
      <w:r w:rsidR="00311F54">
        <w:rPr>
          <w:rFonts w:ascii="ＭＳ ゴシック" w:eastAsia="ＭＳ ゴシック" w:hAnsi="ＭＳ ゴシック" w:hint="eastAsia"/>
        </w:rPr>
        <w:t>」</w:t>
      </w:r>
      <w:r>
        <w:rPr>
          <w:rFonts w:ascii="ＭＳ ゴシック" w:eastAsia="ＭＳ ゴシック" w:hAnsi="ＭＳ ゴシック" w:hint="eastAsia"/>
        </w:rPr>
        <w:t>を設定してはどうか。またそれを具体化していくために「重要達成度評価指標（ＫＰＩ</w:t>
      </w:r>
      <w:r w:rsidR="00C01034">
        <w:rPr>
          <w:rFonts w:ascii="ＭＳ ゴシック" w:eastAsia="ＭＳ ゴシック" w:hAnsi="ＭＳ ゴシック" w:hint="eastAsia"/>
        </w:rPr>
        <w:t>※</w:t>
      </w:r>
      <w:r w:rsidR="00C01034" w:rsidRPr="00C01034">
        <w:rPr>
          <w:rFonts w:ascii="ＭＳ ゴシック" w:eastAsia="ＭＳ ゴシック" w:hAnsi="ＭＳ ゴシック" w:hint="eastAsia"/>
          <w:vertAlign w:val="subscript"/>
        </w:rPr>
        <w:t>２</w:t>
      </w:r>
      <w:r>
        <w:rPr>
          <w:rFonts w:ascii="ＭＳ ゴシック" w:eastAsia="ＭＳ ゴシック" w:hAnsi="ＭＳ ゴシック" w:hint="eastAsia"/>
        </w:rPr>
        <w:t>）</w:t>
      </w:r>
      <w:r w:rsidR="00596342">
        <w:rPr>
          <w:rFonts w:ascii="ＭＳ ゴシック" w:eastAsia="ＭＳ ゴシック" w:hAnsi="ＭＳ ゴシック" w:hint="eastAsia"/>
        </w:rPr>
        <w:t>」</w:t>
      </w:r>
      <w:r>
        <w:rPr>
          <w:rFonts w:ascii="ＭＳ ゴシック" w:eastAsia="ＭＳ ゴシック" w:hAnsi="ＭＳ ゴシック" w:hint="eastAsia"/>
        </w:rPr>
        <w:t>を設定してはどうか。</w:t>
      </w:r>
    </w:p>
    <w:p w:rsidR="009079F5" w:rsidRPr="009079F5" w:rsidRDefault="009079F5" w:rsidP="009079F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・政策の実施状況のモニタリングは重要であるけれども、過度な負担を実施者に負わせることには注意が必要である。あまりに細かな分析はかえって論じるべき点が見えにくくなる。</w:t>
      </w:r>
    </w:p>
    <w:p w:rsidR="00C01034" w:rsidRDefault="00C01034" w:rsidP="00C01034">
      <w:pPr>
        <w:ind w:left="210" w:hangingChars="100" w:hanging="21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101600</wp:posOffset>
                </wp:positionV>
                <wp:extent cx="6276975" cy="838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76975" cy="838200"/>
                        </a:xfrm>
                        <a:prstGeom prst="rect">
                          <a:avLst/>
                        </a:prstGeom>
                        <a:solidFill>
                          <a:schemeClr val="lt1"/>
                        </a:solidFill>
                        <a:ln w="6350">
                          <a:solidFill>
                            <a:prstClr val="black"/>
                          </a:solidFill>
                          <a:prstDash val="sysDot"/>
                        </a:ln>
                      </wps:spPr>
                      <wps:txbx>
                        <w:txbxContent>
                          <w:p w:rsidR="00C01034" w:rsidRPr="00C01034" w:rsidRDefault="00C01034" w:rsidP="00C01034">
                            <w:pPr>
                              <w:ind w:left="200" w:hangingChars="100" w:hanging="200"/>
                              <w:rPr>
                                <w:rFonts w:ascii="ＭＳ ゴシック" w:eastAsia="ＭＳ ゴシック" w:hAnsi="ＭＳ ゴシック"/>
                                <w:sz w:val="20"/>
                                <w:szCs w:val="20"/>
                              </w:rPr>
                            </w:pPr>
                            <w:r w:rsidRPr="00C01034">
                              <w:rPr>
                                <w:rFonts w:ascii="ＭＳ ゴシック" w:eastAsia="ＭＳ ゴシック" w:hAnsi="ＭＳ ゴシック" w:hint="eastAsia"/>
                                <w:sz w:val="20"/>
                                <w:szCs w:val="20"/>
                              </w:rPr>
                              <w:t>※</w:t>
                            </w:r>
                            <w:r w:rsidRPr="00C01034">
                              <w:rPr>
                                <w:rFonts w:ascii="ＭＳ ゴシック" w:eastAsia="ＭＳ ゴシック" w:hAnsi="ＭＳ ゴシック" w:hint="eastAsia"/>
                                <w:sz w:val="20"/>
                                <w:szCs w:val="20"/>
                                <w:vertAlign w:val="subscript"/>
                              </w:rPr>
                              <w:t>１</w:t>
                            </w:r>
                            <w:r w:rsidRPr="00C01034">
                              <w:rPr>
                                <w:rFonts w:ascii="ＭＳ ゴシック" w:eastAsia="ＭＳ ゴシック" w:hAnsi="ＭＳ ゴシック" w:hint="eastAsia"/>
                                <w:sz w:val="20"/>
                                <w:szCs w:val="20"/>
                              </w:rPr>
                              <w:t xml:space="preserve">　ＫＧＩ（</w:t>
                            </w:r>
                            <w:r w:rsidRPr="00C01034">
                              <w:rPr>
                                <w:rFonts w:ascii="ＭＳ ゴシック" w:eastAsia="ＭＳ ゴシック" w:hAnsi="ＭＳ ゴシック"/>
                                <w:sz w:val="20"/>
                                <w:szCs w:val="20"/>
                              </w:rPr>
                              <w:t>Key Goal Indicator</w:t>
                            </w:r>
                            <w:r w:rsidRPr="00C010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重要目標（</w:t>
                            </w:r>
                            <w:r w:rsidRPr="00C01034">
                              <w:rPr>
                                <w:rFonts w:ascii="ＭＳ ゴシック" w:eastAsia="ＭＳ ゴシック" w:hAnsi="ＭＳ ゴシック" w:hint="eastAsia"/>
                                <w:sz w:val="20"/>
                                <w:szCs w:val="20"/>
                              </w:rPr>
                              <w:t>最終的な到達目標</w:t>
                            </w:r>
                            <w:r>
                              <w:rPr>
                                <w:rFonts w:ascii="ＭＳ ゴシック" w:eastAsia="ＭＳ ゴシック" w:hAnsi="ＭＳ ゴシック" w:hint="eastAsia"/>
                                <w:sz w:val="20"/>
                                <w:szCs w:val="20"/>
                              </w:rPr>
                              <w:t>）</w:t>
                            </w:r>
                            <w:r w:rsidRPr="00C01034">
                              <w:rPr>
                                <w:rFonts w:ascii="ＭＳ ゴシック" w:eastAsia="ＭＳ ゴシック" w:hAnsi="ＭＳ ゴシック" w:hint="eastAsia"/>
                                <w:sz w:val="20"/>
                                <w:szCs w:val="20"/>
                              </w:rPr>
                              <w:t>の達成度合いを検証するための指標</w:t>
                            </w:r>
                          </w:p>
                          <w:p w:rsidR="00C01034" w:rsidRPr="00C01034" w:rsidRDefault="00C01034" w:rsidP="00C01034">
                            <w:pPr>
                              <w:ind w:left="600" w:hangingChars="300" w:hanging="600"/>
                              <w:rPr>
                                <w:rFonts w:ascii="ＭＳ ゴシック" w:eastAsia="ＭＳ ゴシック" w:hAnsi="ＭＳ ゴシック"/>
                                <w:sz w:val="20"/>
                                <w:szCs w:val="20"/>
                              </w:rPr>
                            </w:pPr>
                            <w:r w:rsidRPr="00C01034">
                              <w:rPr>
                                <w:rFonts w:ascii="ＭＳ ゴシック" w:eastAsia="ＭＳ ゴシック" w:hAnsi="ＭＳ ゴシック" w:hint="eastAsia"/>
                                <w:sz w:val="20"/>
                                <w:szCs w:val="20"/>
                              </w:rPr>
                              <w:t>※</w:t>
                            </w:r>
                            <w:r w:rsidRPr="00C01034">
                              <w:rPr>
                                <w:rFonts w:ascii="ＭＳ ゴシック" w:eastAsia="ＭＳ ゴシック" w:hAnsi="ＭＳ ゴシック" w:hint="eastAsia"/>
                                <w:sz w:val="20"/>
                                <w:szCs w:val="20"/>
                                <w:vertAlign w:val="subscript"/>
                              </w:rPr>
                              <w:t>２</w:t>
                            </w:r>
                            <w:r w:rsidRPr="00C01034">
                              <w:rPr>
                                <w:rFonts w:ascii="ＭＳ ゴシック" w:eastAsia="ＭＳ ゴシック" w:hAnsi="ＭＳ ゴシック" w:hint="eastAsia"/>
                                <w:sz w:val="20"/>
                                <w:szCs w:val="20"/>
                              </w:rPr>
                              <w:t xml:space="preserve">　ＫＰＩ（Key </w:t>
                            </w:r>
                            <w:r w:rsidRPr="00C01034">
                              <w:rPr>
                                <w:rFonts w:ascii="ＭＳ ゴシック" w:eastAsia="ＭＳ ゴシック" w:hAnsi="ＭＳ ゴシック"/>
                                <w:sz w:val="20"/>
                                <w:szCs w:val="20"/>
                              </w:rPr>
                              <w:t>P</w:t>
                            </w:r>
                            <w:r w:rsidRPr="00C01034">
                              <w:rPr>
                                <w:rFonts w:ascii="ＭＳ ゴシック" w:eastAsia="ＭＳ ゴシック" w:hAnsi="ＭＳ ゴシック" w:hint="eastAsia"/>
                                <w:sz w:val="20"/>
                                <w:szCs w:val="20"/>
                              </w:rPr>
                              <w:t>erformance Indicator</w:t>
                            </w:r>
                            <w:r w:rsidRPr="00C01034">
                              <w:rPr>
                                <w:rFonts w:ascii="ＭＳ ゴシック" w:eastAsia="ＭＳ ゴシック" w:hAnsi="ＭＳ ゴシック"/>
                                <w:sz w:val="20"/>
                                <w:szCs w:val="20"/>
                              </w:rPr>
                              <w:t>）</w:t>
                            </w:r>
                            <w:r w:rsidRPr="00C01034">
                              <w:rPr>
                                <w:rFonts w:ascii="ＭＳ ゴシック" w:eastAsia="ＭＳ ゴシック" w:hAnsi="ＭＳ ゴシック" w:hint="eastAsia"/>
                                <w:sz w:val="20"/>
                                <w:szCs w:val="20"/>
                              </w:rPr>
                              <w:t>は、重要目標達成に向けた過程を計測する中間指標。ＫＧＩを到達するための過程としてＫＰＩを設計する。</w:t>
                            </w:r>
                          </w:p>
                          <w:p w:rsidR="00C01034" w:rsidRPr="00C01034" w:rsidRDefault="00C01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8pt;width:494.2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" fillcolor="white [3201]" strokeweight=".5pt">
                <v:stroke dashstyle="1 1"/>
                <v:textbox>
                  <w:txbxContent>
                    <w:p w:rsidR="00C01034" w:rsidRPr="00C01034" w:rsidRDefault="00C01034" w:rsidP="00C01034">
                      <w:pPr>
                        <w:ind w:left="200" w:hangingChars="100" w:hanging="200"/>
                        <w:rPr>
                          <w:rFonts w:ascii="ＭＳ ゴシック" w:eastAsia="ＭＳ ゴシック" w:hAnsi="ＭＳ ゴシック" w:hint="eastAsia"/>
                          <w:sz w:val="20"/>
                          <w:szCs w:val="20"/>
                        </w:rPr>
                      </w:pPr>
                      <w:r w:rsidRPr="00C01034">
                        <w:rPr>
                          <w:rFonts w:ascii="ＭＳ ゴシック" w:eastAsia="ＭＳ ゴシック" w:hAnsi="ＭＳ ゴシック" w:hint="eastAsia"/>
                          <w:sz w:val="20"/>
                          <w:szCs w:val="20"/>
                        </w:rPr>
                        <w:t>※</w:t>
                      </w:r>
                      <w:r w:rsidRPr="00C01034">
                        <w:rPr>
                          <w:rFonts w:ascii="ＭＳ ゴシック" w:eastAsia="ＭＳ ゴシック" w:hAnsi="ＭＳ ゴシック" w:hint="eastAsia"/>
                          <w:sz w:val="20"/>
                          <w:szCs w:val="20"/>
                          <w:vertAlign w:val="subscript"/>
                        </w:rPr>
                        <w:t>１</w:t>
                      </w:r>
                      <w:r w:rsidRPr="00C01034">
                        <w:rPr>
                          <w:rFonts w:ascii="ＭＳ ゴシック" w:eastAsia="ＭＳ ゴシック" w:hAnsi="ＭＳ ゴシック" w:hint="eastAsia"/>
                          <w:sz w:val="20"/>
                          <w:szCs w:val="20"/>
                        </w:rPr>
                        <w:t xml:space="preserve">　ＫＧＩ（</w:t>
                      </w:r>
                      <w:r w:rsidRPr="00C01034">
                        <w:rPr>
                          <w:rFonts w:ascii="ＭＳ ゴシック" w:eastAsia="ＭＳ ゴシック" w:hAnsi="ＭＳ ゴシック"/>
                          <w:sz w:val="20"/>
                          <w:szCs w:val="20"/>
                        </w:rPr>
                        <w:t>Key Goal Indicator</w:t>
                      </w:r>
                      <w:r w:rsidRPr="00C0103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重要目標（</w:t>
                      </w:r>
                      <w:r w:rsidRPr="00C01034">
                        <w:rPr>
                          <w:rFonts w:ascii="ＭＳ ゴシック" w:eastAsia="ＭＳ ゴシック" w:hAnsi="ＭＳ ゴシック" w:hint="eastAsia"/>
                          <w:sz w:val="20"/>
                          <w:szCs w:val="20"/>
                        </w:rPr>
                        <w:t>最終的な到達目標</w:t>
                      </w:r>
                      <w:r>
                        <w:rPr>
                          <w:rFonts w:ascii="ＭＳ ゴシック" w:eastAsia="ＭＳ ゴシック" w:hAnsi="ＭＳ ゴシック" w:hint="eastAsia"/>
                          <w:sz w:val="20"/>
                          <w:szCs w:val="20"/>
                        </w:rPr>
                        <w:t>）</w:t>
                      </w:r>
                      <w:r w:rsidRPr="00C01034">
                        <w:rPr>
                          <w:rFonts w:ascii="ＭＳ ゴシック" w:eastAsia="ＭＳ ゴシック" w:hAnsi="ＭＳ ゴシック" w:hint="eastAsia"/>
                          <w:sz w:val="20"/>
                          <w:szCs w:val="20"/>
                        </w:rPr>
                        <w:t>の達成度合いを検証するための指標</w:t>
                      </w:r>
                    </w:p>
                    <w:p w:rsidR="00C01034" w:rsidRPr="00C01034" w:rsidRDefault="00C01034" w:rsidP="00C01034">
                      <w:pPr>
                        <w:ind w:left="600" w:hangingChars="300" w:hanging="600"/>
                        <w:rPr>
                          <w:rFonts w:ascii="ＭＳ ゴシック" w:eastAsia="ＭＳ ゴシック" w:hAnsi="ＭＳ ゴシック"/>
                          <w:sz w:val="20"/>
                          <w:szCs w:val="20"/>
                        </w:rPr>
                      </w:pPr>
                      <w:r w:rsidRPr="00C01034">
                        <w:rPr>
                          <w:rFonts w:ascii="ＭＳ ゴシック" w:eastAsia="ＭＳ ゴシック" w:hAnsi="ＭＳ ゴシック" w:hint="eastAsia"/>
                          <w:sz w:val="20"/>
                          <w:szCs w:val="20"/>
                        </w:rPr>
                        <w:t>※</w:t>
                      </w:r>
                      <w:r w:rsidRPr="00C01034">
                        <w:rPr>
                          <w:rFonts w:ascii="ＭＳ ゴシック" w:eastAsia="ＭＳ ゴシック" w:hAnsi="ＭＳ ゴシック" w:hint="eastAsia"/>
                          <w:sz w:val="20"/>
                          <w:szCs w:val="20"/>
                          <w:vertAlign w:val="subscript"/>
                        </w:rPr>
                        <w:t>２</w:t>
                      </w:r>
                      <w:r w:rsidRPr="00C01034">
                        <w:rPr>
                          <w:rFonts w:ascii="ＭＳ ゴシック" w:eastAsia="ＭＳ ゴシック" w:hAnsi="ＭＳ ゴシック" w:hint="eastAsia"/>
                          <w:sz w:val="20"/>
                          <w:szCs w:val="20"/>
                        </w:rPr>
                        <w:t xml:space="preserve">　ＫＰＩ（Key </w:t>
                      </w:r>
                      <w:r w:rsidRPr="00C01034">
                        <w:rPr>
                          <w:rFonts w:ascii="ＭＳ ゴシック" w:eastAsia="ＭＳ ゴシック" w:hAnsi="ＭＳ ゴシック"/>
                          <w:sz w:val="20"/>
                          <w:szCs w:val="20"/>
                        </w:rPr>
                        <w:t>P</w:t>
                      </w:r>
                      <w:r w:rsidRPr="00C01034">
                        <w:rPr>
                          <w:rFonts w:ascii="ＭＳ ゴシック" w:eastAsia="ＭＳ ゴシック" w:hAnsi="ＭＳ ゴシック" w:hint="eastAsia"/>
                          <w:sz w:val="20"/>
                          <w:szCs w:val="20"/>
                        </w:rPr>
                        <w:t>erformance Indicator</w:t>
                      </w:r>
                      <w:r w:rsidRPr="00C01034">
                        <w:rPr>
                          <w:rFonts w:ascii="ＭＳ ゴシック" w:eastAsia="ＭＳ ゴシック" w:hAnsi="ＭＳ ゴシック"/>
                          <w:sz w:val="20"/>
                          <w:szCs w:val="20"/>
                        </w:rPr>
                        <w:t>）</w:t>
                      </w:r>
                      <w:r w:rsidRPr="00C01034">
                        <w:rPr>
                          <w:rFonts w:ascii="ＭＳ ゴシック" w:eastAsia="ＭＳ ゴシック" w:hAnsi="ＭＳ ゴシック" w:hint="eastAsia"/>
                          <w:sz w:val="20"/>
                          <w:szCs w:val="20"/>
                        </w:rPr>
                        <w:t>は、重要目標達成に向けた過程を計測する中間指標。ＫＧＩを到達するための過程としてＫＰＩを設計する。</w:t>
                      </w:r>
                    </w:p>
                    <w:p w:rsidR="00C01034" w:rsidRPr="00C01034" w:rsidRDefault="00C01034"/>
                  </w:txbxContent>
                </v:textbox>
              </v:shape>
            </w:pict>
          </mc:Fallback>
        </mc:AlternateContent>
      </w:r>
    </w:p>
    <w:p w:rsidR="00C01034" w:rsidRDefault="00C01034" w:rsidP="00C01034">
      <w:pPr>
        <w:ind w:left="200" w:hangingChars="100" w:hanging="200"/>
        <w:rPr>
          <w:rFonts w:ascii="ＭＳ ゴシック" w:eastAsia="ＭＳ ゴシック" w:hAnsi="ＭＳ ゴシック"/>
          <w:sz w:val="20"/>
          <w:szCs w:val="20"/>
        </w:rPr>
      </w:pPr>
    </w:p>
    <w:p w:rsidR="00C01034" w:rsidRDefault="00C01034" w:rsidP="00C01034">
      <w:pPr>
        <w:ind w:left="200" w:hangingChars="100" w:hanging="200"/>
        <w:rPr>
          <w:rFonts w:ascii="ＭＳ ゴシック" w:eastAsia="ＭＳ ゴシック" w:hAnsi="ＭＳ ゴシック"/>
          <w:sz w:val="20"/>
          <w:szCs w:val="20"/>
        </w:rPr>
      </w:pPr>
    </w:p>
    <w:p w:rsidR="00C01034" w:rsidRDefault="00C01034" w:rsidP="00C01034">
      <w:pPr>
        <w:ind w:left="200" w:hangingChars="100" w:hanging="200"/>
        <w:rPr>
          <w:rFonts w:ascii="ＭＳ ゴシック" w:eastAsia="ＭＳ ゴシック" w:hAnsi="ＭＳ ゴシック"/>
          <w:sz w:val="20"/>
          <w:szCs w:val="20"/>
        </w:rPr>
      </w:pPr>
    </w:p>
    <w:p w:rsidR="00C01034" w:rsidRDefault="00C01034" w:rsidP="00C01034">
      <w:pPr>
        <w:ind w:left="200" w:hangingChars="100" w:hanging="200"/>
        <w:rPr>
          <w:rFonts w:ascii="ＭＳ ゴシック" w:eastAsia="ＭＳ ゴシック" w:hAnsi="ＭＳ ゴシック"/>
          <w:sz w:val="20"/>
          <w:szCs w:val="20"/>
        </w:rPr>
      </w:pPr>
    </w:p>
    <w:p w:rsidR="00DD698A" w:rsidRPr="00655B63" w:rsidRDefault="00E679FC" w:rsidP="00E20635">
      <w:pPr>
        <w:rPr>
          <w:rFonts w:ascii="ＭＳ ゴシック" w:eastAsia="ＭＳ ゴシック" w:hAnsi="ＭＳ ゴシック"/>
          <w:b/>
          <w:sz w:val="22"/>
          <w:shd w:val="pct15" w:color="auto" w:fill="FFFFFF"/>
        </w:rPr>
      </w:pPr>
      <w:r w:rsidRPr="00655B63">
        <w:rPr>
          <w:rFonts w:ascii="ＭＳ ゴシック" w:eastAsia="ＭＳ ゴシック" w:hAnsi="ＭＳ ゴシック" w:hint="eastAsia"/>
          <w:b/>
          <w:sz w:val="22"/>
          <w:shd w:val="pct15" w:color="auto" w:fill="FFFFFF"/>
        </w:rPr>
        <w:t>２</w:t>
      </w:r>
      <w:r w:rsidR="00DD698A" w:rsidRPr="00655B63">
        <w:rPr>
          <w:rFonts w:ascii="ＭＳ ゴシック" w:eastAsia="ＭＳ ゴシック" w:hAnsi="ＭＳ ゴシック" w:hint="eastAsia"/>
          <w:b/>
          <w:sz w:val="22"/>
          <w:shd w:val="pct15" w:color="auto" w:fill="FFFFFF"/>
        </w:rPr>
        <w:t xml:space="preserve">　消費者庁が設定している政策目標</w:t>
      </w:r>
      <w:r w:rsidR="003E66BE">
        <w:rPr>
          <w:rFonts w:ascii="ＭＳ ゴシック" w:eastAsia="ＭＳ ゴシック" w:hAnsi="ＭＳ ゴシック" w:hint="eastAsia"/>
          <w:b/>
          <w:sz w:val="22"/>
          <w:shd w:val="pct15" w:color="auto" w:fill="FFFFFF"/>
        </w:rPr>
        <w:t>と府の実績</w:t>
      </w:r>
    </w:p>
    <w:p w:rsidR="00B21F08" w:rsidRDefault="00596342" w:rsidP="00E20635">
      <w:pPr>
        <w:rPr>
          <w:rFonts w:ascii="ＭＳ ゴシック" w:eastAsia="ＭＳ ゴシック" w:hAnsi="ＭＳ ゴシック"/>
        </w:rPr>
      </w:pPr>
      <w:r>
        <w:rPr>
          <w:rFonts w:ascii="ＭＳ ゴシック" w:eastAsia="ＭＳ ゴシック" w:hAnsi="ＭＳ ゴシック" w:hint="eastAsia"/>
        </w:rPr>
        <w:t xml:space="preserve">　　</w:t>
      </w:r>
      <w:r w:rsidR="00B21F08">
        <w:rPr>
          <w:rFonts w:ascii="ＭＳ ゴシック" w:eastAsia="ＭＳ ゴシック" w:hAnsi="ＭＳ ゴシック" w:hint="eastAsia"/>
        </w:rPr>
        <w:t>大阪府消費者基本計画（第2期）骨子案修正版Ｐ１８</w:t>
      </w:r>
    </w:p>
    <w:p w:rsidR="00DD698A" w:rsidRDefault="00B21F08" w:rsidP="00B21F08">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DE5143">
        <w:rPr>
          <w:rFonts w:ascii="ＭＳ ゴシック" w:eastAsia="ＭＳ ゴシック" w:hAnsi="ＭＳ ゴシック" w:hint="eastAsia"/>
        </w:rPr>
        <w:t>国の地方消費者行政強化作戦</w:t>
      </w:r>
      <w:r>
        <w:rPr>
          <w:rFonts w:ascii="ＭＳ ゴシック" w:eastAsia="ＭＳ ゴシック" w:hAnsi="ＭＳ ゴシック" w:hint="eastAsia"/>
        </w:rPr>
        <w:t>における府の状況</w:t>
      </w:r>
    </w:p>
    <w:p w:rsidR="00DD698A" w:rsidRDefault="00DD698A" w:rsidP="00E20635">
      <w:pPr>
        <w:rPr>
          <w:rFonts w:ascii="ＭＳ ゴシック" w:eastAsia="ＭＳ ゴシック" w:hAnsi="ＭＳ ゴシック"/>
        </w:rPr>
      </w:pPr>
    </w:p>
    <w:p w:rsidR="00DD698A" w:rsidRDefault="00E679FC" w:rsidP="00B23FD5">
      <w:pPr>
        <w:ind w:left="2650" w:hangingChars="1200" w:hanging="2650"/>
        <w:rPr>
          <w:rFonts w:ascii="ＭＳ ゴシック" w:eastAsia="ＭＳ ゴシック" w:hAnsi="ＭＳ ゴシック"/>
        </w:rPr>
      </w:pPr>
      <w:r w:rsidRPr="00655B63">
        <w:rPr>
          <w:rFonts w:ascii="ＭＳ ゴシック" w:eastAsia="ＭＳ ゴシック" w:hAnsi="ＭＳ ゴシック" w:hint="eastAsia"/>
          <w:b/>
          <w:sz w:val="22"/>
          <w:shd w:val="pct15" w:color="auto" w:fill="FFFFFF"/>
        </w:rPr>
        <w:t>３</w:t>
      </w:r>
      <w:r w:rsidR="00DD698A" w:rsidRPr="00655B63">
        <w:rPr>
          <w:rFonts w:ascii="ＭＳ ゴシック" w:eastAsia="ＭＳ ゴシック" w:hAnsi="ＭＳ ゴシック" w:hint="eastAsia"/>
          <w:b/>
          <w:sz w:val="22"/>
          <w:shd w:val="pct15" w:color="auto" w:fill="FFFFFF"/>
        </w:rPr>
        <w:t xml:space="preserve">　他府県の設定状況</w:t>
      </w:r>
      <w:r w:rsidR="00DD698A">
        <w:rPr>
          <w:rFonts w:ascii="ＭＳ ゴシック" w:eastAsia="ＭＳ ゴシック" w:hAnsi="ＭＳ ゴシック" w:hint="eastAsia"/>
        </w:rPr>
        <w:t xml:space="preserve">　⇒</w:t>
      </w:r>
      <w:r w:rsidR="003B62A8">
        <w:rPr>
          <w:rFonts w:ascii="ＭＳ ゴシック" w:eastAsia="ＭＳ ゴシック" w:hAnsi="ＭＳ ゴシック" w:hint="eastAsia"/>
        </w:rPr>
        <w:t>４７都道府県中、３１</w:t>
      </w:r>
      <w:r w:rsidR="00B23FD5" w:rsidRPr="003B62A8">
        <w:rPr>
          <w:rFonts w:ascii="ＭＳ ゴシック" w:eastAsia="ＭＳ ゴシック" w:hAnsi="ＭＳ ゴシック" w:hint="eastAsia"/>
        </w:rPr>
        <w:t>都道府県が基本計画を策定。</w:t>
      </w:r>
      <w:r w:rsidR="00DD698A" w:rsidRPr="003B62A8">
        <w:rPr>
          <w:rFonts w:ascii="ＭＳ ゴシック" w:eastAsia="ＭＳ ゴシック" w:hAnsi="ＭＳ ゴシック" w:hint="eastAsia"/>
        </w:rPr>
        <w:t>そのうち、</w:t>
      </w:r>
      <w:r w:rsidR="001642A6" w:rsidRPr="003B62A8">
        <w:rPr>
          <w:rFonts w:ascii="ＭＳ ゴシック" w:eastAsia="ＭＳ ゴシック" w:hAnsi="ＭＳ ゴシック" w:hint="eastAsia"/>
        </w:rPr>
        <w:t>５</w:t>
      </w:r>
      <w:r w:rsidR="00DD698A" w:rsidRPr="003B62A8">
        <w:rPr>
          <w:rFonts w:ascii="ＭＳ ゴシック" w:eastAsia="ＭＳ ゴシック" w:hAnsi="ＭＳ ゴシック" w:hint="eastAsia"/>
        </w:rPr>
        <w:t>都府県</w:t>
      </w:r>
      <w:r w:rsidR="00655B63" w:rsidRPr="003B62A8">
        <w:rPr>
          <w:rFonts w:ascii="ＭＳ ゴシック" w:eastAsia="ＭＳ ゴシック" w:hAnsi="ＭＳ ゴシック" w:hint="eastAsia"/>
        </w:rPr>
        <w:t>（東京都、神奈川県、</w:t>
      </w:r>
      <w:r w:rsidR="003B62A8">
        <w:rPr>
          <w:rFonts w:ascii="ＭＳ ゴシック" w:eastAsia="ＭＳ ゴシック" w:hAnsi="ＭＳ ゴシック" w:hint="eastAsia"/>
        </w:rPr>
        <w:t>三重県、</w:t>
      </w:r>
      <w:r w:rsidR="001642A6" w:rsidRPr="003B62A8">
        <w:rPr>
          <w:rFonts w:ascii="ＭＳ ゴシック" w:eastAsia="ＭＳ ゴシック" w:hAnsi="ＭＳ ゴシック" w:hint="eastAsia"/>
        </w:rPr>
        <w:t>滋賀県、</w:t>
      </w:r>
      <w:r w:rsidR="003B62A8">
        <w:rPr>
          <w:rFonts w:ascii="ＭＳ ゴシック" w:eastAsia="ＭＳ ゴシック" w:hAnsi="ＭＳ ゴシック" w:hint="eastAsia"/>
        </w:rPr>
        <w:t>京都府</w:t>
      </w:r>
      <w:r w:rsidR="00655B63" w:rsidRPr="003B62A8">
        <w:rPr>
          <w:rFonts w:ascii="ＭＳ ゴシック" w:eastAsia="ＭＳ ゴシック" w:hAnsi="ＭＳ ゴシック" w:hint="eastAsia"/>
        </w:rPr>
        <w:t>）</w:t>
      </w:r>
      <w:r w:rsidR="00DD698A" w:rsidRPr="003B62A8">
        <w:rPr>
          <w:rFonts w:ascii="ＭＳ ゴシック" w:eastAsia="ＭＳ ゴシック" w:hAnsi="ＭＳ ゴシック" w:hint="eastAsia"/>
        </w:rPr>
        <w:t>が数値目標設定無し。</w:t>
      </w:r>
    </w:p>
    <w:p w:rsidR="00596342" w:rsidRDefault="00C720FB" w:rsidP="00C720FB">
      <w:pPr>
        <w:rPr>
          <w:rFonts w:ascii="ＭＳ ゴシック" w:eastAsia="ＭＳ ゴシック" w:hAnsi="ＭＳ ゴシック"/>
        </w:rPr>
      </w:pPr>
      <w:r>
        <w:rPr>
          <w:rFonts w:ascii="ＭＳ ゴシック" w:eastAsia="ＭＳ ゴシック" w:hAnsi="ＭＳ ゴシック" w:hint="eastAsia"/>
        </w:rPr>
        <w:t>■</w:t>
      </w:r>
      <w:r w:rsidR="003E66BE">
        <w:rPr>
          <w:rFonts w:ascii="ＭＳ ゴシック" w:eastAsia="ＭＳ ゴシック" w:hAnsi="ＭＳ ゴシック" w:hint="eastAsia"/>
        </w:rPr>
        <w:t>設定されている</w:t>
      </w:r>
      <w:r w:rsidR="00FF7557">
        <w:rPr>
          <w:rFonts w:ascii="ＭＳ ゴシック" w:eastAsia="ＭＳ ゴシック" w:hAnsi="ＭＳ ゴシック" w:hint="eastAsia"/>
        </w:rPr>
        <w:t>数値目標の傾向</w:t>
      </w:r>
      <w:bookmarkStart w:id="0" w:name="_GoBack"/>
      <w:bookmarkEnd w:id="0"/>
    </w:p>
    <w:p w:rsidR="00FF7557" w:rsidRDefault="00C720FB" w:rsidP="00596342">
      <w:pPr>
        <w:rPr>
          <w:rFonts w:ascii="ＭＳ ゴシック" w:eastAsia="ＭＳ ゴシック" w:hAnsi="ＭＳ ゴシック"/>
        </w:rPr>
      </w:pPr>
      <w:r>
        <w:rPr>
          <w:rFonts w:ascii="ＭＳ ゴシック" w:eastAsia="ＭＳ ゴシック" w:hAnsi="ＭＳ ゴシック" w:hint="eastAsia"/>
        </w:rPr>
        <w:t xml:space="preserve">　</w:t>
      </w:r>
      <w:r w:rsidR="00FF7557">
        <w:rPr>
          <w:rFonts w:ascii="ＭＳ ゴシック" w:eastAsia="ＭＳ ゴシック" w:hAnsi="ＭＳ ゴシック" w:hint="eastAsia"/>
        </w:rPr>
        <w:t>①県民意識調査等の手法を活用したもの</w:t>
      </w:r>
    </w:p>
    <w:p w:rsidR="00FF7557" w:rsidRDefault="00FF7557" w:rsidP="00596342">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E</w:t>
      </w:r>
      <w:r>
        <w:rPr>
          <w:rFonts w:ascii="ＭＳ ゴシック" w:eastAsia="ＭＳ ゴシック" w:hAnsi="ＭＳ ゴシック" w:hint="eastAsia"/>
        </w:rPr>
        <w:t>x)・消費生活センターの存在、・消費者ホットラインの認知度、・エシカル消費の認知度</w:t>
      </w:r>
      <w:r w:rsidR="00655B63">
        <w:rPr>
          <w:rFonts w:ascii="ＭＳ ゴシック" w:eastAsia="ＭＳ ゴシック" w:hAnsi="ＭＳ ゴシック" w:hint="eastAsia"/>
        </w:rPr>
        <w:t>等</w:t>
      </w:r>
    </w:p>
    <w:p w:rsidR="00596342" w:rsidRDefault="00C720FB" w:rsidP="00596342">
      <w:pPr>
        <w:rPr>
          <w:rFonts w:ascii="ＭＳ ゴシック" w:eastAsia="ＭＳ ゴシック" w:hAnsi="ＭＳ ゴシック"/>
        </w:rPr>
      </w:pPr>
      <w:r>
        <w:rPr>
          <w:rFonts w:ascii="ＭＳ ゴシック" w:eastAsia="ＭＳ ゴシック" w:hAnsi="ＭＳ ゴシック" w:hint="eastAsia"/>
        </w:rPr>
        <w:t xml:space="preserve">　</w:t>
      </w:r>
      <w:r w:rsidR="00FF7557">
        <w:rPr>
          <w:rFonts w:ascii="ＭＳ ゴシック" w:eastAsia="ＭＳ ゴシック" w:hAnsi="ＭＳ ゴシック" w:hint="eastAsia"/>
        </w:rPr>
        <w:t>②消費者庁が設定している政策目標</w:t>
      </w:r>
    </w:p>
    <w:p w:rsidR="00FF7557" w:rsidRDefault="00FF7557" w:rsidP="00C720FB">
      <w:pPr>
        <w:ind w:leftChars="80" w:left="588"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E</w:t>
      </w:r>
      <w:r>
        <w:rPr>
          <w:rFonts w:ascii="ＭＳ ゴシック" w:eastAsia="ＭＳ ゴシック" w:hAnsi="ＭＳ ゴシック" w:hint="eastAsia"/>
        </w:rPr>
        <w:t>x)・人口5万人以上の市</w:t>
      </w:r>
      <w:r w:rsidR="003D086C">
        <w:rPr>
          <w:rFonts w:ascii="ＭＳ ゴシック" w:eastAsia="ＭＳ ゴシック" w:hAnsi="ＭＳ ゴシック" w:hint="eastAsia"/>
        </w:rPr>
        <w:t>町</w:t>
      </w:r>
      <w:r>
        <w:rPr>
          <w:rFonts w:ascii="ＭＳ ゴシック" w:eastAsia="ＭＳ ゴシック" w:hAnsi="ＭＳ ゴシック" w:hint="eastAsia"/>
        </w:rPr>
        <w:t>における消費者安全確保地域協議会の設置数</w:t>
      </w:r>
      <w:r w:rsidR="00E679FC">
        <w:rPr>
          <w:rFonts w:ascii="ＭＳ ゴシック" w:eastAsia="ＭＳ ゴシック" w:hAnsi="ＭＳ ゴシック" w:hint="eastAsia"/>
        </w:rPr>
        <w:t>、</w:t>
      </w:r>
      <w:r>
        <w:rPr>
          <w:rFonts w:ascii="ＭＳ ゴシック" w:eastAsia="ＭＳ ゴシック" w:hAnsi="ＭＳ ゴシック" w:hint="eastAsia"/>
        </w:rPr>
        <w:t>・</w:t>
      </w:r>
      <w:r w:rsidR="00E679FC">
        <w:rPr>
          <w:rFonts w:ascii="ＭＳ ゴシック" w:eastAsia="ＭＳ ゴシック" w:hAnsi="ＭＳ ゴシック" w:hint="eastAsia"/>
        </w:rPr>
        <w:t>消費生活相談員の研修参加率、</w:t>
      </w:r>
      <w:r w:rsidR="00655B63">
        <w:rPr>
          <w:rFonts w:ascii="ＭＳ ゴシック" w:eastAsia="ＭＳ ゴシック" w:hAnsi="ＭＳ ゴシック" w:hint="eastAsia"/>
        </w:rPr>
        <w:t>・</w:t>
      </w:r>
      <w:r w:rsidR="00E679FC">
        <w:rPr>
          <w:rFonts w:ascii="ＭＳ ゴシック" w:eastAsia="ＭＳ ゴシック" w:hAnsi="ＭＳ ゴシック" w:hint="eastAsia"/>
        </w:rPr>
        <w:t>市町村センター設置率</w:t>
      </w:r>
      <w:r w:rsidR="00655B63">
        <w:rPr>
          <w:rFonts w:ascii="ＭＳ ゴシック" w:eastAsia="ＭＳ ゴシック" w:hAnsi="ＭＳ ゴシック" w:hint="eastAsia"/>
        </w:rPr>
        <w:t>等</w:t>
      </w:r>
    </w:p>
    <w:p w:rsidR="00596342" w:rsidRPr="00FF7557" w:rsidRDefault="00C720FB" w:rsidP="00E679FC">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FF7557">
        <w:rPr>
          <w:rFonts w:ascii="ＭＳ ゴシック" w:eastAsia="ＭＳ ゴシック" w:hAnsi="ＭＳ ゴシック" w:hint="eastAsia"/>
        </w:rPr>
        <w:t>③</w:t>
      </w:r>
      <w:r w:rsidR="00E679FC">
        <w:rPr>
          <w:rFonts w:ascii="ＭＳ ゴシック" w:eastAsia="ＭＳ ゴシック" w:hAnsi="ＭＳ ゴシック" w:hint="eastAsia"/>
        </w:rPr>
        <w:t>個別</w:t>
      </w:r>
      <w:r w:rsidR="00FF7557">
        <w:rPr>
          <w:rFonts w:ascii="ＭＳ ゴシック" w:eastAsia="ＭＳ ゴシック" w:hAnsi="ＭＳ ゴシック" w:hint="eastAsia"/>
        </w:rPr>
        <w:t>事業</w:t>
      </w:r>
      <w:r w:rsidR="00E679FC">
        <w:rPr>
          <w:rFonts w:ascii="ＭＳ ゴシック" w:eastAsia="ＭＳ ゴシック" w:hAnsi="ＭＳ ゴシック" w:hint="eastAsia"/>
        </w:rPr>
        <w:t>につい</w:t>
      </w:r>
      <w:r w:rsidR="00655B63">
        <w:rPr>
          <w:rFonts w:ascii="ＭＳ ゴシック" w:eastAsia="ＭＳ ゴシック" w:hAnsi="ＭＳ ゴシック" w:hint="eastAsia"/>
        </w:rPr>
        <w:t>て</w:t>
      </w:r>
      <w:r w:rsidR="00E679FC">
        <w:rPr>
          <w:rFonts w:ascii="ＭＳ ゴシック" w:eastAsia="ＭＳ ゴシック" w:hAnsi="ＭＳ ゴシック" w:hint="eastAsia"/>
        </w:rPr>
        <w:t>のアウトプット指標</w:t>
      </w:r>
    </w:p>
    <w:p w:rsidR="00596342" w:rsidRDefault="003E66BE" w:rsidP="00596342">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E</w:t>
      </w:r>
      <w:r>
        <w:rPr>
          <w:rFonts w:ascii="ＭＳ ゴシック" w:eastAsia="ＭＳ ゴシック" w:hAnsi="ＭＳ ゴシック" w:hint="eastAsia"/>
        </w:rPr>
        <w:t>x)・研修・啓発講座の開催回数や受講者数、広報メール登録者数等</w:t>
      </w:r>
    </w:p>
    <w:p w:rsidR="003E66BE" w:rsidRDefault="003E66BE" w:rsidP="00596342">
      <w:pPr>
        <w:rPr>
          <w:rFonts w:ascii="ＭＳ ゴシック" w:eastAsia="ＭＳ ゴシック" w:hAnsi="ＭＳ ゴシック"/>
          <w:b/>
          <w:sz w:val="22"/>
          <w:shd w:val="pct15" w:color="auto" w:fill="FFFFFF"/>
        </w:rPr>
      </w:pPr>
    </w:p>
    <w:p w:rsidR="00596342" w:rsidRPr="005E7D98" w:rsidRDefault="00E679FC" w:rsidP="00596342">
      <w:pPr>
        <w:rPr>
          <w:rFonts w:ascii="ＭＳ ゴシック" w:eastAsia="ＭＳ ゴシック" w:hAnsi="ＭＳ ゴシック"/>
          <w:b/>
          <w:sz w:val="22"/>
          <w:shd w:val="pct15" w:color="auto" w:fill="FFFFFF"/>
        </w:rPr>
      </w:pPr>
      <w:r w:rsidRPr="005E7D98">
        <w:rPr>
          <w:rFonts w:ascii="ＭＳ ゴシック" w:eastAsia="ＭＳ ゴシック" w:hAnsi="ＭＳ ゴシック" w:hint="eastAsia"/>
          <w:b/>
          <w:sz w:val="22"/>
          <w:shd w:val="pct15" w:color="auto" w:fill="FFFFFF"/>
        </w:rPr>
        <w:t>４</w:t>
      </w:r>
      <w:r w:rsidR="00596342" w:rsidRPr="005E7D98">
        <w:rPr>
          <w:rFonts w:ascii="ＭＳ ゴシック" w:eastAsia="ＭＳ ゴシック" w:hAnsi="ＭＳ ゴシック" w:hint="eastAsia"/>
          <w:b/>
          <w:sz w:val="22"/>
          <w:shd w:val="pct15" w:color="auto" w:fill="FFFFFF"/>
        </w:rPr>
        <w:t xml:space="preserve">　</w:t>
      </w:r>
      <w:r w:rsidR="00511551">
        <w:rPr>
          <w:rFonts w:ascii="ＭＳ ゴシック" w:eastAsia="ＭＳ ゴシック" w:hAnsi="ＭＳ ゴシック" w:hint="eastAsia"/>
          <w:b/>
          <w:sz w:val="22"/>
          <w:shd w:val="pct15" w:color="auto" w:fill="FFFFFF"/>
        </w:rPr>
        <w:t>事務局</w:t>
      </w:r>
      <w:r w:rsidR="00BA39F7">
        <w:rPr>
          <w:rFonts w:ascii="ＭＳ ゴシック" w:eastAsia="ＭＳ ゴシック" w:hAnsi="ＭＳ ゴシック" w:hint="eastAsia"/>
          <w:b/>
          <w:sz w:val="22"/>
          <w:shd w:val="pct15" w:color="auto" w:fill="FFFFFF"/>
        </w:rPr>
        <w:t>案</w:t>
      </w:r>
    </w:p>
    <w:p w:rsidR="00143DA2" w:rsidRDefault="00143DA2" w:rsidP="003E66BE">
      <w:pPr>
        <w:ind w:firstLineChars="100" w:firstLine="210"/>
        <w:rPr>
          <w:rFonts w:ascii="ＭＳ ゴシック" w:eastAsia="ＭＳ ゴシック" w:hAnsi="ＭＳ ゴシック"/>
        </w:rPr>
      </w:pPr>
      <w:r>
        <w:rPr>
          <w:rFonts w:ascii="ＭＳ ゴシック" w:eastAsia="ＭＳ ゴシック" w:hAnsi="ＭＳ ゴシック" w:hint="eastAsia"/>
        </w:rPr>
        <w:t>骨子案では、重要目標として、基本目標ⅠからⅣを設定している。</w:t>
      </w:r>
    </w:p>
    <w:p w:rsidR="003E66BE" w:rsidRDefault="00143DA2" w:rsidP="00143DA2">
      <w:pPr>
        <w:ind w:leftChars="100" w:left="210"/>
        <w:rPr>
          <w:rFonts w:ascii="ＭＳ ゴシック" w:eastAsia="ＭＳ ゴシック" w:hAnsi="ＭＳ ゴシック"/>
        </w:rPr>
      </w:pPr>
      <w:r>
        <w:rPr>
          <w:rFonts w:ascii="ＭＳ ゴシック" w:eastAsia="ＭＳ ゴシック" w:hAnsi="ＭＳ ゴシック" w:hint="eastAsia"/>
        </w:rPr>
        <w:t>重要目標の達成度合いを具体的に明確にするため、</w:t>
      </w:r>
      <w:r w:rsidR="00311F54">
        <w:rPr>
          <w:rFonts w:ascii="ＭＳ ゴシック" w:eastAsia="ＭＳ ゴシック" w:hAnsi="ＭＳ ゴシック" w:hint="eastAsia"/>
        </w:rPr>
        <w:t>「</w:t>
      </w:r>
      <w:r w:rsidR="00E679FC">
        <w:rPr>
          <w:rFonts w:ascii="ＭＳ ゴシック" w:eastAsia="ＭＳ ゴシック" w:hAnsi="ＭＳ ゴシック" w:hint="eastAsia"/>
        </w:rPr>
        <w:t>重要目標達成指標</w:t>
      </w:r>
      <w:r w:rsidR="00311F54">
        <w:rPr>
          <w:rFonts w:ascii="ＭＳ ゴシック" w:eastAsia="ＭＳ ゴシック" w:hAnsi="ＭＳ ゴシック" w:hint="eastAsia"/>
        </w:rPr>
        <w:t>（ＫＧＩ）」</w:t>
      </w:r>
      <w:r w:rsidR="00E679FC">
        <w:rPr>
          <w:rFonts w:ascii="ＭＳ ゴシック" w:eastAsia="ＭＳ ゴシック" w:hAnsi="ＭＳ ゴシック" w:hint="eastAsia"/>
        </w:rPr>
        <w:t>として</w:t>
      </w:r>
      <w:r w:rsidR="00596342" w:rsidRPr="0094756F">
        <w:rPr>
          <w:rFonts w:ascii="ＭＳ ゴシック" w:eastAsia="ＭＳ ゴシック" w:hAnsi="ＭＳ ゴシック" w:hint="eastAsia"/>
        </w:rPr>
        <w:t>アウトカム指標を設定。</w:t>
      </w:r>
    </w:p>
    <w:p w:rsidR="00596342" w:rsidRDefault="00134D7C" w:rsidP="003E66B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11F54">
        <w:rPr>
          <w:rFonts w:ascii="ＭＳ ゴシック" w:eastAsia="ＭＳ ゴシック" w:hAnsi="ＭＳ ゴシック" w:hint="eastAsia"/>
        </w:rPr>
        <w:t>国の</w:t>
      </w:r>
      <w:r w:rsidR="003E66BE">
        <w:rPr>
          <w:rFonts w:ascii="ＭＳ ゴシック" w:eastAsia="ＭＳ ゴシック" w:hAnsi="ＭＳ ゴシック" w:hint="eastAsia"/>
        </w:rPr>
        <w:t>「第4期消費者基本計画のあり方に関する検討会」報告書（Ｐ１０）</w:t>
      </w:r>
      <w:r w:rsidR="00DE5143">
        <w:rPr>
          <w:rFonts w:ascii="ＭＳ ゴシック" w:eastAsia="ＭＳ ゴシック" w:hAnsi="ＭＳ ゴシック" w:hint="eastAsia"/>
        </w:rPr>
        <w:t>より抜粋。</w:t>
      </w:r>
    </w:p>
    <w:p w:rsidR="003E66BE" w:rsidRDefault="003E66BE" w:rsidP="003E66B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3D086C">
        <w:rPr>
          <w:rFonts w:ascii="ＭＳ ゴシック" w:eastAsia="ＭＳ ゴシック" w:hAnsi="ＭＳ ゴシック" w:hint="eastAsia"/>
        </w:rPr>
        <w:t>『</w:t>
      </w:r>
      <w:r>
        <w:rPr>
          <w:rFonts w:ascii="ＭＳ ゴシック" w:eastAsia="ＭＳ ゴシック" w:hAnsi="ＭＳ ゴシック" w:hint="eastAsia"/>
        </w:rPr>
        <w:t>現行の第3期消費者基本計画ではＫＰＩが設定されているが、アウトプット指標がほとんどで施策の実施による中期的な具体的成果（アウトカム）を想定したものはごく一部に留まって</w:t>
      </w:r>
      <w:r w:rsidR="00373280">
        <w:rPr>
          <w:rFonts w:ascii="ＭＳ ゴシック" w:eastAsia="ＭＳ ゴシック" w:hAnsi="ＭＳ ゴシック" w:hint="eastAsia"/>
        </w:rPr>
        <w:t>いる</w:t>
      </w:r>
      <w:r w:rsidR="003D086C">
        <w:rPr>
          <w:rFonts w:ascii="ＭＳ ゴシック" w:eastAsia="ＭＳ ゴシック" w:hAnsi="ＭＳ ゴシック" w:hint="eastAsia"/>
        </w:rPr>
        <w:t>』</w:t>
      </w:r>
    </w:p>
    <w:p w:rsidR="00F60B79" w:rsidRPr="0094756F" w:rsidRDefault="00C720FB" w:rsidP="00F60B79">
      <w:pPr>
        <w:rPr>
          <w:rFonts w:ascii="ＭＳ ゴシック" w:eastAsia="ＭＳ ゴシック" w:hAnsi="ＭＳ ゴシック"/>
        </w:rPr>
      </w:pPr>
      <w:r w:rsidRPr="00314275">
        <w:rPr>
          <w:rFonts w:ascii="ＭＳ ゴシック" w:eastAsia="ＭＳ ゴシック" w:hAnsi="ＭＳ ゴシック" w:hint="eastAsia"/>
          <w:szCs w:val="21"/>
        </w:rPr>
        <w:t>■</w:t>
      </w:r>
      <w:r w:rsidR="00F60B79" w:rsidRPr="00314275">
        <w:rPr>
          <w:rFonts w:ascii="ＭＳ ゴシック" w:eastAsia="ＭＳ ゴシック" w:hAnsi="ＭＳ ゴシック" w:hint="eastAsia"/>
          <w:szCs w:val="21"/>
        </w:rPr>
        <w:t>アウト</w:t>
      </w:r>
      <w:r w:rsidR="00143DA2" w:rsidRPr="00314275">
        <w:rPr>
          <w:rFonts w:ascii="ＭＳ ゴシック" w:eastAsia="ＭＳ ゴシック" w:hAnsi="ＭＳ ゴシック" w:hint="eastAsia"/>
          <w:szCs w:val="21"/>
        </w:rPr>
        <w:t>カム</w:t>
      </w:r>
      <w:r w:rsidR="00F60B79" w:rsidRPr="00314275">
        <w:rPr>
          <w:rFonts w:ascii="ＭＳ ゴシック" w:eastAsia="ＭＳ ゴシック" w:hAnsi="ＭＳ ゴシック" w:hint="eastAsia"/>
          <w:szCs w:val="21"/>
        </w:rPr>
        <w:t>指標案</w:t>
      </w:r>
      <w:r w:rsidR="00F60B79">
        <w:rPr>
          <w:rFonts w:ascii="ＭＳ ゴシック" w:eastAsia="ＭＳ ゴシック" w:hAnsi="ＭＳ ゴシック" w:hint="eastAsia"/>
          <w:sz w:val="22"/>
        </w:rPr>
        <w:t>：</w:t>
      </w:r>
      <w:r w:rsidR="00F60B79">
        <w:rPr>
          <w:rFonts w:ascii="ＭＳ ゴシック" w:eastAsia="ＭＳ ゴシック" w:hAnsi="ＭＳ ゴシック" w:hint="eastAsia"/>
        </w:rPr>
        <w:t xml:space="preserve">府内高等学校等における消費者教育教材を活用した消費者教育の実施率　</w:t>
      </w:r>
    </w:p>
    <w:p w:rsidR="00143DA2" w:rsidRDefault="00DD698A" w:rsidP="00F60B79">
      <w:pPr>
        <w:ind w:left="210" w:hangingChars="100" w:hanging="210"/>
        <w:rPr>
          <w:rFonts w:ascii="ＭＳ ゴシック" w:eastAsia="ＭＳ ゴシック" w:hAnsi="ＭＳ ゴシック"/>
        </w:rPr>
      </w:pPr>
      <w:r w:rsidRPr="0094756F">
        <w:rPr>
          <w:rFonts w:ascii="ＭＳ ゴシック" w:eastAsia="ＭＳ ゴシック" w:hAnsi="ＭＳ ゴシック" w:hint="eastAsia"/>
        </w:rPr>
        <w:t>【</w:t>
      </w:r>
      <w:r w:rsidR="00F60B79">
        <w:rPr>
          <w:rFonts w:ascii="ＭＳ ゴシック" w:eastAsia="ＭＳ ゴシック" w:hAnsi="ＭＳ ゴシック" w:hint="eastAsia"/>
        </w:rPr>
        <w:t>設定理由</w:t>
      </w:r>
      <w:r w:rsidRPr="0094756F">
        <w:rPr>
          <w:rFonts w:ascii="ＭＳ ゴシック" w:eastAsia="ＭＳ ゴシック" w:hAnsi="ＭＳ ゴシック" w:hint="eastAsia"/>
        </w:rPr>
        <w:t>】</w:t>
      </w:r>
      <w:r w:rsidR="00143DA2">
        <w:rPr>
          <w:rFonts w:ascii="ＭＳ ゴシック" w:eastAsia="ＭＳ ゴシック" w:hAnsi="ＭＳ ゴシック" w:hint="eastAsia"/>
        </w:rPr>
        <w:t>＜基本目標Ⅲ消費者教育の推進＞</w:t>
      </w:r>
    </w:p>
    <w:p w:rsidR="003D086C" w:rsidRPr="0094756F" w:rsidRDefault="00F60B79" w:rsidP="00143DA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成年年齢引下げが計画期間中の2022年4月から施行されること、エシカル消費等次代を担う若年者への消費者教育が</w:t>
      </w:r>
      <w:r w:rsidR="00143DA2">
        <w:rPr>
          <w:rFonts w:ascii="ＭＳ ゴシック" w:eastAsia="ＭＳ ゴシック" w:hAnsi="ＭＳ ゴシック" w:hint="eastAsia"/>
        </w:rPr>
        <w:t>最</w:t>
      </w:r>
      <w:r>
        <w:rPr>
          <w:rFonts w:ascii="ＭＳ ゴシック" w:eastAsia="ＭＳ ゴシック" w:hAnsi="ＭＳ ゴシック" w:hint="eastAsia"/>
        </w:rPr>
        <w:t>重要</w:t>
      </w:r>
      <w:r w:rsidR="00143DA2">
        <w:rPr>
          <w:rFonts w:ascii="ＭＳ ゴシック" w:eastAsia="ＭＳ ゴシック" w:hAnsi="ＭＳ ゴシック" w:hint="eastAsia"/>
        </w:rPr>
        <w:t>課題</w:t>
      </w:r>
      <w:r>
        <w:rPr>
          <w:rFonts w:ascii="ＭＳ ゴシック" w:eastAsia="ＭＳ ゴシック" w:hAnsi="ＭＳ ゴシック" w:hint="eastAsia"/>
        </w:rPr>
        <w:t>であることから設定</w:t>
      </w:r>
      <w:r w:rsidR="003D086C">
        <w:rPr>
          <w:rFonts w:ascii="ＭＳ ゴシック" w:eastAsia="ＭＳ ゴシック" w:hAnsi="ＭＳ ゴシック" w:hint="eastAsia"/>
        </w:rPr>
        <w:t xml:space="preserve">　</w:t>
      </w:r>
    </w:p>
    <w:p w:rsidR="005F06F1" w:rsidRPr="00545AE9" w:rsidRDefault="005F06F1" w:rsidP="00E20635">
      <w:pPr>
        <w:rPr>
          <w:rFonts w:ascii="ＭＳ ゴシック" w:eastAsia="ＭＳ ゴシック" w:hAnsi="ＭＳ ゴシック"/>
          <w:sz w:val="18"/>
          <w:szCs w:val="18"/>
        </w:rPr>
      </w:pPr>
    </w:p>
    <w:sectPr w:rsidR="005F06F1" w:rsidRPr="00545AE9" w:rsidSect="00C01034">
      <w:headerReference w:type="default" r:id="rId7"/>
      <w:pgSz w:w="11906" w:h="16838" w:code="9"/>
      <w:pgMar w:top="567" w:right="1134" w:bottom="56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97" w:rsidRDefault="006C0F97" w:rsidP="006C0F97">
      <w:r>
        <w:separator/>
      </w:r>
    </w:p>
  </w:endnote>
  <w:endnote w:type="continuationSeparator" w:id="0">
    <w:p w:rsidR="006C0F97" w:rsidRDefault="006C0F97" w:rsidP="006C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97" w:rsidRDefault="006C0F97" w:rsidP="006C0F97">
      <w:r>
        <w:separator/>
      </w:r>
    </w:p>
  </w:footnote>
  <w:footnote w:type="continuationSeparator" w:id="0">
    <w:p w:rsidR="006C0F97" w:rsidRDefault="006C0F97" w:rsidP="006C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4" w:rsidRPr="009D76E4" w:rsidRDefault="00CC7EA1" w:rsidP="009D76E4">
    <w:pPr>
      <w:pStyle w:val="a6"/>
      <w:jc w:val="right"/>
      <w:rPr>
        <w:sz w:val="28"/>
        <w:bdr w:val="single" w:sz="4" w:space="0" w:color="auto"/>
      </w:rPr>
    </w:pPr>
    <w:r>
      <w:rPr>
        <w:rFonts w:hint="eastAsia"/>
        <w:sz w:val="28"/>
        <w:bdr w:val="single" w:sz="4" w:space="0" w:color="auto"/>
      </w:rPr>
      <w:t>資料３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BC8"/>
    <w:multiLevelType w:val="hybridMultilevel"/>
    <w:tmpl w:val="64B29B5A"/>
    <w:lvl w:ilvl="0" w:tplc="85243778">
      <w:start w:val="3"/>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35"/>
    <w:rsid w:val="00134D7C"/>
    <w:rsid w:val="00143DA2"/>
    <w:rsid w:val="00153B1C"/>
    <w:rsid w:val="001642A6"/>
    <w:rsid w:val="00311F54"/>
    <w:rsid w:val="00314275"/>
    <w:rsid w:val="003228E8"/>
    <w:rsid w:val="00373280"/>
    <w:rsid w:val="003B62A8"/>
    <w:rsid w:val="003D086C"/>
    <w:rsid w:val="003E66BE"/>
    <w:rsid w:val="00492A2D"/>
    <w:rsid w:val="00511551"/>
    <w:rsid w:val="00545AE9"/>
    <w:rsid w:val="00596342"/>
    <w:rsid w:val="005E7D98"/>
    <w:rsid w:val="005F06F1"/>
    <w:rsid w:val="005F3AD3"/>
    <w:rsid w:val="00635F70"/>
    <w:rsid w:val="00655B63"/>
    <w:rsid w:val="006C0F97"/>
    <w:rsid w:val="007F2C76"/>
    <w:rsid w:val="008A5B1A"/>
    <w:rsid w:val="009079F5"/>
    <w:rsid w:val="0094756F"/>
    <w:rsid w:val="009C21D4"/>
    <w:rsid w:val="009D76E4"/>
    <w:rsid w:val="00AC7EC2"/>
    <w:rsid w:val="00B07541"/>
    <w:rsid w:val="00B21F08"/>
    <w:rsid w:val="00B23FD5"/>
    <w:rsid w:val="00B7115D"/>
    <w:rsid w:val="00BA39F7"/>
    <w:rsid w:val="00C01034"/>
    <w:rsid w:val="00C720FB"/>
    <w:rsid w:val="00CC7EA1"/>
    <w:rsid w:val="00DC3B37"/>
    <w:rsid w:val="00DD698A"/>
    <w:rsid w:val="00DE5143"/>
    <w:rsid w:val="00E20635"/>
    <w:rsid w:val="00E679FC"/>
    <w:rsid w:val="00F25B3C"/>
    <w:rsid w:val="00F27A03"/>
    <w:rsid w:val="00F60B79"/>
    <w:rsid w:val="00F72BAD"/>
    <w:rsid w:val="00F95F99"/>
    <w:rsid w:val="00FC6C9C"/>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6C8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8E8"/>
    <w:rPr>
      <w:rFonts w:asciiTheme="majorHAnsi" w:eastAsiaTheme="majorEastAsia" w:hAnsiTheme="majorHAnsi" w:cstheme="majorBidi"/>
      <w:sz w:val="18"/>
      <w:szCs w:val="18"/>
    </w:rPr>
  </w:style>
  <w:style w:type="paragraph" w:styleId="a5">
    <w:name w:val="List Paragraph"/>
    <w:basedOn w:val="a"/>
    <w:uiPriority w:val="34"/>
    <w:qFormat/>
    <w:rsid w:val="00C720FB"/>
    <w:pPr>
      <w:ind w:leftChars="400" w:left="840"/>
    </w:pPr>
  </w:style>
  <w:style w:type="paragraph" w:styleId="a6">
    <w:name w:val="header"/>
    <w:basedOn w:val="a"/>
    <w:link w:val="a7"/>
    <w:uiPriority w:val="99"/>
    <w:unhideWhenUsed/>
    <w:rsid w:val="006C0F97"/>
    <w:pPr>
      <w:tabs>
        <w:tab w:val="center" w:pos="4252"/>
        <w:tab w:val="right" w:pos="8504"/>
      </w:tabs>
      <w:snapToGrid w:val="0"/>
    </w:pPr>
  </w:style>
  <w:style w:type="character" w:customStyle="1" w:styleId="a7">
    <w:name w:val="ヘッダー (文字)"/>
    <w:basedOn w:val="a0"/>
    <w:link w:val="a6"/>
    <w:uiPriority w:val="99"/>
    <w:rsid w:val="006C0F97"/>
  </w:style>
  <w:style w:type="paragraph" w:styleId="a8">
    <w:name w:val="footer"/>
    <w:basedOn w:val="a"/>
    <w:link w:val="a9"/>
    <w:uiPriority w:val="99"/>
    <w:unhideWhenUsed/>
    <w:rsid w:val="006C0F97"/>
    <w:pPr>
      <w:tabs>
        <w:tab w:val="center" w:pos="4252"/>
        <w:tab w:val="right" w:pos="8504"/>
      </w:tabs>
      <w:snapToGrid w:val="0"/>
    </w:pPr>
  </w:style>
  <w:style w:type="character" w:customStyle="1" w:styleId="a9">
    <w:name w:val="フッター (文字)"/>
    <w:basedOn w:val="a0"/>
    <w:link w:val="a8"/>
    <w:uiPriority w:val="99"/>
    <w:rsid w:val="006C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2019-05-29T01:41:00Z</dcterms:created>
  <dcterms:modified xsi:type="dcterms:W3CDTF">2019-05-29T06:12:00Z</dcterms:modified>
</cp:coreProperties>
</file>