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86EA4" w14:textId="13571474" w:rsidR="00180EC2" w:rsidRPr="00180EC2" w:rsidRDefault="00A96402" w:rsidP="00232C72">
      <w:pPr>
        <w:jc w:val="center"/>
        <w:rPr>
          <w:rFonts w:ascii="ＭＳ ゴシック" w:eastAsia="ＭＳ ゴシック" w:hAnsi="ＭＳ ゴシック"/>
          <w:sz w:val="32"/>
          <w:szCs w:val="32"/>
        </w:rPr>
      </w:pPr>
      <w:r>
        <w:rPr>
          <w:noProof/>
        </w:rPr>
        <mc:AlternateContent>
          <mc:Choice Requires="wps">
            <w:drawing>
              <wp:anchor distT="45720" distB="45720" distL="114300" distR="114300" simplePos="0" relativeHeight="251659264" behindDoc="0" locked="0" layoutInCell="1" allowOverlap="1" wp14:anchorId="649C1325" wp14:editId="2B4FB434">
                <wp:simplePos x="0" y="0"/>
                <wp:positionH relativeFrom="margin">
                  <wp:align>right</wp:align>
                </wp:positionH>
                <wp:positionV relativeFrom="paragraph">
                  <wp:posOffset>2540</wp:posOffset>
                </wp:positionV>
                <wp:extent cx="882015" cy="304800"/>
                <wp:effectExtent l="0" t="0" r="1333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04800"/>
                        </a:xfrm>
                        <a:prstGeom prst="rect">
                          <a:avLst/>
                        </a:prstGeom>
                        <a:solidFill>
                          <a:srgbClr val="FFFFFF"/>
                        </a:solidFill>
                        <a:ln w="9525">
                          <a:solidFill>
                            <a:srgbClr val="000000"/>
                          </a:solidFill>
                          <a:miter lim="800000"/>
                          <a:headEnd/>
                          <a:tailEnd/>
                        </a:ln>
                      </wps:spPr>
                      <wps:txbx>
                        <w:txbxContent>
                          <w:p w14:paraId="4EF9F0F3" w14:textId="3A547AD1" w:rsidR="00A96402" w:rsidRPr="00A96402" w:rsidRDefault="00A96402" w:rsidP="00A96402">
                            <w:pPr>
                              <w:jc w:val="center"/>
                              <w:rPr>
                                <w:rFonts w:ascii="ＭＳ ゴシック" w:eastAsia="ＭＳ ゴシック" w:hAnsi="ＭＳ ゴシック"/>
                              </w:rPr>
                            </w:pPr>
                            <w:r w:rsidRPr="00A96402">
                              <w:rPr>
                                <w:rFonts w:ascii="ＭＳ ゴシック" w:eastAsia="ＭＳ ゴシック" w:hAnsi="ＭＳ ゴシック" w:hint="eastAsia"/>
                              </w:rPr>
                              <w:t>資料５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C1325" id="_x0000_t202" coordsize="21600,21600" o:spt="202" path="m,l,21600r21600,l21600,xe">
                <v:stroke joinstyle="miter"/>
                <v:path gradientshapeok="t" o:connecttype="rect"/>
              </v:shapetype>
              <v:shape id="テキスト ボックス 2" o:spid="_x0000_s1026" type="#_x0000_t202" style="position:absolute;left:0;text-align:left;margin-left:18.25pt;margin-top:.2pt;width:69.4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">
                <v:textbox>
                  <w:txbxContent>
                    <w:p w14:paraId="4EF9F0F3" w14:textId="3A547AD1" w:rsidR="00A96402" w:rsidRPr="00A96402" w:rsidRDefault="00A96402" w:rsidP="00A96402">
                      <w:pPr>
                        <w:jc w:val="center"/>
                        <w:rPr>
                          <w:rFonts w:ascii="ＭＳ ゴシック" w:eastAsia="ＭＳ ゴシック" w:hAnsi="ＭＳ ゴシック"/>
                        </w:rPr>
                      </w:pPr>
                      <w:r w:rsidRPr="00A96402">
                        <w:rPr>
                          <w:rFonts w:ascii="ＭＳ ゴシック" w:eastAsia="ＭＳ ゴシック" w:hAnsi="ＭＳ ゴシック" w:hint="eastAsia"/>
                        </w:rPr>
                        <w:t>資料</w:t>
                      </w:r>
                      <w:r w:rsidRPr="00A96402">
                        <w:rPr>
                          <w:rFonts w:ascii="ＭＳ ゴシック" w:eastAsia="ＭＳ ゴシック" w:hAnsi="ＭＳ ゴシック" w:hint="eastAsia"/>
                        </w:rPr>
                        <w:t>５</w:t>
                      </w:r>
                    </w:p>
                  </w:txbxContent>
                </v:textbox>
                <w10:wrap type="square" anchorx="margin"/>
              </v:shape>
            </w:pict>
          </mc:Fallback>
        </mc:AlternateContent>
      </w:r>
      <w:r w:rsidR="00180EC2" w:rsidRPr="00180EC2">
        <w:rPr>
          <w:rFonts w:ascii="ＭＳ ゴシック" w:eastAsia="ＭＳ ゴシック" w:hAnsi="ＭＳ ゴシック" w:hint="eastAsia"/>
          <w:sz w:val="32"/>
          <w:szCs w:val="32"/>
        </w:rPr>
        <w:t>ワークシート</w:t>
      </w:r>
    </w:p>
    <w:p w14:paraId="6000C5C5" w14:textId="339F1934" w:rsidR="006972A5" w:rsidRPr="00180EC2" w:rsidRDefault="00180EC2" w:rsidP="00180EC2">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B760F0" w:rsidRPr="00180EC2">
        <w:rPr>
          <w:rFonts w:ascii="ＭＳ ゴシック" w:eastAsia="ＭＳ ゴシック" w:hAnsi="ＭＳ ゴシック" w:hint="eastAsia"/>
          <w:sz w:val="26"/>
          <w:szCs w:val="26"/>
        </w:rPr>
        <w:t>大阪府における</w:t>
      </w:r>
      <w:r w:rsidR="00A3383B" w:rsidRPr="00180EC2">
        <w:rPr>
          <w:rFonts w:ascii="ＭＳ ゴシック" w:eastAsia="ＭＳ ゴシック" w:hAnsi="ＭＳ ゴシック" w:hint="eastAsia"/>
          <w:sz w:val="26"/>
          <w:szCs w:val="26"/>
        </w:rPr>
        <w:t>インターネット上の人権侵害の現状と今後の方向性について</w:t>
      </w:r>
      <w:r>
        <w:rPr>
          <w:rFonts w:ascii="ＭＳ ゴシック" w:eastAsia="ＭＳ ゴシック" w:hAnsi="ＭＳ ゴシック" w:hint="eastAsia"/>
          <w:sz w:val="26"/>
          <w:szCs w:val="26"/>
        </w:rPr>
        <w:t>）</w:t>
      </w:r>
    </w:p>
    <w:p w14:paraId="18AFF068" w14:textId="77777777" w:rsidR="00A3383B" w:rsidRPr="00A3383B" w:rsidRDefault="00A3383B" w:rsidP="00180EC2">
      <w:pPr>
        <w:rPr>
          <w:rFonts w:ascii="ＭＳ ゴシック" w:eastAsia="ＭＳ ゴシック" w:hAnsi="ＭＳ ゴシック"/>
          <w:sz w:val="22"/>
        </w:rPr>
      </w:pPr>
    </w:p>
    <w:tbl>
      <w:tblPr>
        <w:tblStyle w:val="a3"/>
        <w:tblW w:w="21683" w:type="dxa"/>
        <w:tblLook w:val="04A0" w:firstRow="1" w:lastRow="0" w:firstColumn="1" w:lastColumn="0" w:noHBand="0" w:noVBand="1"/>
      </w:tblPr>
      <w:tblGrid>
        <w:gridCol w:w="1698"/>
        <w:gridCol w:w="3967"/>
        <w:gridCol w:w="8364"/>
        <w:gridCol w:w="7654"/>
      </w:tblGrid>
      <w:tr w:rsidR="002942DE" w14:paraId="51D07AB3" w14:textId="77777777" w:rsidTr="002942DE">
        <w:tc>
          <w:tcPr>
            <w:tcW w:w="1698" w:type="dxa"/>
          </w:tcPr>
          <w:p w14:paraId="30A69774" w14:textId="77777777" w:rsidR="002942DE" w:rsidRDefault="002942DE" w:rsidP="00A3383B">
            <w:pPr>
              <w:jc w:val="center"/>
              <w:rPr>
                <w:rFonts w:ascii="ＭＳ ゴシック" w:eastAsia="ＭＳ ゴシック" w:hAnsi="ＭＳ ゴシック"/>
                <w:sz w:val="22"/>
              </w:rPr>
            </w:pPr>
            <w:r>
              <w:rPr>
                <w:rFonts w:ascii="ＭＳ ゴシック" w:eastAsia="ＭＳ ゴシック" w:hAnsi="ＭＳ ゴシック" w:hint="eastAsia"/>
                <w:sz w:val="22"/>
              </w:rPr>
              <w:t>項　目</w:t>
            </w:r>
          </w:p>
        </w:tc>
        <w:tc>
          <w:tcPr>
            <w:tcW w:w="3967" w:type="dxa"/>
          </w:tcPr>
          <w:p w14:paraId="020D1689" w14:textId="77777777" w:rsidR="002942DE" w:rsidRDefault="002942DE" w:rsidP="00232C72">
            <w:pPr>
              <w:jc w:val="center"/>
              <w:rPr>
                <w:rFonts w:ascii="ＭＳ ゴシック" w:eastAsia="ＭＳ ゴシック" w:hAnsi="ＭＳ ゴシック"/>
                <w:sz w:val="22"/>
              </w:rPr>
            </w:pPr>
            <w:r>
              <w:rPr>
                <w:rFonts w:ascii="ＭＳ ゴシック" w:eastAsia="ＭＳ ゴシック" w:hAnsi="ＭＳ ゴシック" w:hint="eastAsia"/>
                <w:sz w:val="22"/>
              </w:rPr>
              <w:t>府の現状</w:t>
            </w:r>
          </w:p>
        </w:tc>
        <w:tc>
          <w:tcPr>
            <w:tcW w:w="8364" w:type="dxa"/>
            <w:tcBorders>
              <w:right w:val="single" w:sz="12" w:space="0" w:color="auto"/>
            </w:tcBorders>
          </w:tcPr>
          <w:p w14:paraId="4B262DA2" w14:textId="77777777" w:rsidR="002942DE" w:rsidRDefault="002942DE" w:rsidP="00A3383B">
            <w:pPr>
              <w:jc w:val="center"/>
              <w:rPr>
                <w:rFonts w:ascii="ＭＳ ゴシック" w:eastAsia="ＭＳ ゴシック" w:hAnsi="ＭＳ ゴシック"/>
                <w:sz w:val="22"/>
              </w:rPr>
            </w:pPr>
            <w:r>
              <w:rPr>
                <w:rFonts w:ascii="ＭＳ ゴシック" w:eastAsia="ＭＳ ゴシック" w:hAnsi="ＭＳ ゴシック" w:hint="eastAsia"/>
                <w:sz w:val="22"/>
              </w:rPr>
              <w:t>主な委員意見</w:t>
            </w:r>
          </w:p>
        </w:tc>
        <w:tc>
          <w:tcPr>
            <w:tcW w:w="7654" w:type="dxa"/>
            <w:tcBorders>
              <w:top w:val="single" w:sz="12" w:space="0" w:color="auto"/>
              <w:left w:val="single" w:sz="12" w:space="0" w:color="auto"/>
              <w:bottom w:val="single" w:sz="12" w:space="0" w:color="auto"/>
              <w:right w:val="single" w:sz="12" w:space="0" w:color="auto"/>
            </w:tcBorders>
          </w:tcPr>
          <w:p w14:paraId="12B16B9C" w14:textId="6BCA0952" w:rsidR="002942DE" w:rsidRPr="00145A9F" w:rsidRDefault="002942DE" w:rsidP="00A3383B">
            <w:pPr>
              <w:jc w:val="center"/>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今後の論点（たたき台）</w:t>
            </w:r>
          </w:p>
        </w:tc>
      </w:tr>
      <w:tr w:rsidR="002942DE" w14:paraId="7CEA103A" w14:textId="77777777" w:rsidTr="002942DE">
        <w:tc>
          <w:tcPr>
            <w:tcW w:w="1698" w:type="dxa"/>
          </w:tcPr>
          <w:p w14:paraId="45FFFA5F" w14:textId="77777777" w:rsidR="002942DE" w:rsidRDefault="002942DE">
            <w:pPr>
              <w:rPr>
                <w:rFonts w:ascii="ＭＳ ゴシック" w:eastAsia="ＭＳ ゴシック" w:hAnsi="ＭＳ ゴシック"/>
                <w:sz w:val="22"/>
              </w:rPr>
            </w:pPr>
            <w:r>
              <w:rPr>
                <w:rFonts w:ascii="ＭＳ ゴシック" w:eastAsia="ＭＳ ゴシック" w:hAnsi="ＭＳ ゴシック" w:hint="eastAsia"/>
                <w:sz w:val="22"/>
              </w:rPr>
              <w:t>教育・啓発</w:t>
            </w:r>
          </w:p>
        </w:tc>
        <w:tc>
          <w:tcPr>
            <w:tcW w:w="3967" w:type="dxa"/>
          </w:tcPr>
          <w:p w14:paraId="0834E415" w14:textId="77777777" w:rsidR="002942DE" w:rsidRDefault="002942DE" w:rsidP="0079233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A4250">
              <w:rPr>
                <w:rFonts w:ascii="ＭＳ ゴシック" w:eastAsia="ＭＳ ゴシック" w:hAnsi="ＭＳ ゴシック" w:hint="eastAsia"/>
                <w:sz w:val="22"/>
              </w:rPr>
              <w:t>インターネットリテラシー</w:t>
            </w:r>
            <w:r>
              <w:rPr>
                <w:rFonts w:ascii="ＭＳ ゴシック" w:eastAsia="ＭＳ ゴシック" w:hAnsi="ＭＳ ゴシック" w:hint="eastAsia"/>
                <w:sz w:val="22"/>
              </w:rPr>
              <w:t>の</w:t>
            </w:r>
            <w:r w:rsidRPr="00CA4250">
              <w:rPr>
                <w:rFonts w:ascii="ＭＳ ゴシック" w:eastAsia="ＭＳ ゴシック" w:hAnsi="ＭＳ ゴシック" w:hint="eastAsia"/>
                <w:sz w:val="22"/>
              </w:rPr>
              <w:t>向上を図るための教育・啓発を実施。とりわけ、</w:t>
            </w:r>
            <w:r>
              <w:rPr>
                <w:rFonts w:ascii="ＭＳ ゴシック" w:eastAsia="ＭＳ ゴシック" w:hAnsi="ＭＳ ゴシック" w:hint="eastAsia"/>
                <w:sz w:val="22"/>
              </w:rPr>
              <w:t>ＳＮＳ</w:t>
            </w:r>
            <w:r w:rsidRPr="00CA4250">
              <w:rPr>
                <w:rFonts w:ascii="ＭＳ ゴシック" w:eastAsia="ＭＳ ゴシック" w:hAnsi="ＭＳ ゴシック"/>
                <w:sz w:val="22"/>
              </w:rPr>
              <w:t>利用率の高い若い世代に対する施策を重点的に実施。</w:t>
            </w:r>
          </w:p>
        </w:tc>
        <w:tc>
          <w:tcPr>
            <w:tcW w:w="8364" w:type="dxa"/>
            <w:tcBorders>
              <w:right w:val="single" w:sz="12" w:space="0" w:color="auto"/>
            </w:tcBorders>
          </w:tcPr>
          <w:p w14:paraId="701EBDBC" w14:textId="77777777" w:rsidR="002942DE" w:rsidRPr="00CC606F" w:rsidRDefault="002942DE" w:rsidP="00792339">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xml:space="preserve">○　</w:t>
            </w:r>
            <w:r w:rsidRPr="00CC606F">
              <w:rPr>
                <w:rFonts w:ascii="ＭＳ ゴシック" w:eastAsia="ＭＳ ゴシック" w:hAnsi="ＭＳ ゴシック"/>
                <w:sz w:val="22"/>
              </w:rPr>
              <w:t>若い世代だけでなく、幅広い年代や立場等に配慮して取り組んでいく必要がある。</w:t>
            </w:r>
          </w:p>
          <w:p w14:paraId="6661D9C5" w14:textId="77777777" w:rsidR="002942DE" w:rsidRDefault="002942DE" w:rsidP="00792339">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民間企業や経済団体、消費生活センター、教育機関、市町村等とも積極的に連携・協力を行い、効果的な教育・啓発を行う必要がある。</w:t>
            </w:r>
          </w:p>
        </w:tc>
        <w:tc>
          <w:tcPr>
            <w:tcW w:w="7654" w:type="dxa"/>
            <w:tcBorders>
              <w:top w:val="single" w:sz="12" w:space="0" w:color="auto"/>
              <w:left w:val="single" w:sz="12" w:space="0" w:color="auto"/>
              <w:bottom w:val="single" w:sz="12" w:space="0" w:color="auto"/>
              <w:right w:val="single" w:sz="12" w:space="0" w:color="auto"/>
            </w:tcBorders>
          </w:tcPr>
          <w:p w14:paraId="52EC39CD" w14:textId="64298C16" w:rsidR="002942DE" w:rsidRPr="00145A9F" w:rsidRDefault="002942DE" w:rsidP="000A02DA">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府民が加害行為者とならないよう、</w:t>
            </w:r>
            <w:r w:rsidRPr="00145A9F">
              <w:rPr>
                <w:rFonts w:ascii="ＭＳ ゴシック" w:eastAsia="ＭＳ ゴシック" w:hAnsi="ＭＳ ゴシック" w:hint="eastAsia"/>
                <w:color w:val="000000" w:themeColor="text1"/>
                <w:sz w:val="22"/>
              </w:rPr>
              <w:t>幅広い年代への取組としてどのようなものが考えられるか。</w:t>
            </w:r>
          </w:p>
          <w:p w14:paraId="4B724224" w14:textId="453F7784" w:rsidR="002942DE" w:rsidRPr="00145A9F" w:rsidRDefault="002942DE" w:rsidP="000A02DA">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関係機関との連携として、府としてどのような取組が効果的と考えられるか。</w:t>
            </w:r>
          </w:p>
        </w:tc>
      </w:tr>
      <w:tr w:rsidR="002942DE" w14:paraId="6BFDFF91" w14:textId="77777777" w:rsidTr="002942DE">
        <w:tc>
          <w:tcPr>
            <w:tcW w:w="1698" w:type="dxa"/>
          </w:tcPr>
          <w:p w14:paraId="3A7D822C" w14:textId="77777777" w:rsidR="002942DE" w:rsidRDefault="002942DE">
            <w:pPr>
              <w:rPr>
                <w:rFonts w:ascii="ＭＳ ゴシック" w:eastAsia="ＭＳ ゴシック" w:hAnsi="ＭＳ ゴシック"/>
                <w:sz w:val="22"/>
              </w:rPr>
            </w:pPr>
            <w:r>
              <w:rPr>
                <w:rFonts w:ascii="ＭＳ ゴシック" w:eastAsia="ＭＳ ゴシック" w:hAnsi="ＭＳ ゴシック" w:hint="eastAsia"/>
                <w:sz w:val="22"/>
              </w:rPr>
              <w:t>相談事業</w:t>
            </w:r>
          </w:p>
        </w:tc>
        <w:tc>
          <w:tcPr>
            <w:tcW w:w="3967" w:type="dxa"/>
          </w:tcPr>
          <w:p w14:paraId="7BF7AA9F" w14:textId="77777777" w:rsidR="002942DE" w:rsidRDefault="002942DE" w:rsidP="0079233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32C72">
              <w:rPr>
                <w:rFonts w:ascii="ＭＳ ゴシック" w:eastAsia="ＭＳ ゴシック" w:hAnsi="ＭＳ ゴシック" w:hint="eastAsia"/>
                <w:sz w:val="22"/>
              </w:rPr>
              <w:t>府に人権相談窓口を設置し専門機関と連携した相談、市町村交付金による市町村の相談事業の支援、市町村相談職員向けのネット相談に関する研修等、相談体制の充実を図る取組を実施。</w:t>
            </w:r>
          </w:p>
        </w:tc>
        <w:tc>
          <w:tcPr>
            <w:tcW w:w="8364" w:type="dxa"/>
            <w:tcBorders>
              <w:right w:val="single" w:sz="12" w:space="0" w:color="auto"/>
            </w:tcBorders>
          </w:tcPr>
          <w:p w14:paraId="67599164" w14:textId="77777777" w:rsidR="002942DE" w:rsidRPr="00CC606F" w:rsidRDefault="002942DE" w:rsidP="0079233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インターネットに関する問題については</w:t>
            </w:r>
            <w:r w:rsidRPr="00CC606F">
              <w:rPr>
                <w:rFonts w:ascii="ＭＳ ゴシック" w:eastAsia="ＭＳ ゴシック" w:hAnsi="ＭＳ ゴシック" w:hint="eastAsia"/>
                <w:sz w:val="22"/>
              </w:rPr>
              <w:t>様々存在するが、被害者にとって最も適切な相談窓口にたどり着くことが難しい状況にあり、被害者に寄り添った相談窓口の整備が必要である。</w:t>
            </w:r>
          </w:p>
          <w:p w14:paraId="722B9E70" w14:textId="77777777" w:rsidR="002942DE" w:rsidRPr="00CC606F" w:rsidRDefault="002942DE" w:rsidP="00792339">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xml:space="preserve">　　例えば、よりわかりやすいホームページの作成や、ワンストップで広く</w:t>
            </w:r>
            <w:r>
              <w:rPr>
                <w:rFonts w:ascii="ＭＳ ゴシック" w:eastAsia="ＭＳ ゴシック" w:hAnsi="ＭＳ ゴシック" w:hint="eastAsia"/>
                <w:sz w:val="22"/>
              </w:rPr>
              <w:t>相談を</w:t>
            </w:r>
            <w:r w:rsidRPr="00CC606F">
              <w:rPr>
                <w:rFonts w:ascii="ＭＳ ゴシック" w:eastAsia="ＭＳ ゴシック" w:hAnsi="ＭＳ ゴシック" w:hint="eastAsia"/>
                <w:sz w:val="22"/>
              </w:rPr>
              <w:t>受け付け、そこから必要に応じて関係機関に繋ぐ仕組みの構築などが考えられる。</w:t>
            </w:r>
          </w:p>
          <w:p w14:paraId="0E6A2B39" w14:textId="77777777" w:rsidR="002942DE" w:rsidRPr="00CC606F" w:rsidRDefault="002942DE" w:rsidP="0079233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C606F">
              <w:rPr>
                <w:rFonts w:ascii="ＭＳ ゴシック" w:eastAsia="ＭＳ ゴシック" w:hAnsi="ＭＳ ゴシック" w:hint="eastAsia"/>
                <w:sz w:val="22"/>
              </w:rPr>
              <w:t>国等の他の相談機関との役割分担や連携に加え、インターネット上の問題や司法手続、人権問題等に関する専門的な知識を有し、被害者や加害行為者からの相談に的確に対応できる相談員の確保が難しいことが</w:t>
            </w:r>
            <w:r>
              <w:rPr>
                <w:rFonts w:ascii="ＭＳ ゴシック" w:eastAsia="ＭＳ ゴシック" w:hAnsi="ＭＳ ゴシック" w:hint="eastAsia"/>
                <w:sz w:val="22"/>
              </w:rPr>
              <w:t>課題としてあげられる</w:t>
            </w:r>
            <w:r w:rsidRPr="00CC606F">
              <w:rPr>
                <w:rFonts w:ascii="ＭＳ ゴシック" w:eastAsia="ＭＳ ゴシック" w:hAnsi="ＭＳ ゴシック" w:hint="eastAsia"/>
                <w:sz w:val="22"/>
              </w:rPr>
              <w:t>。</w:t>
            </w:r>
          </w:p>
          <w:p w14:paraId="1A08D8FD" w14:textId="77777777" w:rsidR="002942DE" w:rsidRDefault="002942DE" w:rsidP="00792339">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相談事例や対応事例を収集し、ホームページや啓発冊子等を通じてわかりやすく府民に提供することや、被害者間において情報交換や意見交換ができる場の仕組みなど、被害者の安心に繋がる取組について、検討する必要がある。</w:t>
            </w:r>
          </w:p>
        </w:tc>
        <w:tc>
          <w:tcPr>
            <w:tcW w:w="7654" w:type="dxa"/>
            <w:tcBorders>
              <w:top w:val="single" w:sz="12" w:space="0" w:color="auto"/>
              <w:left w:val="single" w:sz="12" w:space="0" w:color="auto"/>
              <w:bottom w:val="single" w:sz="12" w:space="0" w:color="auto"/>
              <w:right w:val="single" w:sz="12" w:space="0" w:color="auto"/>
            </w:tcBorders>
          </w:tcPr>
          <w:p w14:paraId="64A607C1" w14:textId="6B9F2301" w:rsidR="002942DE" w:rsidRPr="00145A9F" w:rsidRDefault="002942DE" w:rsidP="00161801">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国・都道府県・市町村それぞれに相談窓口があるなか、府としてどのような取組が効果的か。</w:t>
            </w:r>
          </w:p>
          <w:p w14:paraId="23BFBFE7" w14:textId="4DB39B57" w:rsidR="002942DE" w:rsidRPr="00145A9F" w:rsidRDefault="002942DE" w:rsidP="00161801">
            <w:pPr>
              <w:ind w:leftChars="100" w:left="21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被害者や加害行為者</w:t>
            </w:r>
            <w:bookmarkStart w:id="0" w:name="_GoBack"/>
            <w:bookmarkEnd w:id="0"/>
            <w:r w:rsidRPr="00145A9F">
              <w:rPr>
                <w:rFonts w:ascii="ＭＳ ゴシック" w:eastAsia="ＭＳ ゴシック" w:hAnsi="ＭＳ ゴシック" w:hint="eastAsia"/>
                <w:color w:val="000000" w:themeColor="text1"/>
                <w:sz w:val="22"/>
              </w:rPr>
              <w:t>を対象とした寄り添い型の相談窓口にはどのような機能や特色が必要と考えられるか。</w:t>
            </w:r>
          </w:p>
          <w:p w14:paraId="0E31BA2B" w14:textId="3F98E88D" w:rsidR="002942DE" w:rsidRPr="00145A9F" w:rsidRDefault="002942DE" w:rsidP="00655651">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専門知識を有する相談員をいかに確保、育成するか。</w:t>
            </w:r>
          </w:p>
          <w:p w14:paraId="68929AC1" w14:textId="582767D4" w:rsidR="002942DE" w:rsidRPr="00145A9F" w:rsidRDefault="002942DE" w:rsidP="00056DE0">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被害者間の情報交換の場としてはどのようなものが考えられるか。また、仕組みづくりに向け、どのように取り組むべきか。</w:t>
            </w:r>
          </w:p>
        </w:tc>
      </w:tr>
      <w:tr w:rsidR="002942DE" w14:paraId="0B2E436D" w14:textId="77777777" w:rsidTr="002942DE">
        <w:tc>
          <w:tcPr>
            <w:tcW w:w="1698" w:type="dxa"/>
          </w:tcPr>
          <w:p w14:paraId="0A42424F" w14:textId="77777777" w:rsidR="002942DE" w:rsidRDefault="002942DE">
            <w:pPr>
              <w:rPr>
                <w:rFonts w:ascii="ＭＳ ゴシック" w:eastAsia="ＭＳ ゴシック" w:hAnsi="ＭＳ ゴシック"/>
                <w:sz w:val="22"/>
              </w:rPr>
            </w:pPr>
            <w:r>
              <w:rPr>
                <w:rFonts w:ascii="ＭＳ ゴシック" w:eastAsia="ＭＳ ゴシック" w:hAnsi="ＭＳ ゴシック" w:hint="eastAsia"/>
                <w:sz w:val="22"/>
              </w:rPr>
              <w:t>被害者支援</w:t>
            </w:r>
          </w:p>
        </w:tc>
        <w:tc>
          <w:tcPr>
            <w:tcW w:w="3967" w:type="dxa"/>
          </w:tcPr>
          <w:p w14:paraId="2AF68214" w14:textId="77777777" w:rsidR="002942DE" w:rsidRDefault="002942DE" w:rsidP="0079233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32C72">
              <w:rPr>
                <w:rFonts w:ascii="ＭＳ ゴシック" w:eastAsia="ＭＳ ゴシック" w:hAnsi="ＭＳ ゴシック" w:hint="eastAsia"/>
                <w:sz w:val="22"/>
              </w:rPr>
              <w:t>いわゆる同和地区の摘示、賤称語や蔑称、侮辱的表現を用いた悪質な部落差別及びヘイトスピーチといった明らかに差別を助長するような差別書込みについて、プロバイダや法務省・法務局に対して、削除要請を実施。</w:t>
            </w:r>
          </w:p>
        </w:tc>
        <w:tc>
          <w:tcPr>
            <w:tcW w:w="8364" w:type="dxa"/>
            <w:tcBorders>
              <w:right w:val="single" w:sz="12" w:space="0" w:color="auto"/>
            </w:tcBorders>
          </w:tcPr>
          <w:p w14:paraId="4DE907A4" w14:textId="77777777" w:rsidR="002942DE" w:rsidRPr="00CC606F" w:rsidRDefault="002942DE" w:rsidP="00792339">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不特定多数の者に対する共通の属性を理由とした差別的言動や識別情報の摘示といった人権侵害については、府として責任をもって取り組んでいく必要がある。</w:t>
            </w:r>
          </w:p>
          <w:p w14:paraId="7FD6F844" w14:textId="77777777" w:rsidR="002942DE" w:rsidRPr="00CC606F" w:rsidRDefault="002942DE" w:rsidP="00792339">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一方、</w:t>
            </w:r>
            <w:r w:rsidRPr="00CC606F">
              <w:rPr>
                <w:rFonts w:ascii="ＭＳ ゴシック" w:eastAsia="ＭＳ ゴシック" w:hAnsi="ＭＳ ゴシック" w:hint="eastAsia"/>
                <w:sz w:val="22"/>
              </w:rPr>
              <w:t>特定の個人・法人に対する名誉毀損やプライバシー侵害といった人権侵害については、まずは本人が対応するのが基本と考えられ、行政として、どのような支援ができるのか、引き続き検討する必要がある。</w:t>
            </w:r>
          </w:p>
          <w:p w14:paraId="74FF32CC" w14:textId="77777777" w:rsidR="002942DE" w:rsidRPr="00CC606F" w:rsidRDefault="002942DE" w:rsidP="00792339">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命にかかわるもの、刑事事件の対象となるようなもの、差別につながる恐れのあるもの、膨大な数に及ぶもの等、取組の対象をどのように絞り込んでいくのか、具体的な判断は容易ではなく、第三者機関の必要性を含め、検討する必要がある。</w:t>
            </w:r>
          </w:p>
          <w:p w14:paraId="7D4CC41A" w14:textId="77777777" w:rsidR="002942DE" w:rsidRPr="00CC606F" w:rsidRDefault="002942DE" w:rsidP="00792339">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具体的な取組として、府による削除要請の対象を広げることが考えられるが、削除要請については既に法務省やセーファーインターネット協会が実施しており、府が実施することの効果等について、さらに検討する必要がある。</w:t>
            </w:r>
          </w:p>
          <w:p w14:paraId="050C0D5D" w14:textId="77777777" w:rsidR="002942DE" w:rsidRDefault="002942DE" w:rsidP="00560A46">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その</w:t>
            </w:r>
            <w:r>
              <w:rPr>
                <w:rFonts w:ascii="ＭＳ ゴシック" w:eastAsia="ＭＳ ゴシック" w:hAnsi="ＭＳ ゴシック" w:hint="eastAsia"/>
                <w:sz w:val="22"/>
              </w:rPr>
              <w:t>他</w:t>
            </w:r>
            <w:r w:rsidRPr="00CC606F">
              <w:rPr>
                <w:rFonts w:ascii="ＭＳ ゴシック" w:eastAsia="ＭＳ ゴシック" w:hAnsi="ＭＳ ゴシック" w:hint="eastAsia"/>
                <w:sz w:val="22"/>
              </w:rPr>
              <w:t>、犯罪被害者支援の一環として、侮辱や名誉毀損に遭われた被害者を支援していくことができないか、被害者に大きな負担となっている発信者情報開示請求や削除要請に伴う司法手続に対して支援ができないか、加害行為者に対して勧告等はできないかといった意見があり、引き続き、検討を進めていく必要がある。</w:t>
            </w:r>
          </w:p>
        </w:tc>
        <w:tc>
          <w:tcPr>
            <w:tcW w:w="7654" w:type="dxa"/>
            <w:tcBorders>
              <w:top w:val="single" w:sz="12" w:space="0" w:color="auto"/>
              <w:left w:val="single" w:sz="12" w:space="0" w:color="auto"/>
              <w:bottom w:val="single" w:sz="12" w:space="0" w:color="auto"/>
              <w:right w:val="single" w:sz="12" w:space="0" w:color="auto"/>
            </w:tcBorders>
          </w:tcPr>
          <w:p w14:paraId="3A695C43" w14:textId="42836B03" w:rsidR="002942DE" w:rsidRPr="00145A9F" w:rsidRDefault="002942DE" w:rsidP="00F239E9">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悪質な情報の削除や罰則等は最終的には国の責務として行うべきであるが、必要な制度が整備されるまでの間、府として実施可能な実効性ある取組はどのようなものがあるか。</w:t>
            </w:r>
          </w:p>
          <w:p w14:paraId="20A8747B" w14:textId="1773E970" w:rsidR="002942DE" w:rsidRPr="00145A9F" w:rsidRDefault="002942DE" w:rsidP="00604A2C">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対象をどのように絞り込んでいくのか。その判断、基準等をどうするか。また、第三者機関の必要性についてどう考えるか。</w:t>
            </w:r>
          </w:p>
          <w:p w14:paraId="49FADCBC" w14:textId="700158B1" w:rsidR="002942DE" w:rsidRPr="00145A9F" w:rsidRDefault="002942DE" w:rsidP="00F239E9">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削除要請の対象範囲を広げることはどうか。府が削除要請を実施する効果等についてどう考えるか。</w:t>
            </w:r>
          </w:p>
          <w:p w14:paraId="7777FCEB" w14:textId="2251AC66" w:rsidR="002942DE" w:rsidRPr="00145A9F" w:rsidRDefault="002942DE" w:rsidP="0043652D">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犯罪被害者支援の一環としての支援、司法手続に対する支援、勧告等の措置について、その効果や法的課題を含め、どのように考えるか。</w:t>
            </w:r>
          </w:p>
        </w:tc>
      </w:tr>
      <w:tr w:rsidR="002942DE" w14:paraId="3E9F03B5" w14:textId="77777777" w:rsidTr="002942DE">
        <w:tc>
          <w:tcPr>
            <w:tcW w:w="1698" w:type="dxa"/>
          </w:tcPr>
          <w:p w14:paraId="08DD5536" w14:textId="77777777" w:rsidR="002942DE" w:rsidRDefault="002942DE">
            <w:pPr>
              <w:rPr>
                <w:rFonts w:ascii="ＭＳ ゴシック" w:eastAsia="ＭＳ ゴシック" w:hAnsi="ＭＳ ゴシック"/>
                <w:sz w:val="22"/>
              </w:rPr>
            </w:pPr>
            <w:r>
              <w:rPr>
                <w:rFonts w:ascii="ＭＳ ゴシック" w:eastAsia="ＭＳ ゴシック" w:hAnsi="ＭＳ ゴシック" w:hint="eastAsia"/>
                <w:sz w:val="22"/>
              </w:rPr>
              <w:t>国への提案</w:t>
            </w:r>
          </w:p>
        </w:tc>
        <w:tc>
          <w:tcPr>
            <w:tcW w:w="3967" w:type="dxa"/>
          </w:tcPr>
          <w:p w14:paraId="2E1ABD54" w14:textId="77777777" w:rsidR="002942DE" w:rsidRDefault="002942DE" w:rsidP="00560A4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32C72">
              <w:rPr>
                <w:rFonts w:ascii="ＭＳ ゴシック" w:eastAsia="ＭＳ ゴシック" w:hAnsi="ＭＳ ゴシック" w:hint="eastAsia"/>
                <w:sz w:val="22"/>
              </w:rPr>
              <w:t>当面の緊急的な措置として、重大かつ深刻な被害を及ぼす人権上、極めて悪質な情報に絞り、実効性のある事後的対処方策を提案（令和３年７月</w:t>
            </w:r>
            <w:r w:rsidRPr="00232C72">
              <w:rPr>
                <w:rFonts w:ascii="ＭＳ ゴシック" w:eastAsia="ＭＳ ゴシック" w:hAnsi="ＭＳ ゴシック"/>
                <w:sz w:val="22"/>
              </w:rPr>
              <w:t xml:space="preserve"> 知事から総務大臣・法務大臣）</w:t>
            </w:r>
          </w:p>
        </w:tc>
        <w:tc>
          <w:tcPr>
            <w:tcW w:w="8364" w:type="dxa"/>
            <w:tcBorders>
              <w:right w:val="single" w:sz="12" w:space="0" w:color="auto"/>
            </w:tcBorders>
          </w:tcPr>
          <w:p w14:paraId="52DE08A5" w14:textId="77777777" w:rsidR="002942DE" w:rsidRDefault="002942DE" w:rsidP="00560A46">
            <w:pPr>
              <w:ind w:left="220" w:hangingChars="100" w:hanging="220"/>
              <w:rPr>
                <w:rFonts w:ascii="ＭＳ ゴシック" w:eastAsia="ＭＳ ゴシック" w:hAnsi="ＭＳ ゴシック"/>
                <w:sz w:val="22"/>
              </w:rPr>
            </w:pPr>
            <w:r w:rsidRPr="00CC606F">
              <w:rPr>
                <w:rFonts w:ascii="ＭＳ ゴシック" w:eastAsia="ＭＳ ゴシック" w:hAnsi="ＭＳ ゴシック" w:hint="eastAsia"/>
                <w:sz w:val="22"/>
              </w:rPr>
              <w:t>○　インターネット上の人権侵害事象への対応は、憲法により保障された表現の自由の問題や、拡散性や匿名性といったインターネットの特性から、基本的には、国において全国統一的に対処すべきものと考えられ</w:t>
            </w:r>
            <w:r>
              <w:rPr>
                <w:rFonts w:ascii="ＭＳ ゴシック" w:eastAsia="ＭＳ ゴシック" w:hAnsi="ＭＳ ゴシック" w:hint="eastAsia"/>
                <w:sz w:val="22"/>
              </w:rPr>
              <w:t>、今後、</w:t>
            </w:r>
            <w:r w:rsidRPr="00CC606F">
              <w:rPr>
                <w:rFonts w:ascii="ＭＳ ゴシック" w:eastAsia="ＭＳ ゴシック" w:hAnsi="ＭＳ ゴシック" w:hint="eastAsia"/>
                <w:sz w:val="22"/>
              </w:rPr>
              <w:t>国において実施すべき施策等について、国への提案を行っていくことについても検討を進める。</w:t>
            </w:r>
          </w:p>
        </w:tc>
        <w:tc>
          <w:tcPr>
            <w:tcW w:w="7654" w:type="dxa"/>
            <w:tcBorders>
              <w:top w:val="single" w:sz="12" w:space="0" w:color="auto"/>
              <w:left w:val="single" w:sz="12" w:space="0" w:color="auto"/>
              <w:bottom w:val="single" w:sz="12" w:space="0" w:color="auto"/>
              <w:right w:val="single" w:sz="12" w:space="0" w:color="auto"/>
            </w:tcBorders>
          </w:tcPr>
          <w:p w14:paraId="2AFE8692" w14:textId="5185BCAE" w:rsidR="002942DE" w:rsidRPr="00145A9F" w:rsidRDefault="002942DE" w:rsidP="00463232">
            <w:pPr>
              <w:ind w:left="220" w:hangingChars="100" w:hanging="220"/>
              <w:rPr>
                <w:rFonts w:ascii="ＭＳ ゴシック" w:eastAsia="ＭＳ ゴシック" w:hAnsi="ＭＳ ゴシック"/>
                <w:color w:val="000000" w:themeColor="text1"/>
                <w:sz w:val="22"/>
              </w:rPr>
            </w:pPr>
            <w:r w:rsidRPr="00145A9F">
              <w:rPr>
                <w:rFonts w:ascii="ＭＳ ゴシック" w:eastAsia="ＭＳ ゴシック" w:hAnsi="ＭＳ ゴシック" w:hint="eastAsia"/>
                <w:color w:val="000000" w:themeColor="text1"/>
                <w:sz w:val="22"/>
              </w:rPr>
              <w:t>○　国において全国統一的に対処すべきものとして、実効性や実現可能性を踏まえ、提案内容をどのように絞り込むか。</w:t>
            </w:r>
          </w:p>
          <w:p w14:paraId="017D66B6" w14:textId="77777777" w:rsidR="002942DE" w:rsidRPr="00145A9F" w:rsidRDefault="002942DE">
            <w:pPr>
              <w:rPr>
                <w:rFonts w:ascii="ＭＳ ゴシック" w:eastAsia="ＭＳ ゴシック" w:hAnsi="ＭＳ ゴシック"/>
                <w:color w:val="000000" w:themeColor="text1"/>
                <w:sz w:val="22"/>
              </w:rPr>
            </w:pPr>
          </w:p>
        </w:tc>
      </w:tr>
    </w:tbl>
    <w:p w14:paraId="755E0593" w14:textId="77777777" w:rsidR="00A3383B" w:rsidRPr="00A3383B" w:rsidRDefault="00A3383B">
      <w:pPr>
        <w:rPr>
          <w:rFonts w:ascii="ＭＳ ゴシック" w:eastAsia="ＭＳ ゴシック" w:hAnsi="ＭＳ ゴシック"/>
          <w:sz w:val="22"/>
        </w:rPr>
      </w:pPr>
    </w:p>
    <w:sectPr w:rsidR="00A3383B" w:rsidRPr="00A3383B" w:rsidSect="00145A9F">
      <w:pgSz w:w="23808" w:h="16840" w:orient="landscape" w:code="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FB5AC" w14:textId="77777777" w:rsidR="00145A9F" w:rsidRDefault="00145A9F" w:rsidP="00145A9F">
      <w:r>
        <w:separator/>
      </w:r>
    </w:p>
  </w:endnote>
  <w:endnote w:type="continuationSeparator" w:id="0">
    <w:p w14:paraId="0795D1A2" w14:textId="77777777" w:rsidR="00145A9F" w:rsidRDefault="00145A9F" w:rsidP="0014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A3326" w14:textId="77777777" w:rsidR="00145A9F" w:rsidRDefault="00145A9F" w:rsidP="00145A9F">
      <w:r>
        <w:separator/>
      </w:r>
    </w:p>
  </w:footnote>
  <w:footnote w:type="continuationSeparator" w:id="0">
    <w:p w14:paraId="69335243" w14:textId="77777777" w:rsidR="00145A9F" w:rsidRDefault="00145A9F" w:rsidP="00145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3B"/>
    <w:rsid w:val="00056DE0"/>
    <w:rsid w:val="000A02DA"/>
    <w:rsid w:val="00145A9F"/>
    <w:rsid w:val="00161801"/>
    <w:rsid w:val="00180EC2"/>
    <w:rsid w:val="00232C72"/>
    <w:rsid w:val="002942DE"/>
    <w:rsid w:val="002F171C"/>
    <w:rsid w:val="0043652D"/>
    <w:rsid w:val="00463232"/>
    <w:rsid w:val="0049415E"/>
    <w:rsid w:val="00560A46"/>
    <w:rsid w:val="00604A2C"/>
    <w:rsid w:val="00655651"/>
    <w:rsid w:val="006D61B7"/>
    <w:rsid w:val="00792339"/>
    <w:rsid w:val="00A3383B"/>
    <w:rsid w:val="00A96402"/>
    <w:rsid w:val="00B760F0"/>
    <w:rsid w:val="00C253F2"/>
    <w:rsid w:val="00CA1D6D"/>
    <w:rsid w:val="00CA4250"/>
    <w:rsid w:val="00CC606F"/>
    <w:rsid w:val="00CD4261"/>
    <w:rsid w:val="00CF6859"/>
    <w:rsid w:val="00ED2A1E"/>
    <w:rsid w:val="00F23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E8FE5D"/>
  <w15:chartTrackingRefBased/>
  <w15:docId w15:val="{491C2FB3-6E83-49E7-945E-125D4AB1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A9F"/>
    <w:pPr>
      <w:tabs>
        <w:tab w:val="center" w:pos="4252"/>
        <w:tab w:val="right" w:pos="8504"/>
      </w:tabs>
      <w:snapToGrid w:val="0"/>
    </w:pPr>
  </w:style>
  <w:style w:type="character" w:customStyle="1" w:styleId="a5">
    <w:name w:val="ヘッダー (文字)"/>
    <w:basedOn w:val="a0"/>
    <w:link w:val="a4"/>
    <w:uiPriority w:val="99"/>
    <w:rsid w:val="00145A9F"/>
  </w:style>
  <w:style w:type="paragraph" w:styleId="a6">
    <w:name w:val="footer"/>
    <w:basedOn w:val="a"/>
    <w:link w:val="a7"/>
    <w:uiPriority w:val="99"/>
    <w:unhideWhenUsed/>
    <w:rsid w:val="00145A9F"/>
    <w:pPr>
      <w:tabs>
        <w:tab w:val="center" w:pos="4252"/>
        <w:tab w:val="right" w:pos="8504"/>
      </w:tabs>
      <w:snapToGrid w:val="0"/>
    </w:pPr>
  </w:style>
  <w:style w:type="character" w:customStyle="1" w:styleId="a7">
    <w:name w:val="フッター (文字)"/>
    <w:basedOn w:val="a0"/>
    <w:link w:val="a6"/>
    <w:uiPriority w:val="99"/>
    <w:rsid w:val="0014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安孝</dc:creator>
  <cp:keywords/>
  <dc:description/>
  <cp:lastModifiedBy>中谷　安孝</cp:lastModifiedBy>
  <cp:revision>16</cp:revision>
  <dcterms:created xsi:type="dcterms:W3CDTF">2022-08-16T02:26:00Z</dcterms:created>
  <dcterms:modified xsi:type="dcterms:W3CDTF">2022-08-23T05:35:00Z</dcterms:modified>
</cp:coreProperties>
</file>