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C900D7" w:rsidP="00862DF9">
      <w:pPr>
        <w:jc w:val="center"/>
        <w:rPr>
          <w:sz w:val="28"/>
          <w:szCs w:val="28"/>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5C6AE4E7" wp14:editId="0BDC49E3">
                <wp:simplePos x="0" y="0"/>
                <wp:positionH relativeFrom="column">
                  <wp:posOffset>4569460</wp:posOffset>
                </wp:positionH>
                <wp:positionV relativeFrom="paragraph">
                  <wp:posOffset>-146685</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900D7" w:rsidRPr="00CC55C6" w:rsidRDefault="00C900D7" w:rsidP="00C900D7">
                            <w:pPr>
                              <w:jc w:val="center"/>
                              <w:rPr>
                                <w:rFonts w:ascii="ＭＳ ゴシック" w:eastAsia="ＭＳ ゴシック" w:hAnsi="ＭＳ ゴシック"/>
                                <w:sz w:val="28"/>
                                <w:szCs w:val="28"/>
                              </w:rPr>
                            </w:pPr>
                            <w:r w:rsidRPr="00CC55C6">
                              <w:rPr>
                                <w:rFonts w:ascii="ＭＳ ゴシック" w:eastAsia="ＭＳ ゴシック" w:hAnsi="ＭＳ ゴシック" w:hint="eastAsia"/>
                                <w:sz w:val="28"/>
                                <w:szCs w:val="28"/>
                              </w:rPr>
                              <w:t>参考資料１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AE4E7" id="正方形/長方形 2" o:spid="_x0000_s1026" style="position:absolute;left:0;text-align:left;margin-left:359.8pt;margin-top:-11.55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" fillcolor="white [3201]" strokecolor="black [3200]" strokeweight="1pt">
                <v:textbox>
                  <w:txbxContent>
                    <w:p w:rsidR="00C900D7" w:rsidRPr="00CC55C6" w:rsidRDefault="00C900D7" w:rsidP="00C900D7">
                      <w:pPr>
                        <w:jc w:val="center"/>
                        <w:rPr>
                          <w:rFonts w:ascii="ＭＳ ゴシック" w:eastAsia="ＭＳ ゴシック" w:hAnsi="ＭＳ ゴシック"/>
                          <w:sz w:val="28"/>
                          <w:szCs w:val="28"/>
                        </w:rPr>
                      </w:pPr>
                      <w:r w:rsidRPr="00CC55C6">
                        <w:rPr>
                          <w:rFonts w:ascii="ＭＳ ゴシック" w:eastAsia="ＭＳ ゴシック" w:hAnsi="ＭＳ ゴシック" w:hint="eastAsia"/>
                          <w:sz w:val="28"/>
                          <w:szCs w:val="28"/>
                        </w:rPr>
                        <w:t>参考資料１</w:t>
                      </w:r>
                    </w:p>
                  </w:txbxContent>
                </v:textbox>
              </v:rect>
            </w:pict>
          </mc:Fallback>
        </mc:AlternateContent>
      </w:r>
      <w:r w:rsidR="002C1644">
        <w:rPr>
          <w:rFonts w:hint="eastAsia"/>
          <w:sz w:val="28"/>
          <w:szCs w:val="28"/>
        </w:rPr>
        <w:t>大阪府包括外部監査人選定規程</w:t>
      </w:r>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862DF9" w:rsidRDefault="00862DF9"/>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（３）父母､祖父母､配偶者、子､孫又は兄弟姉妹が法第252条の28第３項第７号から第９号までのいずれかに該当する者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74898"/>
    <w:rsid w:val="002C1644"/>
    <w:rsid w:val="0068180E"/>
    <w:rsid w:val="00862DF9"/>
    <w:rsid w:val="00BE40BA"/>
    <w:rsid w:val="00C900D7"/>
    <w:rsid w:val="00CC55C6"/>
    <w:rsid w:val="00CE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6043A2-0793-4A53-94E5-2D18B674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2017-12-04T07:00:00Z</cp:lastPrinted>
  <dcterms:created xsi:type="dcterms:W3CDTF">2021-12-28T07:58:00Z</dcterms:created>
  <dcterms:modified xsi:type="dcterms:W3CDTF">2021-12-28T07:58:00Z</dcterms:modified>
</cp:coreProperties>
</file>