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6F66B" w14:textId="71F0C49B" w:rsidR="00072BE5" w:rsidRPr="00072BE5" w:rsidRDefault="00072BE5" w:rsidP="004C5321">
      <w:pPr>
        <w:rPr>
          <w:rFonts w:ascii="ＭＳ ゴシック" w:eastAsia="ＭＳ ゴシック" w:hAnsi="ＭＳ ゴシック" w:hint="eastAsia"/>
          <w:sz w:val="28"/>
          <w:szCs w:val="22"/>
        </w:rPr>
      </w:pPr>
      <w:r w:rsidRPr="00072BE5">
        <w:rPr>
          <w:rFonts w:ascii="ＭＳ ゴシック" w:eastAsia="ＭＳ ゴシック" w:hAnsi="ＭＳ ゴシック" w:hint="eastAsia"/>
          <w:sz w:val="28"/>
          <w:szCs w:val="22"/>
        </w:rPr>
        <w:t>１　財務会計事務</w:t>
      </w:r>
      <w:bookmarkStart w:id="0" w:name="_GoBack"/>
      <w:bookmarkEnd w:id="0"/>
    </w:p>
    <w:p w14:paraId="3ACC4390" w14:textId="371C3AF0" w:rsidR="004C5321" w:rsidRPr="004C5321" w:rsidRDefault="00072BE5" w:rsidP="004C5321">
      <w:pPr>
        <w:rPr>
          <w:rFonts w:ascii="ＭＳ ゴシック" w:eastAsia="ＭＳ ゴシック" w:hAnsi="ＭＳ ゴシック" w:cs="Arial"/>
          <w:sz w:val="24"/>
        </w:rPr>
      </w:pPr>
      <w:r>
        <w:rPr>
          <w:rFonts w:ascii="ＭＳ ゴシック" w:eastAsia="ＭＳ ゴシック" w:hAnsi="ＭＳ ゴシック" w:hint="eastAsia"/>
          <w:sz w:val="24"/>
          <w:szCs w:val="22"/>
        </w:rPr>
        <w:t xml:space="preserve">(1)　</w:t>
      </w:r>
      <w:r w:rsidR="004C5321">
        <w:rPr>
          <w:rFonts w:ascii="ＭＳ ゴシック" w:eastAsia="ＭＳ ゴシック" w:hAnsi="ＭＳ ゴシック" w:hint="eastAsia"/>
          <w:sz w:val="24"/>
          <w:szCs w:val="22"/>
        </w:rPr>
        <w:t>比較見積の徴収漏れ</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5816"/>
        <w:gridCol w:w="5786"/>
        <w:gridCol w:w="5558"/>
      </w:tblGrid>
      <w:tr w:rsidR="004C5321" w:rsidRPr="004C5321" w14:paraId="3ACC4395" w14:textId="77777777" w:rsidTr="00574C02">
        <w:trPr>
          <w:trHeight w:val="300"/>
        </w:trPr>
        <w:tc>
          <w:tcPr>
            <w:tcW w:w="3318" w:type="dxa"/>
            <w:shd w:val="clear" w:color="auto" w:fill="auto"/>
            <w:hideMark/>
          </w:tcPr>
          <w:p w14:paraId="3ACC4391" w14:textId="77777777" w:rsidR="004C5321" w:rsidRPr="004C5321" w:rsidRDefault="004C5321" w:rsidP="004C5321">
            <w:pPr>
              <w:widowControl/>
              <w:jc w:val="center"/>
              <w:rPr>
                <w:rFonts w:ascii="ＭＳ Ｐゴシック" w:eastAsia="ＭＳ Ｐゴシック" w:hAnsi="ＭＳ Ｐゴシック" w:cs="Arial"/>
                <w:color w:val="000000"/>
                <w:kern w:val="0"/>
                <w:sz w:val="24"/>
              </w:rPr>
            </w:pPr>
            <w:r w:rsidRPr="004C5321">
              <w:rPr>
                <w:rFonts w:ascii="ＭＳ Ｐゴシック" w:eastAsia="ＭＳ Ｐゴシック" w:hAnsi="ＭＳ Ｐゴシック" w:cs="Arial" w:hint="eastAsia"/>
                <w:color w:val="000000"/>
                <w:kern w:val="0"/>
                <w:sz w:val="24"/>
              </w:rPr>
              <w:t>対象受検機関</w:t>
            </w:r>
          </w:p>
        </w:tc>
        <w:tc>
          <w:tcPr>
            <w:tcW w:w="5816" w:type="dxa"/>
            <w:shd w:val="clear" w:color="auto" w:fill="auto"/>
            <w:hideMark/>
          </w:tcPr>
          <w:p w14:paraId="3ACC4392" w14:textId="77777777" w:rsidR="004C5321" w:rsidRPr="004C5321" w:rsidRDefault="004C5321" w:rsidP="004C5321">
            <w:pPr>
              <w:widowControl/>
              <w:jc w:val="center"/>
              <w:rPr>
                <w:rFonts w:ascii="ＭＳ Ｐゴシック" w:eastAsia="ＭＳ Ｐゴシック" w:hAnsi="ＭＳ Ｐゴシック" w:cs="Arial"/>
                <w:color w:val="000000"/>
                <w:kern w:val="0"/>
                <w:sz w:val="24"/>
              </w:rPr>
            </w:pPr>
            <w:r w:rsidRPr="004C5321">
              <w:rPr>
                <w:rFonts w:ascii="ＭＳ Ｐゴシック" w:eastAsia="ＭＳ Ｐゴシック" w:hAnsi="ＭＳ Ｐゴシック" w:cs="Arial" w:hint="eastAsia"/>
                <w:color w:val="000000"/>
                <w:kern w:val="0"/>
                <w:sz w:val="24"/>
              </w:rPr>
              <w:t>検出事項</w:t>
            </w:r>
          </w:p>
        </w:tc>
        <w:tc>
          <w:tcPr>
            <w:tcW w:w="5786" w:type="dxa"/>
            <w:shd w:val="clear" w:color="auto" w:fill="auto"/>
            <w:hideMark/>
          </w:tcPr>
          <w:p w14:paraId="3ACC4393" w14:textId="77777777" w:rsidR="004C5321" w:rsidRPr="004C5321" w:rsidRDefault="004C5321" w:rsidP="004C5321">
            <w:pPr>
              <w:widowControl/>
              <w:jc w:val="center"/>
              <w:rPr>
                <w:rFonts w:ascii="ＭＳ Ｐゴシック" w:eastAsia="ＭＳ Ｐゴシック" w:hAnsi="ＭＳ Ｐゴシック" w:cs="Arial"/>
                <w:kern w:val="0"/>
                <w:sz w:val="24"/>
              </w:rPr>
            </w:pPr>
            <w:r w:rsidRPr="004C5321">
              <w:rPr>
                <w:rFonts w:ascii="ＭＳ Ｐゴシック" w:eastAsia="ＭＳ Ｐゴシック" w:hAnsi="ＭＳ Ｐゴシック" w:cs="Arial" w:hint="eastAsia"/>
                <w:kern w:val="0"/>
                <w:sz w:val="24"/>
              </w:rPr>
              <w:t>監査の結果</w:t>
            </w:r>
          </w:p>
        </w:tc>
        <w:tc>
          <w:tcPr>
            <w:tcW w:w="5558" w:type="dxa"/>
            <w:shd w:val="clear" w:color="auto" w:fill="auto"/>
          </w:tcPr>
          <w:p w14:paraId="3ACC4394" w14:textId="77777777" w:rsidR="004C5321" w:rsidRPr="004C5321" w:rsidRDefault="004C5321" w:rsidP="004C5321">
            <w:pPr>
              <w:widowControl/>
              <w:jc w:val="center"/>
              <w:rPr>
                <w:rFonts w:ascii="ＭＳ Ｐゴシック" w:eastAsia="ＭＳ Ｐゴシック" w:hAnsi="ＭＳ Ｐゴシック" w:cs="Arial"/>
                <w:kern w:val="0"/>
                <w:sz w:val="24"/>
              </w:rPr>
            </w:pPr>
            <w:r w:rsidRPr="004C5321">
              <w:rPr>
                <w:rFonts w:ascii="ＭＳ Ｐゴシック" w:eastAsia="ＭＳ Ｐゴシック" w:hAnsi="ＭＳ Ｐゴシック" w:hint="eastAsia"/>
                <w:sz w:val="24"/>
              </w:rPr>
              <w:t>措置の内容</w:t>
            </w:r>
          </w:p>
        </w:tc>
      </w:tr>
      <w:tr w:rsidR="004C5321" w:rsidRPr="004C5321" w14:paraId="3ACC43BC" w14:textId="77777777" w:rsidTr="00072BE5">
        <w:trPr>
          <w:trHeight w:val="10410"/>
        </w:trPr>
        <w:tc>
          <w:tcPr>
            <w:tcW w:w="3318" w:type="dxa"/>
            <w:shd w:val="clear" w:color="auto" w:fill="auto"/>
          </w:tcPr>
          <w:p w14:paraId="3ACC4396" w14:textId="77777777" w:rsidR="004C5321" w:rsidRDefault="004C5321" w:rsidP="00AB1FB0">
            <w:pPr>
              <w:autoSpaceDN w:val="0"/>
              <w:rPr>
                <w:rFonts w:ascii="ＭＳ 明朝" w:hAnsi="ＭＳ 明朝"/>
                <w:sz w:val="24"/>
              </w:rPr>
            </w:pPr>
            <w:r>
              <w:rPr>
                <w:rFonts w:ascii="ＭＳ 明朝" w:hAnsi="ＭＳ 明朝" w:hint="eastAsia"/>
                <w:sz w:val="24"/>
              </w:rPr>
              <w:t>西成高等学校</w:t>
            </w:r>
          </w:p>
          <w:p w14:paraId="3ACC4397" w14:textId="77777777" w:rsidR="004C5321" w:rsidRPr="004C5321" w:rsidRDefault="004C5321" w:rsidP="00AB1FB0">
            <w:pPr>
              <w:autoSpaceDN w:val="0"/>
              <w:rPr>
                <w:rFonts w:ascii="ＭＳ 明朝" w:hAnsi="ＭＳ 明朝"/>
                <w:sz w:val="24"/>
              </w:rPr>
            </w:pPr>
          </w:p>
          <w:p w14:paraId="3ACC4398" w14:textId="77777777" w:rsidR="004C5321" w:rsidRPr="004C5321" w:rsidRDefault="004C5321" w:rsidP="00AB1FB0">
            <w:pPr>
              <w:autoSpaceDN w:val="0"/>
              <w:snapToGrid w:val="0"/>
              <w:rPr>
                <w:rFonts w:ascii="ＭＳ 明朝" w:hAnsi="ＭＳ 明朝"/>
                <w:sz w:val="24"/>
              </w:rPr>
            </w:pPr>
          </w:p>
          <w:p w14:paraId="3ACC4399" w14:textId="77777777" w:rsidR="004C5321" w:rsidRPr="004C5321" w:rsidRDefault="004C5321" w:rsidP="00AB1FB0">
            <w:pPr>
              <w:autoSpaceDN w:val="0"/>
              <w:snapToGrid w:val="0"/>
              <w:rPr>
                <w:rFonts w:ascii="ＭＳ 明朝" w:hAnsi="ＭＳ 明朝"/>
                <w:sz w:val="24"/>
              </w:rPr>
            </w:pPr>
          </w:p>
        </w:tc>
        <w:tc>
          <w:tcPr>
            <w:tcW w:w="5816" w:type="dxa"/>
            <w:shd w:val="clear" w:color="auto" w:fill="auto"/>
          </w:tcPr>
          <w:p w14:paraId="3ACC439A" w14:textId="77777777" w:rsidR="008E2D32" w:rsidRDefault="008E2D32" w:rsidP="00AB1FB0">
            <w:pPr>
              <w:autoSpaceDN w:val="0"/>
              <w:snapToGrid w:val="0"/>
              <w:ind w:firstLineChars="100" w:firstLine="240"/>
              <w:rPr>
                <w:rFonts w:ascii="ＭＳ 明朝" w:hAnsi="ＭＳ 明朝" w:cs="Arial"/>
                <w:sz w:val="24"/>
              </w:rPr>
            </w:pPr>
            <w:r w:rsidRPr="008E2D32">
              <w:rPr>
                <w:rFonts w:ascii="ＭＳ 明朝" w:hAnsi="ＭＳ 明朝" w:cs="Arial" w:hint="eastAsia"/>
                <w:sz w:val="24"/>
              </w:rPr>
              <w:t>進路選択に係る適性診断テスト委託業務契約の締結（132,000円）に当たり、財務規則及びその運用規定では、なるべく２人以上の者から見積書を徴さなければならないとされている。しかしながら、同校においては、１者については見積書を徴収したが、他２者についてはウェブページ上の単価部分を印刷することにより見積りとし、正式の見積書を徴していなかった。</w:t>
            </w:r>
          </w:p>
          <w:p w14:paraId="3ACC439C" w14:textId="703E2AA6" w:rsidR="004C5321" w:rsidRPr="004C5321" w:rsidRDefault="00072BE5" w:rsidP="00072BE5">
            <w:pPr>
              <w:autoSpaceDN w:val="0"/>
              <w:snapToGrid w:val="0"/>
              <w:ind w:firstLineChars="100" w:firstLine="24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68480" behindDoc="0" locked="0" layoutInCell="1" allowOverlap="1" wp14:anchorId="3ACC43C0" wp14:editId="1BF71BC3">
                      <wp:simplePos x="0" y="0"/>
                      <wp:positionH relativeFrom="column">
                        <wp:posOffset>158115</wp:posOffset>
                      </wp:positionH>
                      <wp:positionV relativeFrom="paragraph">
                        <wp:posOffset>480695</wp:posOffset>
                      </wp:positionV>
                      <wp:extent cx="3295650" cy="4274185"/>
                      <wp:effectExtent l="0" t="0" r="19050"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274185"/>
                              </a:xfrm>
                              <a:prstGeom prst="rect">
                                <a:avLst/>
                              </a:prstGeom>
                              <a:solidFill>
                                <a:srgbClr val="FFFFFF"/>
                              </a:solidFill>
                              <a:ln w="6350">
                                <a:solidFill>
                                  <a:srgbClr val="000000"/>
                                </a:solidFill>
                                <a:prstDash val="dash"/>
                                <a:miter lim="800000"/>
                                <a:headEnd/>
                                <a:tailEnd/>
                              </a:ln>
                            </wps:spPr>
                            <wps:txbx>
                              <w:txbxContent>
                                <w:p w14:paraId="3ACC43CF"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○担当者（起案者）</w:t>
                                  </w:r>
                                </w:p>
                                <w:p w14:paraId="3ACC43D0"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本件のルールについて、存在することは知っていたが、漠然と理解しており、10万円を超える比較見積りは、</w:t>
                                  </w:r>
                                  <w:r w:rsidRPr="00735EAF">
                                    <w:rPr>
                                      <w:rFonts w:ascii="ＭＳ 明朝" w:hAnsi="ＭＳ 明朝" w:cs="Arial" w:hint="eastAsia"/>
                                      <w:sz w:val="24"/>
                                    </w:rPr>
                                    <w:t>電話、ファックス、電子メール</w:t>
                                  </w:r>
                                  <w:r>
                                    <w:rPr>
                                      <w:rFonts w:ascii="ＭＳ 明朝" w:hAnsi="ＭＳ 明朝" w:cs="Arial" w:hint="eastAsia"/>
                                      <w:sz w:val="24"/>
                                    </w:rPr>
                                    <w:t>ではできないが、ウェブページは公開されているため有効と誤解した。併せて転勤直後、かつ年度当初の業務集中・繁忙期で、事務の少人数体制もあって、内容の異なる多くの分担を抱えているため、細部のルール確認がおろそかになった。</w:t>
                                  </w:r>
                                </w:p>
                                <w:p w14:paraId="3ACC43D1"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○関係者（起案が回議される者）</w:t>
                                  </w:r>
                                </w:p>
                                <w:p w14:paraId="3ACC43D2"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ルールを知っていたが、少人数体制で、年度当初の業務繁忙期でもあったため主担業務に追われて、十分なチェックができず、関連規則等についての確認が実行できなかった。</w:t>
                                  </w:r>
                                </w:p>
                                <w:p w14:paraId="3ACC43D3" w14:textId="77777777" w:rsidR="004C5321" w:rsidRDefault="004C5321" w:rsidP="004C5321">
                                  <w:pPr>
                                    <w:autoSpaceDN w:val="0"/>
                                    <w:rPr>
                                      <w:rFonts w:ascii="ＭＳ 明朝" w:hAnsi="ＭＳ 明朝" w:cs="Arial"/>
                                      <w:sz w:val="24"/>
                                    </w:rPr>
                                  </w:pPr>
                                  <w:r>
                                    <w:rPr>
                                      <w:rFonts w:ascii="ＭＳ 明朝" w:hAnsi="ＭＳ 明朝" w:cs="Arial" w:hint="eastAsia"/>
                                      <w:sz w:val="24"/>
                                    </w:rPr>
                                    <w:t>○決裁者</w:t>
                                  </w:r>
                                </w:p>
                                <w:p w14:paraId="3ACC43D4" w14:textId="77777777" w:rsidR="004C5321" w:rsidRDefault="004C5321" w:rsidP="004C5321">
                                  <w:pPr>
                                    <w:autoSpaceDN w:val="0"/>
                                    <w:ind w:firstLineChars="100" w:firstLine="240"/>
                                    <w:rPr>
                                      <w:rFonts w:ascii="ＭＳ 明朝" w:hAnsi="ＭＳ 明朝"/>
                                      <w:sz w:val="24"/>
                                    </w:rPr>
                                  </w:pPr>
                                  <w:r>
                                    <w:rPr>
                                      <w:rFonts w:ascii="ＭＳ 明朝" w:hAnsi="ＭＳ 明朝" w:cs="Arial" w:hint="eastAsia"/>
                                      <w:sz w:val="24"/>
                                    </w:rPr>
                                    <w:t>ルールの詳細について十分理解していなかった</w:t>
                                  </w:r>
                                  <w:r w:rsidRPr="00A647DB">
                                    <w:rPr>
                                      <w:rFonts w:ascii="ＭＳ 明朝" w:hAnsi="ＭＳ 明朝" w:cs="Arial" w:hint="eastAsia"/>
                                      <w:sz w:val="24"/>
                                    </w:rPr>
                                    <w:t>ため</w:t>
                                  </w:r>
                                  <w:r>
                                    <w:rPr>
                                      <w:rFonts w:ascii="ＭＳ 明朝" w:hAnsi="ＭＳ 明朝" w:cs="Arial" w:hint="eastAsia"/>
                                      <w:sz w:val="24"/>
                                    </w:rPr>
                                    <w:t>、決裁時にルール確認を徹底せず、起案者の説明をそのまま受け取り決裁していた。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2.45pt;margin-top:37.85pt;width:259.5pt;height:33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" strokeweight=".5pt">
                      <v:stroke dashstyle="dash"/>
                      <v:textbox>
                        <w:txbxContent>
                          <w:p w14:paraId="3ACC43CF"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○担当者（起案者）</w:t>
                            </w:r>
                          </w:p>
                          <w:p w14:paraId="3ACC43D0"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本件のルールについて、存在することは知っていたが、漠然と理解しており、10万円を超える比較見積りは、</w:t>
                            </w:r>
                            <w:r w:rsidRPr="00735EAF">
                              <w:rPr>
                                <w:rFonts w:ascii="ＭＳ 明朝" w:hAnsi="ＭＳ 明朝" w:cs="Arial" w:hint="eastAsia"/>
                                <w:sz w:val="24"/>
                              </w:rPr>
                              <w:t>電話、ファックス、電子メール</w:t>
                            </w:r>
                            <w:r>
                              <w:rPr>
                                <w:rFonts w:ascii="ＭＳ 明朝" w:hAnsi="ＭＳ 明朝" w:cs="Arial" w:hint="eastAsia"/>
                                <w:sz w:val="24"/>
                              </w:rPr>
                              <w:t>ではできないが、ウェブページは公開されているため有効と誤解した。併せて転勤直後、かつ年度当初の業務集中・繁忙期で、事務の少人数体制もあって、内容の異なる多くの分担を抱えているため、細部のルール確認がおろそかになった。</w:t>
                            </w:r>
                          </w:p>
                          <w:p w14:paraId="3ACC43D1"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○関係者（起案が回議される者）</w:t>
                            </w:r>
                          </w:p>
                          <w:p w14:paraId="3ACC43D2"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ルールを知っていたが、少人数体制で、年度当初の業務繁忙期でもあったため主担業務に追われて、十分なチェックができず、関連規則等についての確認が実行できなかった。</w:t>
                            </w:r>
                          </w:p>
                          <w:p w14:paraId="3ACC43D3" w14:textId="77777777" w:rsidR="004C5321" w:rsidRDefault="004C5321" w:rsidP="004C5321">
                            <w:pPr>
                              <w:autoSpaceDN w:val="0"/>
                              <w:rPr>
                                <w:rFonts w:ascii="ＭＳ 明朝" w:hAnsi="ＭＳ 明朝" w:cs="Arial"/>
                                <w:sz w:val="24"/>
                              </w:rPr>
                            </w:pPr>
                            <w:r>
                              <w:rPr>
                                <w:rFonts w:ascii="ＭＳ 明朝" w:hAnsi="ＭＳ 明朝" w:cs="Arial" w:hint="eastAsia"/>
                                <w:sz w:val="24"/>
                              </w:rPr>
                              <w:t>○決裁者</w:t>
                            </w:r>
                          </w:p>
                          <w:p w14:paraId="3ACC43D4" w14:textId="77777777" w:rsidR="004C5321" w:rsidRDefault="004C5321" w:rsidP="004C5321">
                            <w:pPr>
                              <w:autoSpaceDN w:val="0"/>
                              <w:ind w:firstLineChars="100" w:firstLine="240"/>
                              <w:rPr>
                                <w:rFonts w:ascii="ＭＳ 明朝" w:hAnsi="ＭＳ 明朝"/>
                                <w:sz w:val="24"/>
                              </w:rPr>
                            </w:pPr>
                            <w:r>
                              <w:rPr>
                                <w:rFonts w:ascii="ＭＳ 明朝" w:hAnsi="ＭＳ 明朝" w:cs="Arial" w:hint="eastAsia"/>
                                <w:sz w:val="24"/>
                              </w:rPr>
                              <w:t>ルールの詳細について十分理解していなかった</w:t>
                            </w:r>
                            <w:r w:rsidRPr="00A647DB">
                              <w:rPr>
                                <w:rFonts w:ascii="ＭＳ 明朝" w:hAnsi="ＭＳ 明朝" w:cs="Arial" w:hint="eastAsia"/>
                                <w:sz w:val="24"/>
                              </w:rPr>
                              <w:t>ため</w:t>
                            </w:r>
                            <w:r>
                              <w:rPr>
                                <w:rFonts w:ascii="ＭＳ 明朝" w:hAnsi="ＭＳ 明朝" w:cs="Arial" w:hint="eastAsia"/>
                                <w:sz w:val="24"/>
                              </w:rPr>
                              <w:t>、決裁時にルール確認を徹底せず、起案者の説明をそのまま受け取り決裁していた。</w:t>
                            </w:r>
                          </w:p>
                        </w:txbxContent>
                      </v:textbox>
                    </v:rect>
                  </w:pict>
                </mc:Fallback>
              </mc:AlternateContent>
            </w:r>
            <w:r w:rsidR="008E2D32">
              <w:rPr>
                <w:rFonts w:ascii="ＭＳ 明朝" w:hAnsi="ＭＳ 明朝" w:cs="Arial" w:hint="eastAsia"/>
                <w:sz w:val="24"/>
              </w:rPr>
              <w:t>その要因・理由等に関して、事情聴取したところ、以下のとおりであった。</w:t>
            </w:r>
          </w:p>
        </w:tc>
        <w:tc>
          <w:tcPr>
            <w:tcW w:w="5786" w:type="dxa"/>
            <w:shd w:val="clear" w:color="auto" w:fill="auto"/>
          </w:tcPr>
          <w:p w14:paraId="3ACC439D" w14:textId="77777777" w:rsidR="004C5321" w:rsidRPr="00FD7D1F" w:rsidRDefault="004C5321" w:rsidP="00AB1FB0">
            <w:pPr>
              <w:autoSpaceDN w:val="0"/>
              <w:snapToGrid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2576" behindDoc="0" locked="0" layoutInCell="1" allowOverlap="1" wp14:anchorId="3ACC43C2" wp14:editId="3ACC43C3">
                      <wp:simplePos x="0" y="0"/>
                      <wp:positionH relativeFrom="column">
                        <wp:posOffset>8559165</wp:posOffset>
                      </wp:positionH>
                      <wp:positionV relativeFrom="paragraph">
                        <wp:posOffset>3626485</wp:posOffset>
                      </wp:positionV>
                      <wp:extent cx="5219065" cy="2921000"/>
                      <wp:effectExtent l="0" t="0" r="1968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2921000"/>
                              </a:xfrm>
                              <a:prstGeom prst="rect">
                                <a:avLst/>
                              </a:prstGeom>
                              <a:solidFill>
                                <a:srgbClr val="FFFFFF"/>
                              </a:solidFill>
                              <a:ln w="6350">
                                <a:solidFill>
                                  <a:srgbClr val="000000"/>
                                </a:solidFill>
                                <a:prstDash val="dash"/>
                                <a:miter lim="800000"/>
                                <a:headEnd/>
                                <a:tailEnd/>
                              </a:ln>
                            </wps:spPr>
                            <wps:txbx>
                              <w:txbxContent>
                                <w:p w14:paraId="3ACC43D5"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6"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7"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8" w14:textId="77777777" w:rsidR="004C5321" w:rsidRDefault="004C5321" w:rsidP="004C5321">
                                  <w:pPr>
                                    <w:autoSpaceDN w:val="0"/>
                                    <w:ind w:left="240" w:hangingChars="100" w:hanging="240"/>
                                    <w:rPr>
                                      <w:rFonts w:ascii="ＭＳ 明朝" w:hAnsi="ＭＳ 明朝"/>
                                      <w:sz w:val="24"/>
                                    </w:rPr>
                                  </w:pPr>
                                </w:p>
                                <w:p w14:paraId="3ACC43D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DA"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673.95pt;margin-top:285.55pt;width:410.95pt;height:2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" strokeweight=".5pt">
                      <v:stroke dashstyle="dash"/>
                      <v:textbox>
                        <w:txbxContent>
                          <w:p w14:paraId="3ACC43D5"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6"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7"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8" w14:textId="77777777" w:rsidR="004C5321" w:rsidRDefault="004C5321" w:rsidP="004C5321">
                            <w:pPr>
                              <w:autoSpaceDN w:val="0"/>
                              <w:ind w:left="240" w:hangingChars="100" w:hanging="240"/>
                              <w:rPr>
                                <w:rFonts w:ascii="ＭＳ 明朝" w:hAnsi="ＭＳ 明朝"/>
                                <w:sz w:val="24"/>
                              </w:rPr>
                            </w:pPr>
                          </w:p>
                          <w:p w14:paraId="3ACC43D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DA"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r>
              <w:rPr>
                <w:rFonts w:ascii="ＭＳ 明朝" w:hAnsi="ＭＳ 明朝" w:hint="eastAsia"/>
                <w:noProof/>
                <w:sz w:val="24"/>
              </w:rPr>
              <mc:AlternateContent>
                <mc:Choice Requires="wps">
                  <w:drawing>
                    <wp:anchor distT="0" distB="0" distL="114300" distR="114300" simplePos="0" relativeHeight="251671552" behindDoc="0" locked="0" layoutInCell="1" allowOverlap="1" wp14:anchorId="3ACC43C4" wp14:editId="3ACC43C5">
                      <wp:simplePos x="0" y="0"/>
                      <wp:positionH relativeFrom="column">
                        <wp:posOffset>8559165</wp:posOffset>
                      </wp:positionH>
                      <wp:positionV relativeFrom="paragraph">
                        <wp:posOffset>3626485</wp:posOffset>
                      </wp:positionV>
                      <wp:extent cx="5219065" cy="2921000"/>
                      <wp:effectExtent l="0" t="0" r="1968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2921000"/>
                              </a:xfrm>
                              <a:prstGeom prst="rect">
                                <a:avLst/>
                              </a:prstGeom>
                              <a:solidFill>
                                <a:srgbClr val="FFFFFF"/>
                              </a:solidFill>
                              <a:ln w="6350">
                                <a:solidFill>
                                  <a:srgbClr val="000000"/>
                                </a:solidFill>
                                <a:prstDash val="dash"/>
                                <a:miter lim="800000"/>
                                <a:headEnd/>
                                <a:tailEnd/>
                              </a:ln>
                            </wps:spPr>
                            <wps:txbx>
                              <w:txbxContent>
                                <w:p w14:paraId="3ACC43DB"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C"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D"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E" w14:textId="77777777" w:rsidR="004C5321" w:rsidRDefault="004C5321" w:rsidP="004C5321">
                                  <w:pPr>
                                    <w:autoSpaceDN w:val="0"/>
                                    <w:ind w:left="240" w:hangingChars="100" w:hanging="240"/>
                                    <w:rPr>
                                      <w:rFonts w:ascii="ＭＳ 明朝" w:hAnsi="ＭＳ 明朝"/>
                                      <w:sz w:val="24"/>
                                    </w:rPr>
                                  </w:pPr>
                                </w:p>
                                <w:p w14:paraId="3ACC43DF"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0"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8" style="position:absolute;left:0;text-align:left;margin-left:673.95pt;margin-top:285.55pt;width:410.95pt;height:2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" strokeweight=".5pt">
                      <v:stroke dashstyle="dash"/>
                      <v:textbox>
                        <w:txbxContent>
                          <w:p w14:paraId="3ACC43DB"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C"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D"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E" w14:textId="77777777" w:rsidR="004C5321" w:rsidRDefault="004C5321" w:rsidP="004C5321">
                            <w:pPr>
                              <w:autoSpaceDN w:val="0"/>
                              <w:ind w:left="240" w:hangingChars="100" w:hanging="240"/>
                              <w:rPr>
                                <w:rFonts w:ascii="ＭＳ 明朝" w:hAnsi="ＭＳ 明朝"/>
                                <w:sz w:val="24"/>
                              </w:rPr>
                            </w:pPr>
                          </w:p>
                          <w:p w14:paraId="3ACC43DF"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0"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r>
              <w:rPr>
                <w:rFonts w:ascii="ＭＳ 明朝" w:hAnsi="ＭＳ 明朝" w:hint="eastAsia"/>
                <w:noProof/>
                <w:sz w:val="24"/>
              </w:rPr>
              <mc:AlternateContent>
                <mc:Choice Requires="wps">
                  <w:drawing>
                    <wp:anchor distT="0" distB="0" distL="114300" distR="114300" simplePos="0" relativeHeight="251670528" behindDoc="0" locked="0" layoutInCell="1" allowOverlap="1" wp14:anchorId="3ACC43C6" wp14:editId="3ACC43C7">
                      <wp:simplePos x="0" y="0"/>
                      <wp:positionH relativeFrom="column">
                        <wp:posOffset>8559165</wp:posOffset>
                      </wp:positionH>
                      <wp:positionV relativeFrom="paragraph">
                        <wp:posOffset>3626485</wp:posOffset>
                      </wp:positionV>
                      <wp:extent cx="5219065" cy="2921000"/>
                      <wp:effectExtent l="0" t="0" r="19685"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2921000"/>
                              </a:xfrm>
                              <a:prstGeom prst="rect">
                                <a:avLst/>
                              </a:prstGeom>
                              <a:solidFill>
                                <a:srgbClr val="FFFFFF"/>
                              </a:solidFill>
                              <a:ln w="6350">
                                <a:solidFill>
                                  <a:srgbClr val="000000"/>
                                </a:solidFill>
                                <a:prstDash val="dash"/>
                                <a:miter lim="800000"/>
                                <a:headEnd/>
                                <a:tailEnd/>
                              </a:ln>
                            </wps:spPr>
                            <wps:txbx>
                              <w:txbxContent>
                                <w:p w14:paraId="3ACC43E1"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2"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3"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4" w14:textId="77777777" w:rsidR="004C5321" w:rsidRDefault="004C5321" w:rsidP="004C5321">
                                  <w:pPr>
                                    <w:autoSpaceDN w:val="0"/>
                                    <w:ind w:left="240" w:hangingChars="100" w:hanging="240"/>
                                    <w:rPr>
                                      <w:rFonts w:ascii="ＭＳ 明朝" w:hAnsi="ＭＳ 明朝"/>
                                      <w:sz w:val="24"/>
                                    </w:rPr>
                                  </w:pPr>
                                </w:p>
                                <w:p w14:paraId="3ACC43E5"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6"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9" style="position:absolute;left:0;text-align:left;margin-left:673.95pt;margin-top:285.55pt;width:410.95pt;height:2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" strokeweight=".5pt">
                      <v:stroke dashstyle="dash"/>
                      <v:textbox>
                        <w:txbxContent>
                          <w:p w14:paraId="3ACC43E1"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2"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3"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4" w14:textId="77777777" w:rsidR="004C5321" w:rsidRDefault="004C5321" w:rsidP="004C5321">
                            <w:pPr>
                              <w:autoSpaceDN w:val="0"/>
                              <w:ind w:left="240" w:hangingChars="100" w:hanging="240"/>
                              <w:rPr>
                                <w:rFonts w:ascii="ＭＳ 明朝" w:hAnsi="ＭＳ 明朝"/>
                                <w:sz w:val="24"/>
                              </w:rPr>
                            </w:pPr>
                          </w:p>
                          <w:p w14:paraId="3ACC43E5"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6"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r w:rsidRPr="00FD7D1F">
              <w:rPr>
                <w:rFonts w:ascii="ＭＳ 明朝" w:hAnsi="ＭＳ 明朝" w:hint="eastAsia"/>
                <w:sz w:val="24"/>
              </w:rPr>
              <w:t xml:space="preserve">　大阪府財務規則第</w:t>
            </w:r>
            <w:r>
              <w:rPr>
                <w:rFonts w:ascii="ＭＳ 明朝" w:hAnsi="ＭＳ 明朝" w:hint="eastAsia"/>
                <w:sz w:val="24"/>
              </w:rPr>
              <w:t>62</w:t>
            </w:r>
            <w:r w:rsidRPr="00FD7D1F">
              <w:rPr>
                <w:rFonts w:ascii="ＭＳ 明朝" w:hAnsi="ＭＳ 明朝" w:hint="eastAsia"/>
                <w:sz w:val="24"/>
              </w:rPr>
              <w:t>条</w:t>
            </w:r>
            <w:r>
              <w:rPr>
                <w:rFonts w:ascii="ＭＳ 明朝" w:hAnsi="ＭＳ 明朝" w:hint="eastAsia"/>
                <w:sz w:val="24"/>
              </w:rPr>
              <w:t>及び同運用の規定に違反している。</w:t>
            </w:r>
          </w:p>
          <w:p w14:paraId="3ACC439E" w14:textId="77777777" w:rsidR="008E2D32" w:rsidRDefault="004C5321" w:rsidP="00AB1FB0">
            <w:pPr>
              <w:autoSpaceDN w:val="0"/>
              <w:snapToGrid w:val="0"/>
              <w:ind w:firstLineChars="100" w:firstLine="240"/>
              <w:rPr>
                <w:rFonts w:ascii="ＭＳ 明朝" w:hAnsi="ＭＳ 明朝"/>
                <w:sz w:val="24"/>
              </w:rPr>
            </w:pPr>
            <w:r>
              <w:rPr>
                <w:rFonts w:ascii="ＭＳ 明朝" w:hAnsi="ＭＳ 明朝" w:hint="eastAsia"/>
                <w:sz w:val="24"/>
              </w:rPr>
              <w:t>財務規則等に対する理解が不足しているとともに、決裁に当たりのチェックができていない。</w:t>
            </w:r>
          </w:p>
          <w:p w14:paraId="3ACC439F" w14:textId="77777777" w:rsidR="004C5321" w:rsidRDefault="004C5321" w:rsidP="00AB1FB0">
            <w:pPr>
              <w:autoSpaceDN w:val="0"/>
              <w:snapToGrid w:val="0"/>
              <w:ind w:firstLineChars="100" w:firstLine="240"/>
              <w:rPr>
                <w:rFonts w:ascii="ＭＳ 明朝" w:hAnsi="ＭＳ 明朝"/>
                <w:sz w:val="24"/>
              </w:rPr>
            </w:pPr>
            <w:r>
              <w:rPr>
                <w:rFonts w:ascii="ＭＳ 明朝" w:hAnsi="ＭＳ 明朝" w:hint="eastAsia"/>
                <w:sz w:val="24"/>
              </w:rPr>
              <w:t>このため、担当者のみならず関係者・決裁者も、契約事務関連ルールを十分理解した上で、業務繁忙期等であっても執務の都度、関連の規則等を確認し、チェックを行うこととされたい。</w:t>
            </w:r>
          </w:p>
          <w:p w14:paraId="3ACC43A0" w14:textId="77777777" w:rsidR="004C5321" w:rsidRPr="004C5321" w:rsidRDefault="004C5321" w:rsidP="00AB1FB0">
            <w:pPr>
              <w:autoSpaceDN w:val="0"/>
              <w:snapToGrid w:val="0"/>
              <w:ind w:left="240" w:hangingChars="100" w:hanging="240"/>
              <w:rPr>
                <w:rFonts w:ascii="ＭＳ 明朝" w:hAnsi="ＭＳ 明朝"/>
                <w:sz w:val="24"/>
              </w:rPr>
            </w:pPr>
          </w:p>
          <w:p w14:paraId="3ACC43A1" w14:textId="77777777" w:rsidR="004C5321" w:rsidRPr="004C5321" w:rsidRDefault="008E2D32" w:rsidP="00AB1FB0">
            <w:pPr>
              <w:autoSpaceDN w:val="0"/>
              <w:ind w:left="210" w:hangingChars="100" w:hanging="210"/>
              <w:rPr>
                <w:rFonts w:ascii="ＭＳ 明朝" w:hAnsi="ＭＳ 明朝"/>
                <w:sz w:val="24"/>
              </w:rPr>
            </w:pPr>
            <w:r>
              <w:rPr>
                <w:noProof/>
              </w:rPr>
              <mc:AlternateContent>
                <mc:Choice Requires="wps">
                  <w:drawing>
                    <wp:anchor distT="0" distB="0" distL="114300" distR="114300" simplePos="0" relativeHeight="251674624" behindDoc="0" locked="0" layoutInCell="1" allowOverlap="1" wp14:anchorId="3ACC43C8" wp14:editId="3ACC43C9">
                      <wp:simplePos x="0" y="0"/>
                      <wp:positionH relativeFrom="column">
                        <wp:posOffset>53340</wp:posOffset>
                      </wp:positionH>
                      <wp:positionV relativeFrom="paragraph">
                        <wp:posOffset>-4445</wp:posOffset>
                      </wp:positionV>
                      <wp:extent cx="3429000" cy="47244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24400"/>
                              </a:xfrm>
                              <a:prstGeom prst="rect">
                                <a:avLst/>
                              </a:prstGeom>
                              <a:solidFill>
                                <a:srgbClr val="FFFFFF"/>
                              </a:solidFill>
                              <a:ln w="6350">
                                <a:solidFill>
                                  <a:srgbClr val="000000"/>
                                </a:solidFill>
                                <a:prstDash val="dash"/>
                                <a:miter lim="800000"/>
                                <a:headEnd/>
                                <a:tailEnd/>
                              </a:ln>
                            </wps:spPr>
                            <wps:txbx>
                              <w:txbxContent>
                                <w:p w14:paraId="3ACC43E7"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8"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A" w14:textId="77777777" w:rsidR="004C5321" w:rsidRDefault="004C5321" w:rsidP="004C5321">
                                  <w:pPr>
                                    <w:autoSpaceDN w:val="0"/>
                                    <w:ind w:left="240" w:hangingChars="100" w:hanging="240"/>
                                    <w:rPr>
                                      <w:rFonts w:ascii="ＭＳ 明朝" w:hAnsi="ＭＳ 明朝"/>
                                      <w:sz w:val="24"/>
                                    </w:rPr>
                                  </w:pPr>
                                </w:p>
                                <w:p w14:paraId="3ACC43EB"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C"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0" style="position:absolute;left:0;text-align:left;margin-left:4.2pt;margin-top:-.35pt;width:270pt;height:3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" strokeweight=".5pt">
                      <v:stroke dashstyle="dash"/>
                      <v:textbox>
                        <w:txbxContent>
                          <w:p w14:paraId="3ACC43E7"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8"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A" w14:textId="77777777" w:rsidR="004C5321" w:rsidRDefault="004C5321" w:rsidP="004C5321">
                            <w:pPr>
                              <w:autoSpaceDN w:val="0"/>
                              <w:ind w:left="240" w:hangingChars="100" w:hanging="240"/>
                              <w:rPr>
                                <w:rFonts w:ascii="ＭＳ 明朝" w:hAnsi="ＭＳ 明朝"/>
                                <w:sz w:val="24"/>
                              </w:rPr>
                            </w:pPr>
                          </w:p>
                          <w:p w14:paraId="3ACC43EB"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C"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p>
          <w:p w14:paraId="3ACC43A2" w14:textId="77777777" w:rsidR="004C5321" w:rsidRPr="004C5321" w:rsidRDefault="004C5321" w:rsidP="00AB1FB0">
            <w:pPr>
              <w:autoSpaceDN w:val="0"/>
              <w:ind w:left="240" w:hangingChars="100" w:hanging="240"/>
              <w:rPr>
                <w:rFonts w:ascii="ＭＳ 明朝" w:hAnsi="ＭＳ 明朝"/>
                <w:sz w:val="24"/>
              </w:rPr>
            </w:pPr>
          </w:p>
        </w:tc>
        <w:tc>
          <w:tcPr>
            <w:tcW w:w="5558" w:type="dxa"/>
            <w:shd w:val="clear" w:color="auto" w:fill="auto"/>
          </w:tcPr>
          <w:p w14:paraId="3ACC43A3" w14:textId="77777777" w:rsidR="004C5321" w:rsidRPr="00C1291D" w:rsidRDefault="004C5321" w:rsidP="00AB1FB0">
            <w:pPr>
              <w:autoSpaceDE w:val="0"/>
              <w:autoSpaceDN w:val="0"/>
              <w:adjustRightInd w:val="0"/>
              <w:ind w:firstLineChars="100" w:firstLine="240"/>
              <w:rPr>
                <w:rFonts w:ascii="ＭＳ 明朝" w:hAnsi="ＭＳ 明朝" w:cs="ＭＳ明朝"/>
                <w:kern w:val="0"/>
                <w:sz w:val="24"/>
              </w:rPr>
            </w:pPr>
            <w:r w:rsidRPr="00C1291D">
              <w:rPr>
                <w:rFonts w:ascii="ＭＳ 明朝" w:hAnsi="ＭＳ 明朝" w:cs="ＭＳ明朝" w:hint="eastAsia"/>
                <w:kern w:val="0"/>
                <w:sz w:val="24"/>
              </w:rPr>
              <w:t>会計事務のルールについて、担当職員、関係者、決裁者となるすべての職員に対して、会計事務に関する財務規則、同運用規定について、改めて理解の徹底を図るため、会計事務ポータルサイト及び会計局研修資料をもとに職場内研修を実施した。今後も事務遂行に際しては財務規則等に則しているかを、担当者をはじめ確認事務及び決裁事務者について、より慎重に実施しチェック機能の強化を図り、必要に応じて職場内研修を実施し、再発防止に取り組んでいく。</w:t>
            </w:r>
          </w:p>
          <w:p w14:paraId="3ACC43AF"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0"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1"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2"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3"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4"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5"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6"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B" w14:textId="77777777" w:rsidR="004C5321" w:rsidRPr="004C5321" w:rsidRDefault="004C5321" w:rsidP="00AB1FB0">
            <w:pPr>
              <w:widowControl/>
              <w:autoSpaceDN w:val="0"/>
              <w:ind w:left="240" w:hangingChars="100" w:hanging="240"/>
              <w:rPr>
                <w:rFonts w:ascii="ＭＳ ゴシック" w:eastAsia="ＭＳ ゴシック" w:hAnsi="ＭＳ ゴシック"/>
                <w:sz w:val="24"/>
              </w:rPr>
            </w:pPr>
          </w:p>
        </w:tc>
      </w:tr>
    </w:tbl>
    <w:p w14:paraId="3ACC43BD" w14:textId="77777777" w:rsidR="004C5321" w:rsidRPr="004C5321" w:rsidRDefault="004C5321" w:rsidP="004C5321">
      <w:pPr>
        <w:rPr>
          <w:rFonts w:ascii="ＭＳ ゴシック" w:eastAsia="ＭＳ ゴシック" w:hAnsi="ＭＳ ゴシック" w:cs="Arial"/>
          <w:color w:val="000000"/>
          <w:sz w:val="24"/>
        </w:rPr>
      </w:pPr>
    </w:p>
    <w:sectPr w:rsidR="004C5321" w:rsidRPr="004C5321" w:rsidSect="00574C02">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C43CC" w14:textId="77777777" w:rsidR="00253E50" w:rsidRDefault="00253E50" w:rsidP="004D60D4">
      <w:r>
        <w:separator/>
      </w:r>
    </w:p>
  </w:endnote>
  <w:endnote w:type="continuationSeparator" w:id="0">
    <w:p w14:paraId="3ACC43CD" w14:textId="77777777" w:rsidR="00253E50" w:rsidRDefault="00253E50" w:rsidP="004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C43CA" w14:textId="77777777" w:rsidR="00253E50" w:rsidRDefault="00253E50" w:rsidP="004D60D4">
      <w:r>
        <w:separator/>
      </w:r>
    </w:p>
  </w:footnote>
  <w:footnote w:type="continuationSeparator" w:id="0">
    <w:p w14:paraId="3ACC43CB" w14:textId="77777777" w:rsidR="00253E50" w:rsidRDefault="00253E50" w:rsidP="004D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4D"/>
    <w:rsid w:val="00012638"/>
    <w:rsid w:val="00072BE5"/>
    <w:rsid w:val="00123B67"/>
    <w:rsid w:val="0013784D"/>
    <w:rsid w:val="00183908"/>
    <w:rsid w:val="001D2058"/>
    <w:rsid w:val="002078DA"/>
    <w:rsid w:val="00207E80"/>
    <w:rsid w:val="00253E50"/>
    <w:rsid w:val="00260079"/>
    <w:rsid w:val="0028639C"/>
    <w:rsid w:val="002F504A"/>
    <w:rsid w:val="00327A9B"/>
    <w:rsid w:val="0037058E"/>
    <w:rsid w:val="004C5321"/>
    <w:rsid w:val="004D42F0"/>
    <w:rsid w:val="004D60D4"/>
    <w:rsid w:val="004E5B64"/>
    <w:rsid w:val="004F617C"/>
    <w:rsid w:val="0051314D"/>
    <w:rsid w:val="005179ED"/>
    <w:rsid w:val="00574C02"/>
    <w:rsid w:val="005E095E"/>
    <w:rsid w:val="006822C8"/>
    <w:rsid w:val="0068499C"/>
    <w:rsid w:val="007836C6"/>
    <w:rsid w:val="007F4795"/>
    <w:rsid w:val="0087209A"/>
    <w:rsid w:val="0087362A"/>
    <w:rsid w:val="008A6877"/>
    <w:rsid w:val="008E2D32"/>
    <w:rsid w:val="009232C9"/>
    <w:rsid w:val="0093648A"/>
    <w:rsid w:val="009424FB"/>
    <w:rsid w:val="009B672B"/>
    <w:rsid w:val="00A2376F"/>
    <w:rsid w:val="00A275FF"/>
    <w:rsid w:val="00AB1FB0"/>
    <w:rsid w:val="00B06F8D"/>
    <w:rsid w:val="00BC4F85"/>
    <w:rsid w:val="00BC6CD6"/>
    <w:rsid w:val="00BF0E5D"/>
    <w:rsid w:val="00C1291D"/>
    <w:rsid w:val="00CB39B4"/>
    <w:rsid w:val="00D63F92"/>
    <w:rsid w:val="00D8706A"/>
    <w:rsid w:val="00DE0FC0"/>
    <w:rsid w:val="00E02FD1"/>
    <w:rsid w:val="00E12849"/>
    <w:rsid w:val="00EB0275"/>
    <w:rsid w:val="00F2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3AC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D4"/>
    <w:pPr>
      <w:tabs>
        <w:tab w:val="center" w:pos="4252"/>
        <w:tab w:val="right" w:pos="8504"/>
      </w:tabs>
      <w:snapToGrid w:val="0"/>
    </w:pPr>
  </w:style>
  <w:style w:type="character" w:customStyle="1" w:styleId="a4">
    <w:name w:val="ヘッダー (文字)"/>
    <w:basedOn w:val="a0"/>
    <w:link w:val="a3"/>
    <w:uiPriority w:val="99"/>
    <w:rsid w:val="004D60D4"/>
    <w:rPr>
      <w:rFonts w:ascii="Century" w:eastAsia="ＭＳ 明朝" w:hAnsi="Century" w:cs="Times New Roman"/>
      <w:szCs w:val="24"/>
    </w:rPr>
  </w:style>
  <w:style w:type="paragraph" w:styleId="a5">
    <w:name w:val="footer"/>
    <w:basedOn w:val="a"/>
    <w:link w:val="a6"/>
    <w:uiPriority w:val="99"/>
    <w:unhideWhenUsed/>
    <w:rsid w:val="004D60D4"/>
    <w:pPr>
      <w:tabs>
        <w:tab w:val="center" w:pos="4252"/>
        <w:tab w:val="right" w:pos="8504"/>
      </w:tabs>
      <w:snapToGrid w:val="0"/>
    </w:pPr>
  </w:style>
  <w:style w:type="character" w:customStyle="1" w:styleId="a6">
    <w:name w:val="フッター (文字)"/>
    <w:basedOn w:val="a0"/>
    <w:link w:val="a5"/>
    <w:uiPriority w:val="99"/>
    <w:rsid w:val="004D60D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D4"/>
    <w:pPr>
      <w:tabs>
        <w:tab w:val="center" w:pos="4252"/>
        <w:tab w:val="right" w:pos="8504"/>
      </w:tabs>
      <w:snapToGrid w:val="0"/>
    </w:pPr>
  </w:style>
  <w:style w:type="character" w:customStyle="1" w:styleId="a4">
    <w:name w:val="ヘッダー (文字)"/>
    <w:basedOn w:val="a0"/>
    <w:link w:val="a3"/>
    <w:uiPriority w:val="99"/>
    <w:rsid w:val="004D60D4"/>
    <w:rPr>
      <w:rFonts w:ascii="Century" w:eastAsia="ＭＳ 明朝" w:hAnsi="Century" w:cs="Times New Roman"/>
      <w:szCs w:val="24"/>
    </w:rPr>
  </w:style>
  <w:style w:type="paragraph" w:styleId="a5">
    <w:name w:val="footer"/>
    <w:basedOn w:val="a"/>
    <w:link w:val="a6"/>
    <w:uiPriority w:val="99"/>
    <w:unhideWhenUsed/>
    <w:rsid w:val="004D60D4"/>
    <w:pPr>
      <w:tabs>
        <w:tab w:val="center" w:pos="4252"/>
        <w:tab w:val="right" w:pos="8504"/>
      </w:tabs>
      <w:snapToGrid w:val="0"/>
    </w:pPr>
  </w:style>
  <w:style w:type="character" w:customStyle="1" w:styleId="a6">
    <w:name w:val="フッター (文字)"/>
    <w:basedOn w:val="a0"/>
    <w:link w:val="a5"/>
    <w:uiPriority w:val="99"/>
    <w:rsid w:val="004D60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9D75-53DE-4391-81D8-4238654D971C}">
  <ds:schemaRefs>
    <ds:schemaRef ds:uri="http://purl.org/dc/dcmitype/"/>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E75D3EB-1F71-495A-9AD0-55EF5C10CEEE}">
  <ds:schemaRefs>
    <ds:schemaRef ds:uri="http://schemas.microsoft.com/sharepoint/v3/contenttype/forms"/>
  </ds:schemaRefs>
</ds:datastoreItem>
</file>

<file path=customXml/itemProps3.xml><?xml version="1.0" encoding="utf-8"?>
<ds:datastoreItem xmlns:ds="http://schemas.openxmlformats.org/officeDocument/2006/customXml" ds:itemID="{A95FE950-3813-40D8-8D55-CDDE986CF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3FB7C7-87CC-4098-8E0F-F653D671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2014-04-01T02:31:00Z</cp:lastPrinted>
  <dcterms:created xsi:type="dcterms:W3CDTF">2014-04-15T04:09:00Z</dcterms:created>
  <dcterms:modified xsi:type="dcterms:W3CDTF">2014-05-09T07:29:00Z</dcterms:modified>
</cp:coreProperties>
</file>